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VPC Impact Acquisition Holdings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Victory Park Capital Advisors, LLC</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150 North Riverside Plaza, Suite 5200</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024"/>
          </w:cols>
          <w:pgMar w:left="436" w:top="362" w:right="439" w:bottom="1440"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+1-312-701-1777</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each class</w:t>
            </w: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ordinary share, $0.0001 par value, and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one-half of one redeemable warrant</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VIH</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$0.0001 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Redeemable warrants, each warrant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VIHAW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exercisable for one Class A ordinary</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 each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On September 22, 2020, VPC Impact Acquisition Holdings (the “Company”) consummated its initial public offering (“IPO”) of 20,000,000 units (the “Units”). Each Unit consists of one Class A ordinary share of the Company, par value $0.0001 per share (the “Class A Ordinary Shares”), and one-half of one redeemable warrant of the Company (each whole warrant, a “Warrant”), with each Warrant entitling the holder thereof to purchase one Class A Ordinary Share for $11.50 per share, subject to adjustment. The Units were sold at a price of $10.00 per Unit, generating gross proceeds to the Company of $200,000,000. The Company has granted the underwriters in the IPO (the “Underwriters”) a 45-day option to purchase up to 3,000,000 additional Units.</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 entered into the following agreements, forms of which were previously filed as exhibits to the Company’s Registration Statement on Form S-1 (File No. 333-248619) for the IPO, initially filed with the U.S. Securities and Exchange Commission (the “Commission”) on September 4, 2020, as amended (the “Registration Statement”):</w:t>
      </w:r>
    </w:p>
    <w:p>
      <w:pPr>
        <w:spacing w:after="0" w:line="81" w:lineRule="exact"/>
        <w:rPr>
          <w:sz w:val="20"/>
          <w:szCs w:val="20"/>
          <w:color w:val="auto"/>
        </w:rPr>
      </w:pPr>
    </w:p>
    <w:p>
      <w:pPr>
        <w:ind w:left="960" w:right="6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Underwriting Agreement, dated September 22, 2020, by and between the Company and Jefferies LLC, as representative of the underwriters, a copy of which is attached as Exhibit 1.1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Agreement, dated September 22, 2020, by and between the Company and Continental Stock Transfer &amp; Trust Company, as warrant agent, a copy of which is attached as Exhibit 4.1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Agreement, dated September 22, 2020 (the “Letter Agreement”), by and among the Company, its executive officers, its directors and the Company’s sponsor, VPC Impact Acquisition Holdings Sponsor, LLC (the “Sponsor”), a copy of which is attached as Exhibit 10.1 hereto and incorporated herein by reference.</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Management Trust Agreement, dated September 22, 2020, by and between the Company and Continental Stock Transfer &amp; Trust Company, as trustee, a copy of which is attached as Exhibit 10.2 hereto and incorporated herein by reference.</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dated September 22, 2020, by and among the Company, the Sponsor and the Company’s independent directors, a copy of which is attached as Exhibit 10.3 hereto and incorporated herein by reference.</w:t>
      </w:r>
    </w:p>
    <w:p>
      <w:pPr>
        <w:spacing w:after="0" w:line="67" w:lineRule="exact"/>
        <w:rPr>
          <w:rFonts w:ascii="Times New Roman" w:cs="Times New Roman" w:eastAsia="Times New Roman" w:hAnsi="Times New Roman"/>
          <w:sz w:val="18"/>
          <w:szCs w:val="18"/>
          <w:color w:val="auto"/>
        </w:rPr>
      </w:pPr>
    </w:p>
    <w:p>
      <w:pPr>
        <w:jc w:val="both"/>
        <w:ind w:left="960" w:right="6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Placement Warrants Purchase Agreement, dated September 22, 2020, by and between the Company and the Sponsor (the “Private Placement Warrants Purchase Agreement”), a copy of which is attached as Exhibit 10.4 hereto and incorporated herein by reference.</w:t>
      </w:r>
    </w:p>
    <w:p>
      <w:pPr>
        <w:spacing w:after="0" w:line="81"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Services Agreement, dated September 22, 2020, by and between the Company and the Sponsor, a copy of which is attached as Exhibit 10.5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IPO, pursuant to the Private Placement Warrants Purchase Agreement, the Company completed the private sale of 6,000,000 warrants (the “Private Placement Warrants”) to the Sponsor at a purchase price of $1.00 per Private Placement Warrant, generating gross proceeds to the Company of $6,000,000. The Private Placement Warrants are identical to the Warrants included as part of the Units sold in the IPO, except that the Private Placement Warrants, so long as they are held by the Sponsor or its permitted transferees, (i) are not redeemable by the Company, except as described in the Registration Statement, (ii) may not (including the Class A ordinary shares issuable upon exercise of such warrants), subject to certain limited exceptions, be transferred, assigned or sold by the holders until 30 days after the completion of an initial business combination by the Company, (iii) may be exercised by the holders on a cashless basis and (iv) will be entitled to registration rights. No underwriting discounts or commissions were paid with respect to such sale. The issuance of the Private Placement Warrants was made pursuant to the exemption from registration contained in Section 4(a)(2) of the Securities Act of 1933, as amended.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On September 22, 2020, in connection with the IPO, Adrienne Harris, Kai Schmitz and Kurt Summers were appointed to the board of directors of the Company (the “Board”). Effective September 22, 2020, Ms. Harris, Mr. Schmitz and Mr. Summers were appointed to the Board’s Audit Committee and the Board’s Nominating and Corporate Governance Committee, and Ms. Harris and Mr. Summers were appointed to the Board’s Compensation Committee, with Mr. Schmitz serving as chair of the Audit Committee, Ms. Harris serving as chair of the Nominating and Corporate Governance Committee and Mr. Summers serving as chair of the Compensation Committee.</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Following the appointment of Ms. Harris, Mr. Schmitz and Mr. Summers, the Board is comprised of the following three classes: the term of office of the first class of directors, consisting of Kai Schmitz, will expire at the Company’s first annual general meeting. The term of office of the second class of directors, consisting of Adrienne Harris and Kurt Summers, will expire at the Company’s second annual general meeting. The term of office of the third class of directors, consisting of John Martin and Gordon Watson, will expire at the Company’s third annual general meeting.</w:t>
      </w:r>
    </w:p>
    <w:p>
      <w:pPr>
        <w:spacing w:after="0" w:line="180"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On September 22, 2020, in connection with their appointments to the Board, each of the members of the Board entered into the Letter Agreement as well as an indemnity agreement with the Company in the form previously filed as Exhibit 10.5 to the Registration Statement.</w:t>
      </w:r>
    </w:p>
    <w:p>
      <w:pPr>
        <w:spacing w:after="0" w:line="162"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Prior to the IPO, on September 22, 2020, the Sponsor transferred 20,000 Class B ordinary shares of the Company to each of Adrienne Harris, Kai Schmitz and Kurt Summers, each at the same per share price paid by the Sponsor (“founder shares”), resulting in the Sponsor holding 5,690,000 founder shares.</w:t>
      </w:r>
    </w:p>
    <w:p>
      <w:pPr>
        <w:spacing w:after="0" w:line="176"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Other than the foregoing, each of Ms. Harris, Mr. Schmitz and Mr. Summers is not party to any arrangement or understanding with any person pursuant to which he was appointed as director, nor is he party to any transactions required to be disclosed under Item 404(a) of Regulation S-K involving the Company.</w:t>
      </w:r>
    </w:p>
    <w:p>
      <w:pPr>
        <w:spacing w:after="0" w:line="176"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Letter Agreement and the form of indemnity agreement do not purport to be complete and are qualified in their entireties by reference to the Letter Agreement and form of indemnity agreement, copies of which are attached as Exhibit 10.1 hereto and Exhibit 10.5 to the Registration Statement, respectively, and are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5.03. Amendments to Certificate of Incorporation or Bylaws; Change in Fiscal Year.</w:t>
      </w:r>
    </w:p>
    <w:p>
      <w:pPr>
        <w:spacing w:after="0" w:line="12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On September 22, 2020, in connection with the IPO, the Company adopted its Amended and Restated Memorandum and Articles of Association (the “Amended Charter”), effective the same day. The terms of the Amended Charter are set forth in the Registration Statement and are incorporated herein by reference. A copy of the Amended Charter is attached as Exhibit 3.1 hereto and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A total of $200,000,000, comprised of $196,000,000 of the proceeds from the IPO (which amount includes $7,000,000 of the underwriters’ deferred discount) and $4,000,000 of the proceeds of the sale of the Private Placement Warrants, was placed in a U.S.-based trust account at J.P. Morgan Chase Bank, N.A. maintained by Continental Stock Transfer &amp; Trust Company, acting as trustee. Except with respect to interest earned on the funds held in the trust account that may be released to the Company to pay its taxes and up to $100,000 of interest to pay dissolution expenses, the funds held in the trust account will not be released from the trust account until the earliest of (i) the completion of the Company’s initial business combination,</w:t>
      </w:r>
    </w:p>
    <w:p>
      <w:pPr>
        <w:spacing w:after="0" w:line="3" w:lineRule="exact"/>
        <w:rPr>
          <w:sz w:val="20"/>
          <w:szCs w:val="20"/>
          <w:color w:val="auto"/>
        </w:rPr>
      </w:pPr>
    </w:p>
    <w:p>
      <w:pPr>
        <w:ind w:left="4" w:right="40" w:hanging="4"/>
        <w:spacing w:after="0" w:line="253"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any of the Class A Ordinary Shares included in the Units sold in the IPO (the “public shares”) properly submitted in connection with a shareholder vote to amend the Company’s Amended Charter (A) to modify the substance or timing of the Company’s obligation to redeem 100% of the public shares if it does not complete its initial business combination within 24 months from the closing of the IPO or (B) with respect to any other material provisions relating to shareholders’ rights or pre-initial business combination activity or (iii) the redemption of the Company’s public shares if it is unable to complete its initial business combination within 24 months from the closing of the IPO, subject to applicable law.</w:t>
      </w:r>
    </w:p>
    <w:p>
      <w:pPr>
        <w:spacing w:after="0" w:line="18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On September 22, 2020, the Company issued a press release announcing the pricing of the IPO, a copy of which is attached as Exhibit 99.1 to this Current Report on Form 8-K.</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On September 25, 2020, the Company issued a press release announcing the closing of the IPO, a copy of which is attached as Exhibit 99.2 to this Current Report on Form 8-K.</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50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2"/>
                <w:szCs w:val="22"/>
                <w:color w:val="auto"/>
              </w:rPr>
            </w:pPr>
          </w:p>
        </w:tc>
        <w:tc>
          <w:tcPr>
            <w:tcW w:w="9920" w:type="dxa"/>
            <w:vAlign w:val="bottom"/>
            <w:tcBorders>
              <w:top w:val="single" w:sz="8" w:color="auto"/>
            </w:tcBorders>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Underwriting Agreement, dated September 22, 2020, by and between the Company and Jefferies LLC, as representative of the</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underwriters.</w:t>
              </w:r>
            </w:hyperlink>
          </w:p>
        </w:tc>
        <w:tc>
          <w:tcPr>
            <w:tcW w:w="8140" w:type="dxa"/>
            <w:vAlign w:val="bottom"/>
            <w:tcBorders>
              <w:top w:val="single" w:sz="8" w:color="0000EE"/>
            </w:tcBorders>
            <w:gridSpan w:val="7"/>
          </w:tcPr>
          <w:p>
            <w:pPr>
              <w:spacing w:after="0"/>
              <w:rPr>
                <w:sz w:val="17"/>
                <w:szCs w:val="17"/>
                <w:color w:val="auto"/>
              </w:rPr>
            </w:pPr>
          </w:p>
        </w:tc>
        <w:tc>
          <w:tcPr>
            <w:tcW w:w="820" w:type="dxa"/>
            <w:vAlign w:val="bottom"/>
            <w:gridSpan w:val="7"/>
          </w:tcPr>
          <w:p>
            <w:pPr>
              <w:spacing w:after="0"/>
              <w:rPr>
                <w:sz w:val="17"/>
                <w:szCs w:val="17"/>
                <w:color w:val="auto"/>
              </w:rPr>
            </w:pPr>
          </w:p>
        </w:tc>
      </w:tr>
      <w:tr>
        <w:trPr>
          <w:trHeight w:val="34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Amended and Restated Memorandum and Articles of Association.</w:t>
              </w:r>
            </w:hyperlink>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Warrant Agreement, dated September 22, 2020, by and between the Company and Continental Stock Transfer &amp; Trust Company, as</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warrant agent.</w:t>
              </w:r>
            </w:hyperlink>
          </w:p>
        </w:tc>
        <w:tc>
          <w:tcPr>
            <w:tcW w:w="8440" w:type="dxa"/>
            <w:vAlign w:val="bottom"/>
            <w:tcBorders>
              <w:top w:val="single" w:sz="8" w:color="0000EE"/>
            </w:tcBorders>
            <w:gridSpan w:val="8"/>
          </w:tcPr>
          <w:p>
            <w:pPr>
              <w:spacing w:after="0"/>
              <w:rPr>
                <w:sz w:val="17"/>
                <w:szCs w:val="17"/>
                <w:color w:val="auto"/>
              </w:rPr>
            </w:pPr>
          </w:p>
        </w:tc>
        <w:tc>
          <w:tcPr>
            <w:tcW w:w="440" w:type="dxa"/>
            <w:vAlign w:val="bottom"/>
            <w:gridSpan w:val="5"/>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9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16">
              <w:r>
                <w:rPr>
                  <w:rFonts w:ascii="Times New Roman" w:cs="Times New Roman" w:eastAsia="Times New Roman" w:hAnsi="Times New Roman"/>
                  <w:sz w:val="18"/>
                  <w:szCs w:val="18"/>
                  <w:color w:val="0000EE"/>
                  <w:w w:val="99"/>
                </w:rPr>
                <w:t>Letter Agreement, dated September 22, 2020, by and among the Company, its executive officers, its directors and VPC Impact</w:t>
              </w:r>
            </w:hyperlink>
          </w:p>
        </w:tc>
        <w:tc>
          <w:tcPr>
            <w:tcW w:w="80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15"/>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Acquisition Holdings Sponsor, LLC.</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Investment Management Trust Agreement, dated September 22, 2020, by and between the Company and Continental Stock Transfer &amp;</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123">
              <w:r>
                <w:rPr>
                  <w:rFonts w:ascii="Times New Roman" w:cs="Times New Roman" w:eastAsia="Times New Roman" w:hAnsi="Times New Roman"/>
                  <w:sz w:val="18"/>
                  <w:szCs w:val="18"/>
                  <w:color w:val="0000EE"/>
                  <w:w w:val="98"/>
                </w:rPr>
                <w:t>Trust Company, as trustee.</w:t>
              </w:r>
            </w:hyperlink>
          </w:p>
        </w:tc>
        <w:tc>
          <w:tcPr>
            <w:tcW w:w="7800" w:type="dxa"/>
            <w:vAlign w:val="bottom"/>
            <w:tcBorders>
              <w:top w:val="single" w:sz="8" w:color="0000EE"/>
            </w:tcBorders>
            <w:gridSpan w:val="8"/>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Registration Rights Agreement, dated September 22, 2020, by and among the Company, VPC Impact Acquisition Holdings Sponsor,</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LLC and the Company’s independent directors.</w:t>
              </w:r>
            </w:hyperlink>
          </w:p>
        </w:tc>
        <w:tc>
          <w:tcPr>
            <w:tcW w:w="360" w:type="dxa"/>
            <w:vAlign w:val="bottom"/>
            <w:gridSpan w:val="4"/>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Private Placement Warrants Purchase Agreement, dated September 22, 2020, by and between the Company and VPC Impact Acquisition</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Holdings Sponsor, LLC.</w:t>
              </w:r>
            </w:hyperlink>
          </w:p>
        </w:tc>
        <w:tc>
          <w:tcPr>
            <w:tcW w:w="6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6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56">
              <w:r>
                <w:rPr>
                  <w:rFonts w:ascii="Times New Roman" w:cs="Times New Roman" w:eastAsia="Times New Roman" w:hAnsi="Times New Roman"/>
                  <w:sz w:val="18"/>
                  <w:szCs w:val="18"/>
                  <w:color w:val="0000EE"/>
                  <w:w w:val="99"/>
                </w:rPr>
                <w:t>Administrative Services Agreement, dated September 22, 2020, by and between the Company and VPC Impact Acquisition Holdings</w:t>
              </w:r>
            </w:hyperlink>
          </w:p>
        </w:tc>
        <w:tc>
          <w:tcPr>
            <w:tcW w:w="300" w:type="dxa"/>
            <w:vAlign w:val="bottom"/>
            <w:gridSpan w:val="3"/>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15"/>
          </w:tcPr>
          <w:p>
            <w:pPr>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Sponsor, LLC.</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860" w:type="dxa"/>
            <w:vAlign w:val="bottom"/>
            <w:gridSpan w:val="12"/>
          </w:tcPr>
          <w:p>
            <w:pPr>
              <w:spacing w:after="0" w:line="20" w:lineRule="exact"/>
              <w:rPr>
                <w:sz w:val="1"/>
                <w:szCs w:val="1"/>
                <w:color w:val="auto"/>
              </w:rPr>
            </w:pPr>
          </w:p>
        </w:tc>
      </w:tr>
      <w:tr>
        <w:trPr>
          <w:trHeight w:val="34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Press Release, dated September 22, 2020.</w:t>
              </w:r>
            </w:hyperlink>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Press Release, dated September 25, 2020.</w:t>
              </w:r>
            </w:hyperlink>
          </w:p>
        </w:tc>
      </w:tr>
      <w:tr>
        <w:trPr>
          <w:trHeight w:val="365"/>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00" w:type="dxa"/>
            <w:vAlign w:val="bottom"/>
            <w:gridSpan w:val="8"/>
          </w:tcPr>
          <w:p>
            <w:pPr>
              <w:ind w:left="43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28, 2020</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440" w:top="266"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VPC Impact Acquisition Holdings,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upon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to issue and sell to the several underwriters named in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20,000,000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20,000,000 Units to be sold by the Company are called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In addition, the Company has granted to the Underwriters an option to purchase up to an additional 3,000,000 Units as provided in Section 2. The additional 3,000,000 Units to be sold by the Company pursuant to such option are collectively called the “</w:t>
      </w:r>
      <w:r>
        <w:rPr>
          <w:rFonts w:ascii="Times New Roman" w:cs="Times New Roman" w:eastAsia="Times New Roman" w:hAnsi="Times New Roman"/>
          <w:sz w:val="18"/>
          <w:szCs w:val="18"/>
          <w:b w:val="1"/>
          <w:bCs w:val="1"/>
          <w:color w:val="auto"/>
        </w:rPr>
        <w:t>Optional Securities</w:t>
      </w:r>
      <w:r>
        <w:rPr>
          <w:rFonts w:ascii="Times New Roman" w:cs="Times New Roman" w:eastAsia="Times New Roman" w:hAnsi="Times New Roman"/>
          <w:sz w:val="18"/>
          <w:szCs w:val="18"/>
          <w:color w:val="auto"/>
        </w:rPr>
        <w:t>.” The Firm Securities and, if and to the extent such option is exercised, the Optional Securities are collectively called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has agreed to act as representative of the several Underwriters (in such capacity,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in connection with the offering of the Offered Securities for sale to the public as contemplated in the IPO Prospectus (as defined below)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To the extent there are no additional underwriters listed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the term “Representative” as used herein shall mean you, as Underwriter, and the term “Underwriters” shall mean either the singular or the plural, as the context requires.</w:t>
      </w:r>
    </w:p>
    <w:p>
      <w:pPr>
        <w:spacing w:after="0" w:line="18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Each Unit consists of one share of the Company’s Class A ordinary shares, par value $0.0001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one-half of one redeemable warrant, where each whole warrant entitles the holder to purchase one Ordinary Share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The Ordinary Shares and Public Warrants will not trade separately until the 52nd day following the date of the IPO Prospectus (as defined below) (unless the Representative informs the Company of its decision to allow earlier separate trading), subject to (a) the Company’s preparation of an audited balance sheet reflecting the receipt by the Company of the proceeds of the Offering, (b) the filing by the Company of such audited balance sheet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on a Current Report on Form 8-K that includes such audited balance sheet, and (c) the Company having issued a press release announcing when such separate trading will begin. Each whole Public Warrant entitles its holder, upon exercise, to purchase one Ordinary Share for $11.50 per share during the period commencing on the later of 30 days after the completion of an initial Business Combination (as defined below) or 12 months from the date of the closing of the Offering and terminating on the five-year anniversary of the date of the completion of such initial Business Combination (as defined below) or earlier upon redemption or liquidation;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pursuant to the Warrant Agreement (as defined below), only a whole Public Warrant may be exercised at any given time by a holder thereof. As used herein, the term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(as described more fully in the Registration Statement (as defined below)) shall mean a merger, capital stock exchange, asset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purchase, reorganization or similar business combination with one or more businesses.</w:t>
      </w:r>
    </w:p>
    <w:p>
      <w:pPr>
        <w:sectPr>
          <w:pgSz w:w="11900" w:h="16838" w:orient="portrait"/>
          <w:cols w:equalWidth="0" w:num="1">
            <w:col w:w="11020"/>
          </w:cols>
          <w:pgMar w:left="440" w:top="117" w:right="43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prepared and filed with the Commission a registration statement on Form S-1, File No. 333-248619 which contains a form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prospectus to be used in connection with the Offering and sale of the Offered Securities. Such registration statement, as amended, including the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exhibits and schedules thereto, in the form in which it became effective under the Securities Act of 1933, as amended, and the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any information deemed to be a part thereof at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pursuant to Rule 430A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462(b) under the Securities Act in connection with the offer and sale of the Offered Securities is called the “</w:t>
      </w:r>
      <w:r>
        <w:rPr>
          <w:rFonts w:ascii="Times New Roman" w:cs="Times New Roman" w:eastAsia="Times New Roman" w:hAnsi="Times New Roman"/>
          <w:sz w:val="18"/>
          <w:szCs w:val="18"/>
          <w:b w:val="1"/>
          <w:bCs w:val="1"/>
          <w:color w:val="auto"/>
        </w:rPr>
        <w:t>Rule 462(b)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Rule 462(b) Registration Statement. The prospectus, in the form first used by the Underwriters to confirm sales of the Offered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form first made available to the Underwriters by the Company to meet requests of purchasers pursuant to Rule 173 under the Securities Act,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b w:val="1"/>
          <w:bCs w:val="1"/>
          <w:color w:val="auto"/>
        </w:rPr>
        <w:t>IPO Prospectus</w:t>
      </w:r>
      <w:r>
        <w:rPr>
          <w:rFonts w:ascii="Times New Roman" w:cs="Times New Roman" w:eastAsia="Times New Roman" w:hAnsi="Times New Roman"/>
          <w:sz w:val="18"/>
          <w:szCs w:val="18"/>
          <w:color w:val="auto"/>
        </w:rPr>
        <w:t>.” The preliminary prospectus dated August 26, 2020 describing the Offered Securities and the Offering thereof is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in preliminary form that describes the Offered Securities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thereof and is used prior to the filing of the IPO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4:05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(New York City time) on September 22, 2020.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Preliminary Prospectus together with the Time of Delivery Information, if any,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“road show” (as defined in Rule 433 under the Securities Act) relating to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that is a “written communication” (as defined in Rule 405 under the Securities Act). As used herein, “</w:t>
      </w:r>
      <w:r>
        <w:rPr>
          <w:rFonts w:ascii="Times New Roman" w:cs="Times New Roman" w:eastAsia="Times New Roman" w:hAnsi="Times New Roman"/>
          <w:sz w:val="18"/>
          <w:szCs w:val="18"/>
          <w:b w:val="1"/>
          <w:bCs w:val="1"/>
          <w:color w:val="auto"/>
        </w:rPr>
        <w:t>Section 5(d)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w:t>
      </w:r>
      <w:r>
        <w:rPr>
          <w:rFonts w:ascii="Times New Roman" w:cs="Times New Roman" w:eastAsia="Times New Roman" w:hAnsi="Times New Roman"/>
          <w:sz w:val="17"/>
          <w:szCs w:val="17"/>
          <w:color w:val="auto"/>
        </w:rPr>
        <w:t>” means each written communication (within the meaning of Rule 405 under the Securities Act) that is made in reliance on Section 5(d)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Securities Act by the Company or any person authorized to act on behalf of the Company to one or more potential investors that are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buyers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and/or institutions that are accredited investors (“</w:t>
      </w:r>
      <w:r>
        <w:rPr>
          <w:rFonts w:ascii="Times New Roman" w:cs="Times New Roman" w:eastAsia="Times New Roman" w:hAnsi="Times New Roman"/>
          <w:sz w:val="18"/>
          <w:szCs w:val="18"/>
          <w:b w:val="1"/>
          <w:bCs w:val="1"/>
          <w:color w:val="auto"/>
        </w:rPr>
        <w:t>IAIs</w:t>
      </w:r>
      <w:r>
        <w:rPr>
          <w:rFonts w:ascii="Times New Roman" w:cs="Times New Roman" w:eastAsia="Times New Roman" w:hAnsi="Times New Roman"/>
          <w:sz w:val="18"/>
          <w:szCs w:val="18"/>
          <w:color w:val="auto"/>
        </w:rPr>
        <w:t>”), as such terms are respectively defined in Rule 144A and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501(a) under the Securities Act, to determine whether such investors might have an interest in the Offering; “</w:t>
      </w:r>
      <w:r>
        <w:rPr>
          <w:rFonts w:ascii="Times New Roman" w:cs="Times New Roman" w:eastAsia="Times New Roman" w:hAnsi="Times New Roman"/>
          <w:sz w:val="18"/>
          <w:szCs w:val="18"/>
          <w:b w:val="1"/>
          <w:bCs w:val="1"/>
          <w:color w:val="auto"/>
        </w:rPr>
        <w:t>Section 5(d) Oral Communication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each oral communication, if any, made in reliance on Section 5(d) of the Securities Act by the Company or any person authorized to act on behalf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made to one or more QIBs and/or one or more IAIs to determine whether such investors might have an interest in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of the Offering, including any Road Show or investor presentations made to investors by the Company (whether in person or electronically);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Permitted Section 5(d) Communication</w:t>
      </w:r>
      <w:r>
        <w:rPr>
          <w:rFonts w:ascii="Times New Roman" w:cs="Times New Roman" w:eastAsia="Times New Roman" w:hAnsi="Times New Roman"/>
          <w:sz w:val="18"/>
          <w:szCs w:val="18"/>
          <w:color w:val="auto"/>
        </w:rPr>
        <w:t xml:space="preserve">” means the Section 5(d) Written Communication(s) and Marketing Materials listed on </w:t>
      </w:r>
      <w:r>
        <w:rPr>
          <w:rFonts w:ascii="Times New Roman" w:cs="Times New Roman" w:eastAsia="Times New Roman" w:hAnsi="Times New Roman"/>
          <w:sz w:val="18"/>
          <w:szCs w:val="18"/>
          <w:b w:val="1"/>
          <w:bCs w:val="1"/>
          <w:u w:val="single" w:color="auto"/>
          <w:color w:val="auto"/>
        </w:rPr>
        <w:t>Schedule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p>
    <w:p>
      <w:pPr>
        <w:spacing w:after="0" w:line="20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any preliminary prospectus (including the Preliminary Prospectus), or the IPO Prospectus, or any amendments or supplements to any of the foregoing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August 3, 2020, the Company sold 5,750,000 Class B ordinary shares.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to VPC Impact Acquisition Holdings Sponsor, LLC, a Delaware limited 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for $25,000 pursuant to a Securities Subscription Agreement, dated as of August 3, 2020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in substantially the form filed as Exhibit 10.7 to the Registration Statement. Up to 750,000 of the Founder Shares are subject to forfeiture depending on the extent to which the Underwriters’ over-allotment option is exercised. Except as described in the Registration Statement, the Time of Sale Prospectus and the IPO Prospectus, the Founder Shares have the same terms as the Ordinary Shares.</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On the date hereof, the Sponsor subscribed to purchase an aggregate of 6,000,000 private placement warrants, each entitling such holder to purchase one Ordinary Share at an exercise price of $11.50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and the Company entered into a Sponsor Warrants Purchase Agreement with the Sponsor (the “</w:t>
      </w:r>
      <w:r>
        <w:rPr>
          <w:rFonts w:ascii="Times New Roman" w:cs="Times New Roman" w:eastAsia="Times New Roman" w:hAnsi="Times New Roman"/>
          <w:sz w:val="18"/>
          <w:szCs w:val="18"/>
          <w:b w:val="1"/>
          <w:bCs w:val="1"/>
          <w:color w:val="auto"/>
        </w:rPr>
        <w:t>Sponsor Warrants Purchase Agreement</w:t>
      </w:r>
      <w:r>
        <w:rPr>
          <w:rFonts w:ascii="Times New Roman" w:cs="Times New Roman" w:eastAsia="Times New Roman" w:hAnsi="Times New Roman"/>
          <w:sz w:val="18"/>
          <w:szCs w:val="18"/>
          <w:color w:val="auto"/>
        </w:rPr>
        <w:t>”) in substantially the form filed as Exhibit 10.4 to the Registration Statement. Except as described in the Registration Statement, the Time of Sale Prospectus and the IPO Prospectus, the Private Placement Warrants have the same terms as the Public Warrants.</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will enter into an Investment Management Trust Agreement, effective as of the First Closing Date, with Continental Stock Transfer &amp; Trust Company (“</w:t>
      </w:r>
      <w:r>
        <w:rPr>
          <w:rFonts w:ascii="Times New Roman" w:cs="Times New Roman" w:eastAsia="Times New Roman" w:hAnsi="Times New Roman"/>
          <w:sz w:val="18"/>
          <w:szCs w:val="18"/>
          <w:b w:val="1"/>
          <w:bCs w:val="1"/>
          <w:color w:val="auto"/>
        </w:rPr>
        <w:t>CST</w:t>
      </w:r>
      <w:r>
        <w:rPr>
          <w:rFonts w:ascii="Times New Roman" w:cs="Times New Roman" w:eastAsia="Times New Roman" w:hAnsi="Times New Roman"/>
          <w:sz w:val="18"/>
          <w:szCs w:val="18"/>
          <w:color w:val="auto"/>
        </w:rPr>
        <w:t>”), as trustee, in substantially the form filed as Exhibit 10.2 to the Registration Statement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pursuant to which the proceeds from the sale of the Private Placement Warrants and certain proceeds of the Offering and sale of the Offered Securities will be deposited and held in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the Company, the Underwriters and the Public Stockholders (as defined below).</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will enter into a Warrant Agreement, effective as of the First Closing Date, with respect to the Public Warrants, the Private Placement Warrants and any warrants issued upon the conversion of working capital loans by the Sponsor, the Company’s officers and directors, or their respective affiliates, to the Company (the “</w:t>
      </w:r>
      <w:r>
        <w:rPr>
          <w:rFonts w:ascii="Times New Roman" w:cs="Times New Roman" w:eastAsia="Times New Roman" w:hAnsi="Times New Roman"/>
          <w:sz w:val="18"/>
          <w:szCs w:val="18"/>
          <w:b w:val="1"/>
          <w:bCs w:val="1"/>
          <w:color w:val="auto"/>
        </w:rPr>
        <w:t>Working Capital Warrants</w:t>
      </w:r>
      <w:r>
        <w:rPr>
          <w:rFonts w:ascii="Times New Roman" w:cs="Times New Roman" w:eastAsia="Times New Roman" w:hAnsi="Times New Roman"/>
          <w:sz w:val="18"/>
          <w:szCs w:val="18"/>
          <w:color w:val="auto"/>
        </w:rPr>
        <w:t>”) with CST, as warrant agent, in substantially the form filed as Exhibit 4.4 to the Registration Statement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pursuant to which CST will act as warrant agent in connection with the issuance, registration, transfer, exchange, redemption, and exercise of the Public Warrants, the Private Placement Warrants and the Working Capital Warrants.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will enter into a Registration Rights and Stockholder Rights Agreement, dated as of the First Closing Date, with the Sponsor, in substantially the form filed as Exhibit 10.3 to the Registration Statement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will grant certain registration rights in respect of the Founder Shares, the Private Placement Warrants, the Working Capital Warrants and the Ordinary Shares underlying the Private Placement Warrants and the Working Capital Warrants and issuable upon conversion of the Founder Shares.</w:t>
      </w:r>
    </w:p>
    <w:p>
      <w:pPr>
        <w:spacing w:after="0" w:line="18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has caused to be duly executed and delivered a letter agreement, dated as of the date hereof, by and among the Company, the Sponsor and each of the Company’s officers, directors and director nominees each in substantially the form filed as Exhibit 10.1 to the Registration Statement (the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enter into an Administrative Support Agreement, to be dated as of the First Closing Date, with the Sponsor, in substantially the form filed as Exhibit 10.8 to the Registration Statement (the “</w:t>
      </w:r>
      <w:r>
        <w:rPr>
          <w:rFonts w:ascii="Times New Roman" w:cs="Times New Roman" w:eastAsia="Times New Roman" w:hAnsi="Times New Roman"/>
          <w:sz w:val="18"/>
          <w:szCs w:val="18"/>
          <w:b w:val="1"/>
          <w:bCs w:val="1"/>
          <w:color w:val="auto"/>
        </w:rPr>
        <w:t>Administrative Support Agreement</w:t>
      </w:r>
      <w:r>
        <w:rPr>
          <w:rFonts w:ascii="Times New Roman" w:cs="Times New Roman" w:eastAsia="Times New Roman" w:hAnsi="Times New Roman"/>
          <w:sz w:val="18"/>
          <w:szCs w:val="18"/>
          <w:color w:val="auto"/>
        </w:rPr>
        <w:t>”), pursuant to which the Company will pay to the Sponsor an aggregate monthly fee of $10,000 for office space, utilities and secretarial and administrative support services.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hereby confirms its agreements with the Underwriters as follows:</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1. Representations and Warranties of the Company.</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50" w:lineRule="exact"/>
        <w:rPr>
          <w:sz w:val="20"/>
          <w:szCs w:val="20"/>
          <w:color w:val="auto"/>
        </w:rPr>
      </w:pPr>
    </w:p>
    <w:p>
      <w:pPr>
        <w:ind w:right="20" w:firstLine="436"/>
        <w:spacing w:after="0" w:line="262" w:lineRule="auto"/>
        <w:tabs>
          <w:tab w:leader="none" w:pos="6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color w:val="auto"/>
        </w:rPr>
        <w:t>. The Registration Statement has become effective under the Securities Act.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176" w:lineRule="exact"/>
        <w:rPr>
          <w:rFonts w:ascii="Times New Roman" w:cs="Times New Roman" w:eastAsia="Times New Roman" w:hAnsi="Times New Roman"/>
          <w:sz w:val="18"/>
          <w:szCs w:val="18"/>
          <w:b w:val="1"/>
          <w:bCs w:val="1"/>
          <w:color w:val="auto"/>
        </w:rPr>
      </w:pPr>
    </w:p>
    <w:p>
      <w:pPr>
        <w:ind w:right="20" w:firstLine="436"/>
        <w:spacing w:after="0" w:line="252" w:lineRule="auto"/>
        <w:tabs>
          <w:tab w:leader="none" w:pos="70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color w:val="auto"/>
        </w:rPr>
        <w:t>. Each preliminary prospectus and the IPO Prospectus when filed complied in all material respects with the Securities Act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IPO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IPO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 There are no contracts or other documents required to be described in the Time of Sale Prospectus or the IPO Prospectus or to be filed as an exhibit to the Registration Statement which have not been described or filed as required.</w:t>
      </w:r>
    </w:p>
    <w:p>
      <w:pPr>
        <w:spacing w:after="0" w:line="194"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color w:val="auto"/>
        </w:rPr>
        <w:t>. As of the determination date referenced in Rule 164(h) under the Securities Act and as of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the Company was and is an “ineligible issuer” in connection with the Offering pursuant to Rules 164, 405 and 433 under the Securities Act.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the Underwriters furnished to the Company in writing by the Representative expressly for use therein, it being understood and agreed that the only such information consists of the information described in Section 8(b) below.</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9" w:name="page10"/>
    <w:bookmarkEnd w:id="9"/>
    <w:p>
      <w:pPr>
        <w:ind w:firstLine="436"/>
        <w:spacing w:after="0" w:line="259" w:lineRule="auto"/>
        <w:tabs>
          <w:tab w:leader="none" w:pos="7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Distribution of Offering Material By the Company</w:t>
      </w:r>
      <w:r>
        <w:rPr>
          <w:rFonts w:ascii="Times New Roman" w:cs="Times New Roman" w:eastAsia="Times New Roman" w:hAnsi="Times New Roman"/>
          <w:sz w:val="18"/>
          <w:szCs w:val="18"/>
          <w:color w:val="auto"/>
        </w:rPr>
        <w:t>. Prior to the later of (i) the expiration or termination of the option granted to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in Section 2, (ii) the completion of the Underwriters’ distribution of the Offered Securities and (iii) the expiration of 25 days after the date of the IPO Prospectus, the Company has not distributed and will not distribute any offering material in connection with the Offering and sale of the Offered Securities other than the Registration Statement, the Time of Sale Prospectus, the IPO Prospectus and any Permitted Section 5(d) Communications.</w:t>
      </w:r>
    </w:p>
    <w:p>
      <w:pPr>
        <w:spacing w:after="0" w:line="179"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Filing of a Form 8-A</w:t>
      </w:r>
      <w:r>
        <w:rPr>
          <w:rFonts w:ascii="Times New Roman" w:cs="Times New Roman" w:eastAsia="Times New Roman" w:hAnsi="Times New Roman"/>
          <w:sz w:val="18"/>
          <w:szCs w:val="18"/>
          <w:color w:val="auto"/>
        </w:rPr>
        <w:t>. The Company has filed with the Commission a registration statement on Form 8-A (file number 001-39544) (the</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 Registration Statement</w:t>
      </w:r>
      <w:r>
        <w:rPr>
          <w:rFonts w:ascii="Times New Roman" w:cs="Times New Roman" w:eastAsia="Times New Roman" w:hAnsi="Times New Roman"/>
          <w:sz w:val="18"/>
          <w:szCs w:val="18"/>
          <w:color w:val="auto"/>
        </w:rPr>
        <w:t>”) providing for the registration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certain of the Units, Ordinary Shares and the Public Warrants, which registration is currently effective on the date hereof. The Exchange Act Registration Statement has become effective as provided in Section 12 of the Exchange Act.</w:t>
      </w:r>
    </w:p>
    <w:p>
      <w:pPr>
        <w:spacing w:after="0" w:line="185" w:lineRule="exact"/>
        <w:rPr>
          <w:sz w:val="20"/>
          <w:szCs w:val="20"/>
          <w:color w:val="auto"/>
        </w:rPr>
      </w:pPr>
    </w:p>
    <w:p>
      <w:pPr>
        <w:ind w:right="420" w:firstLine="436"/>
        <w:spacing w:after="0" w:line="286" w:lineRule="auto"/>
        <w:tabs>
          <w:tab w:leader="none" w:pos="69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 Exchange Listing. The Offered Securities, Ordinary Shares and Public Warrants have been approved for listing on </w:t>
      </w:r>
      <w:r>
        <w:rPr>
          <w:rFonts w:ascii="Times New Roman" w:cs="Times New Roman" w:eastAsia="Times New Roman" w:hAnsi="Times New Roman"/>
          <w:sz w:val="18"/>
          <w:szCs w:val="18"/>
          <w:color w:val="auto"/>
        </w:rPr>
        <w:t>the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Capital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b w:val="1"/>
          <w:bCs w:val="1"/>
          <w:i w:val="1"/>
          <w:iCs w:val="1"/>
          <w:color w:val="auto"/>
        </w:rPr>
        <w:t>, subject only to official notice of issuance.</w:t>
      </w:r>
    </w:p>
    <w:p>
      <w:pPr>
        <w:spacing w:after="0" w:line="154" w:lineRule="exact"/>
        <w:rPr>
          <w:rFonts w:ascii="Times New Roman" w:cs="Times New Roman" w:eastAsia="Times New Roman" w:hAnsi="Times New Roman"/>
          <w:sz w:val="18"/>
          <w:szCs w:val="18"/>
          <w:b w:val="1"/>
          <w:bCs w:val="1"/>
          <w:color w:val="auto"/>
        </w:rPr>
      </w:pPr>
    </w:p>
    <w:p>
      <w:pPr>
        <w:ind w:right="280" w:firstLine="436"/>
        <w:spacing w:after="0" w:line="317" w:lineRule="auto"/>
        <w:tabs>
          <w:tab w:leader="none" w:pos="70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Integration</w:t>
      </w:r>
      <w:r>
        <w:rPr>
          <w:rFonts w:ascii="Times New Roman" w:cs="Times New Roman" w:eastAsia="Times New Roman" w:hAnsi="Times New Roman"/>
          <w:sz w:val="17"/>
          <w:szCs w:val="17"/>
          <w:color w:val="auto"/>
        </w:rPr>
        <w:t>. Neither the Company nor any of its affiliates has, prior to the date hereof, made any offer or sale of any securities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be “integrated” pursuant to the Securities Act with the offer and sale of the Offered Securities pursuant to the Registration Statement.</w:t>
      </w:r>
    </w:p>
    <w:p>
      <w:pPr>
        <w:spacing w:after="0" w:line="131" w:lineRule="exact"/>
        <w:rPr>
          <w:rFonts w:ascii="Times New Roman" w:cs="Times New Roman" w:eastAsia="Times New Roman" w:hAnsi="Times New Roman"/>
          <w:sz w:val="17"/>
          <w:szCs w:val="17"/>
          <w:b w:val="1"/>
          <w:bCs w:val="1"/>
          <w:color w:val="auto"/>
        </w:rPr>
      </w:pPr>
    </w:p>
    <w:p>
      <w:pPr>
        <w:ind w:right="20" w:firstLine="436"/>
        <w:spacing w:after="0" w:line="259" w:lineRule="auto"/>
        <w:tabs>
          <w:tab w:leader="none" w:pos="6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Private Placement Warrants</w:t>
      </w:r>
      <w:r>
        <w:rPr>
          <w:rFonts w:ascii="Times New Roman" w:cs="Times New Roman" w:eastAsia="Times New Roman" w:hAnsi="Times New Roman"/>
          <w:sz w:val="18"/>
          <w:szCs w:val="18"/>
          <w:color w:val="auto"/>
        </w:rPr>
        <w:t>. The Private Placement Warrants have been duly authorized by the Company and,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delivered in the manner set forth in the Warrant Agreement and the Sponsor Warrants Purchase Agreement against payment therefor,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Founder Shares</w:t>
      </w:r>
      <w:r>
        <w:rPr>
          <w:rFonts w:ascii="Times New Roman" w:cs="Times New Roman" w:eastAsia="Times New Roman" w:hAnsi="Times New Roman"/>
          <w:sz w:val="18"/>
          <w:szCs w:val="18"/>
          <w:color w:val="auto"/>
        </w:rPr>
        <w:t>. The Founder Shares are duly authorized, validly issued, fully paid and non-assessable.</w:t>
      </w:r>
    </w:p>
    <w:p>
      <w:pPr>
        <w:spacing w:after="0" w:line="225" w:lineRule="exact"/>
        <w:rPr>
          <w:rFonts w:ascii="Times New Roman" w:cs="Times New Roman" w:eastAsia="Times New Roman" w:hAnsi="Times New Roman"/>
          <w:sz w:val="18"/>
          <w:szCs w:val="18"/>
          <w:b w:val="1"/>
          <w:bCs w:val="1"/>
          <w:color w:val="auto"/>
        </w:rPr>
      </w:pPr>
    </w:p>
    <w:p>
      <w:pPr>
        <w:ind w:right="140" w:firstLine="436"/>
        <w:spacing w:after="0" w:line="257" w:lineRule="auto"/>
        <w:tabs>
          <w:tab w:leader="none" w:pos="7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Securities</w:t>
      </w:r>
      <w:r>
        <w:rPr>
          <w:rFonts w:ascii="Times New Roman" w:cs="Times New Roman" w:eastAsia="Times New Roman" w:hAnsi="Times New Roman"/>
          <w:sz w:val="18"/>
          <w:szCs w:val="18"/>
          <w:color w:val="auto"/>
        </w:rPr>
        <w:t>. The Offered Securities have been duly authorized for issuance and sale pursuant to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when issued and delivered by the Company against payment therefor pursuant to this Agreement,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and the issuance and sale of the Offered Securities is not subject to any preemptive rights, rights of first refusal or other similar rights to subscribe for or purchase the Offered Securities.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66" w:right="539" w:bottom="1440" w:gutter="0" w:footer="0" w:header="0"/>
        </w:sectPr>
      </w:pPr>
    </w:p>
    <w:bookmarkStart w:id="10" w:name="page11"/>
    <w:bookmarkEnd w:id="10"/>
    <w:p>
      <w:pPr>
        <w:ind w:right="200" w:firstLine="436"/>
        <w:spacing w:after="0" w:line="317" w:lineRule="auto"/>
        <w:tabs>
          <w:tab w:leader="none" w:pos="65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Authorization of the Ordinary Shares</w:t>
      </w:r>
      <w:r>
        <w:rPr>
          <w:rFonts w:ascii="Times New Roman" w:cs="Times New Roman" w:eastAsia="Times New Roman" w:hAnsi="Times New Roman"/>
          <w:sz w:val="17"/>
          <w:szCs w:val="17"/>
          <w:color w:val="auto"/>
        </w:rPr>
        <w:t>. The Ordinary Shares included in the Units have been duly authorized and, when issued and delivered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against payment for the Offered Securities by the Underwriters pursuant to this Agreement, will be validly issued, fully paid and non-assessable.</w:t>
      </w:r>
    </w:p>
    <w:p>
      <w:pPr>
        <w:spacing w:after="0" w:line="131" w:lineRule="exact"/>
        <w:rPr>
          <w:rFonts w:ascii="Times New Roman" w:cs="Times New Roman" w:eastAsia="Times New Roman" w:hAnsi="Times New Roman"/>
          <w:sz w:val="17"/>
          <w:szCs w:val="17"/>
          <w:b w:val="1"/>
          <w:bCs w:val="1"/>
          <w:color w:val="auto"/>
        </w:rPr>
      </w:pPr>
    </w:p>
    <w:p>
      <w:pPr>
        <w:ind w:right="20" w:firstLine="436"/>
        <w:spacing w:after="0" w:line="259" w:lineRule="auto"/>
        <w:tabs>
          <w:tab w:leader="none" w:pos="7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Public Warrants</w:t>
      </w:r>
      <w:r>
        <w:rPr>
          <w:rFonts w:ascii="Times New Roman" w:cs="Times New Roman" w:eastAsia="Times New Roman" w:hAnsi="Times New Roman"/>
          <w:sz w:val="18"/>
          <w:szCs w:val="18"/>
          <w:color w:val="auto"/>
        </w:rPr>
        <w:t>. The Public Warrants have been duly authorized by the Company and, when issued and delivered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set forth in the Warrant Agreement against payment for the Offered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right="140" w:firstLine="436"/>
        <w:spacing w:after="0" w:line="255" w:lineRule="auto"/>
        <w:tabs>
          <w:tab w:leader="none" w:pos="7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Ordinary Shares Issuable Upon Exercise of the Public Warrants and Private Placement Warrants</w:t>
      </w:r>
      <w:r>
        <w:rPr>
          <w:rFonts w:ascii="Times New Roman" w:cs="Times New Roman" w:eastAsia="Times New Roman" w:hAnsi="Times New Roman"/>
          <w:sz w:val="18"/>
          <w:szCs w:val="18"/>
          <w:color w:val="auto"/>
        </w:rPr>
        <w:t>. The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issuable upon exercise of the Public Warrants and the Private Placement Warrants have been duly authorized and reserved for issuance upon exercise thereof and, when issued and delivered against payment therefor pursuant to the Public Warrants and the Private Placement Warrants, as applicable, and the Warrant Agreement, will be validly issued, fully paid and non-assessable. The holders of such Ordinary Shares are not and will not be subject to personal liability by reason of being such holders; such Ordinary Shares are not and will not be subject to any preemptive, right of first refusal or other similar contractual rights granted by the Company; and all corporate action required to be taken for the authorization, issuance and sale of such Ordinary Shares (other than such execution (if applicable), countersignature (if applicable) and delivery at the time of issuance) has been duly and validly taken.</w:t>
      </w:r>
    </w:p>
    <w:p>
      <w:pPr>
        <w:spacing w:after="0" w:line="184" w:lineRule="exact"/>
        <w:rPr>
          <w:rFonts w:ascii="Times New Roman" w:cs="Times New Roman" w:eastAsia="Times New Roman" w:hAnsi="Times New Roman"/>
          <w:sz w:val="18"/>
          <w:szCs w:val="18"/>
          <w:b w:val="1"/>
          <w:bCs w:val="1"/>
          <w:color w:val="auto"/>
        </w:rPr>
      </w:pPr>
    </w:p>
    <w:p>
      <w:pPr>
        <w:jc w:val="both"/>
        <w:ind w:right="480" w:firstLine="436"/>
        <w:spacing w:after="0" w:line="262" w:lineRule="auto"/>
        <w:tabs>
          <w:tab w:leader="none" w:pos="6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Trust Agreement</w:t>
      </w:r>
      <w:r>
        <w:rPr>
          <w:rFonts w:ascii="Times New Roman" w:cs="Times New Roman" w:eastAsia="Times New Roman" w:hAnsi="Times New Roman"/>
          <w:sz w:val="18"/>
          <w:szCs w:val="18"/>
          <w:color w:val="auto"/>
        </w:rPr>
        <w:t>. The Trust Agreement has been duly authorized and on the First Closing Date, the Trust Agreement will be duly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right="280" w:firstLine="436"/>
        <w:spacing w:after="0" w:line="262" w:lineRule="auto"/>
        <w:tabs>
          <w:tab w:leader="none" w:pos="7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Warrant Agreement</w:t>
      </w:r>
      <w:r>
        <w:rPr>
          <w:rFonts w:ascii="Times New Roman" w:cs="Times New Roman" w:eastAsia="Times New Roman" w:hAnsi="Times New Roman"/>
          <w:sz w:val="18"/>
          <w:szCs w:val="18"/>
          <w:color w:val="auto"/>
        </w:rPr>
        <w:t>. The Warrant Agreement has been duly authorized and on the First Closing Date, the Warrant Agreement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duly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Subscription Agreement</w:t>
      </w:r>
      <w:r>
        <w:rPr>
          <w:rFonts w:ascii="Times New Roman" w:cs="Times New Roman" w:eastAsia="Times New Roman" w:hAnsi="Times New Roman"/>
          <w:sz w:val="18"/>
          <w:szCs w:val="18"/>
          <w:color w:val="auto"/>
        </w:rPr>
        <w:t>. The Subscription Agreement has been duly authorized, executed and delivered by the Company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jc w:val="both"/>
        <w:ind w:firstLine="436"/>
        <w:spacing w:after="0" w:line="262" w:lineRule="auto"/>
        <w:tabs>
          <w:tab w:leader="none" w:pos="68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Sponsor Warrants Purchase Agreement</w:t>
      </w:r>
      <w:r>
        <w:rPr>
          <w:rFonts w:ascii="Times New Roman" w:cs="Times New Roman" w:eastAsia="Times New Roman" w:hAnsi="Times New Roman"/>
          <w:sz w:val="18"/>
          <w:szCs w:val="18"/>
          <w:color w:val="auto"/>
        </w:rPr>
        <w:t>. The Sponsor Warrants Purchase Agreement has been duly authorized, executed and delivered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1" w:name="page12"/>
    <w:bookmarkEnd w:id="11"/>
    <w:p>
      <w:pPr>
        <w:ind w:left="4" w:right="80" w:firstLine="436"/>
        <w:spacing w:after="0" w:line="262" w:lineRule="auto"/>
        <w:tabs>
          <w:tab w:leader="none" w:pos="67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Registration Rights Agreement. </w:t>
      </w:r>
      <w:r>
        <w:rPr>
          <w:rFonts w:ascii="Times New Roman" w:cs="Times New Roman" w:eastAsia="Times New Roman" w:hAnsi="Times New Roman"/>
          <w:sz w:val="18"/>
          <w:szCs w:val="18"/>
          <w:color w:val="auto"/>
        </w:rPr>
        <w:t>The Registration Rights Agreement has been duly authorized and on the First Closing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Rights Agreement will be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left="4" w:right="20" w:firstLine="436"/>
        <w:spacing w:after="0" w:line="257" w:lineRule="auto"/>
        <w:tabs>
          <w:tab w:leader="none" w:pos="66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Insider Letter</w:t>
      </w:r>
      <w:r>
        <w:rPr>
          <w:rFonts w:ascii="Times New Roman" w:cs="Times New Roman" w:eastAsia="Times New Roman" w:hAnsi="Times New Roman"/>
          <w:sz w:val="18"/>
          <w:szCs w:val="18"/>
          <w:color w:val="auto"/>
        </w:rPr>
        <w:t>. The Insider Letter has been duly authorized, executed and delivered by the Company, the Sponsor and, to the knowledge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each executive officer, director and director nominee of the Company, respectively, and is a valid and binding agreement of the Company, the Sponsor and, to the knowledge of the Company, each such executive officer, director and director nominee, respectively, enforceable against the Company, the Sponsor and, to the knowledge of the Company, each executive officer, director and director nominee,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2"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70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Administrative Support Agreement</w:t>
      </w:r>
      <w:r>
        <w:rPr>
          <w:rFonts w:ascii="Times New Roman" w:cs="Times New Roman" w:eastAsia="Times New Roman" w:hAnsi="Times New Roman"/>
          <w:sz w:val="18"/>
          <w:szCs w:val="18"/>
          <w:color w:val="auto"/>
        </w:rPr>
        <w:t>. The Administrative Support Agreement has been duly authorized by the Company and the Sponsor,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 the First Closing Date will be duly executed and delivered by the Company and the Sponsor, and will constitute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9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color w:val="auto"/>
        </w:rPr>
        <w:t>. Except as otherwise disclosed in the Registration Statement, the Time of Sale Prospectus and the IPO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subsequent to the respective dates as of which information is given in the Registration Statement, the Time of Sale Prospectus and the IPO Prospectus: (i) there has been no material adverse change, or any development that could be reasonably expected to result in a material adverse change, in the condition, financial or otherwise, or in the earnings, business, properties, operations, assets, liabilities or prospects, whether or not arising from transactions in the ordinary course of business of the Company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and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or has entered into any transactions not in the ordinary course of business.</w:t>
      </w:r>
    </w:p>
    <w:p>
      <w:pPr>
        <w:spacing w:after="0" w:line="188" w:lineRule="exact"/>
        <w:rPr>
          <w:rFonts w:ascii="Times New Roman" w:cs="Times New Roman" w:eastAsia="Times New Roman" w:hAnsi="Times New Roman"/>
          <w:sz w:val="18"/>
          <w:szCs w:val="18"/>
          <w:b w:val="1"/>
          <w:bCs w:val="1"/>
          <w:color w:val="auto"/>
        </w:rPr>
      </w:pPr>
    </w:p>
    <w:p>
      <w:pPr>
        <w:ind w:left="4" w:right="420" w:firstLine="436"/>
        <w:spacing w:after="0" w:line="286" w:lineRule="auto"/>
        <w:tabs>
          <w:tab w:leader="none" w:pos="73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Applicable Registration or Other Similar Rights. </w:t>
      </w:r>
      <w:r>
        <w:rPr>
          <w:rFonts w:ascii="Times New Roman" w:cs="Times New Roman" w:eastAsia="Times New Roman" w:hAnsi="Times New Roman"/>
          <w:sz w:val="18"/>
          <w:szCs w:val="18"/>
          <w:color w:val="auto"/>
        </w:rPr>
        <w:t>There are no persons with registration or other similar rights to have equity 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w:t>
      </w:r>
    </w:p>
    <w:p>
      <w:pPr>
        <w:spacing w:after="0" w:line="154" w:lineRule="exact"/>
        <w:rPr>
          <w:rFonts w:ascii="Times New Roman" w:cs="Times New Roman" w:eastAsia="Times New Roman" w:hAnsi="Times New Roman"/>
          <w:sz w:val="18"/>
          <w:szCs w:val="18"/>
          <w:b w:val="1"/>
          <w:bCs w:val="1"/>
          <w:color w:val="auto"/>
        </w:rPr>
      </w:pPr>
    </w:p>
    <w:p>
      <w:pPr>
        <w:ind w:left="4" w:right="140" w:firstLine="436"/>
        <w:spacing w:after="0" w:line="274" w:lineRule="auto"/>
        <w:tabs>
          <w:tab w:leader="none" w:pos="699" w:val="left"/>
        </w:tabs>
        <w:numPr>
          <w:ilvl w:val="1"/>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Independent Accountants</w:t>
      </w:r>
      <w:r>
        <w:rPr>
          <w:rFonts w:ascii="Times New Roman" w:cs="Times New Roman" w:eastAsia="Times New Roman" w:hAnsi="Times New Roman"/>
          <w:sz w:val="17"/>
          <w:szCs w:val="17"/>
          <w:color w:val="auto"/>
        </w:rPr>
        <w:t>. WithumSmith+Brown, PC (“</w:t>
      </w:r>
      <w:r>
        <w:rPr>
          <w:rFonts w:ascii="Times New Roman" w:cs="Times New Roman" w:eastAsia="Times New Roman" w:hAnsi="Times New Roman"/>
          <w:sz w:val="17"/>
          <w:szCs w:val="17"/>
          <w:b w:val="1"/>
          <w:bCs w:val="1"/>
          <w:color w:val="auto"/>
        </w:rPr>
        <w:t>Withum</w:t>
      </w:r>
      <w:r>
        <w:rPr>
          <w:rFonts w:ascii="Times New Roman" w:cs="Times New Roman" w:eastAsia="Times New Roman" w:hAnsi="Times New Roman"/>
          <w:sz w:val="17"/>
          <w:szCs w:val="17"/>
          <w:color w:val="auto"/>
        </w:rPr>
        <w:t>”), who has certified certain financial statements of the Company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delivered their report with respect to the audited financial statements (which term as used in this Agreement includes the related notes thereto and the supporting schedules, if any) filed with the Commission as a part of the Registration Statement, the Time of Sale Prospectus and the IPO Prospectus, is</w:t>
      </w:r>
    </w:p>
    <w:p>
      <w:pPr>
        <w:ind w:left="224" w:hanging="224"/>
        <w:spacing w:after="0"/>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public accounting firm that is independent with</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2" w:name="page13"/>
    <w:bookmarkEnd w:id="12"/>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respect to the Company within the meaning of the Securities Act and the Exchange Act and the applicable published rules and regulations thereunder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76" w:lineRule="exact"/>
        <w:rPr>
          <w:sz w:val="20"/>
          <w:szCs w:val="20"/>
          <w:color w:val="auto"/>
        </w:rPr>
      </w:pPr>
    </w:p>
    <w:p>
      <w:pPr>
        <w:ind w:right="60" w:firstLine="436"/>
        <w:spacing w:after="0" w:line="253" w:lineRule="auto"/>
        <w:tabs>
          <w:tab w:leader="none" w:pos="69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The financial statements, including the notes thereto and the supporting schedules, if any, filed with the Commission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 of the Registration Statement, the Time of Sale Prospectus and the IPO Prospectus present fairly the financial position of the Company as of the dates indicated and the results of the Company’s operations, changes in stockholders’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IPO Prospectus. The financial data set forth in each of the Registration Statement, the Time of Sale Prospectus and the IPO Prospectus under the captions “Summary— Summary Financial Data” and “Capitalization” fairly present the information set forth therein on a basis consistent with that of the audited financial statements contained in the Registration Statement, the Time of Sale Prospectus and the IPO Prospectus. There are no pro forma or as adjusted financial statements that are required to be included in the Registration Statement, the Time of Sale Prospectus and the IPO Prospectus in accordance with Regulation S-X that have not been included as so required.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IPO Prospectus.</w:t>
      </w:r>
    </w:p>
    <w:p>
      <w:pPr>
        <w:spacing w:after="0" w:line="185" w:lineRule="exact"/>
        <w:rPr>
          <w:rFonts w:ascii="Times New Roman" w:cs="Times New Roman" w:eastAsia="Times New Roman" w:hAnsi="Times New Roman"/>
          <w:sz w:val="18"/>
          <w:szCs w:val="18"/>
          <w:b w:val="1"/>
          <w:bCs w:val="1"/>
          <w:color w:val="auto"/>
        </w:rPr>
      </w:pPr>
    </w:p>
    <w:p>
      <w:pPr>
        <w:ind w:right="240" w:firstLine="436"/>
        <w:spacing w:after="0" w:line="286" w:lineRule="auto"/>
        <w:tabs>
          <w:tab w:leader="none" w:pos="68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maintains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 controls and procedures” as defined under Rule 13a-15(e) under the Exchange Act, to the extent required by such rule.</w:t>
      </w:r>
    </w:p>
    <w:p>
      <w:pPr>
        <w:spacing w:after="0" w:line="155" w:lineRule="exact"/>
        <w:rPr>
          <w:sz w:val="20"/>
          <w:szCs w:val="20"/>
          <w:color w:val="auto"/>
        </w:rPr>
      </w:pPr>
    </w:p>
    <w:p>
      <w:pPr>
        <w:ind w:left="780" w:hanging="344"/>
        <w:spacing w:after="0"/>
        <w:tabs>
          <w:tab w:leader="none" w:pos="7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Sarbanes-Oxley Act</w:t>
      </w:r>
      <w:r>
        <w:rPr>
          <w:rFonts w:ascii="Times New Roman" w:cs="Times New Roman" w:eastAsia="Times New Roman" w:hAnsi="Times New Roman"/>
          <w:sz w:val="18"/>
          <w:szCs w:val="18"/>
          <w:color w:val="auto"/>
        </w:rPr>
        <w:t>. Solely to the extent that the Sarbanes-Oxley Act of 2002, as amended, and the rules and</w:t>
      </w:r>
    </w:p>
    <w:p>
      <w:pPr>
        <w:spacing w:after="0" w:line="31" w:lineRule="exact"/>
        <w:rPr>
          <w:rFonts w:ascii="Times New Roman" w:cs="Times New Roman" w:eastAsia="Times New Roman" w:hAnsi="Times New Roman"/>
          <w:sz w:val="18"/>
          <w:szCs w:val="18"/>
          <w:b w:val="1"/>
          <w:bCs w:val="1"/>
          <w:color w:val="auto"/>
        </w:rPr>
      </w:pPr>
    </w:p>
    <w:p>
      <w:pPr>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regulations promulgated by the Commission and the Nasdaq thereunder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184"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8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Nasdaq Rules</w:t>
      </w:r>
      <w:r>
        <w:rPr>
          <w:rFonts w:ascii="Times New Roman" w:cs="Times New Roman" w:eastAsia="Times New Roman" w:hAnsi="Times New Roman"/>
          <w:sz w:val="18"/>
          <w:szCs w:val="18"/>
          <w:color w:val="auto"/>
        </w:rPr>
        <w:t>. There is and has been no failure on the part of the Company or, to the knowledge of the Company,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officers or directors, in their capacities as such, to comply with (as and when applicable), and immediately following the effective date of the IPO Prospectus, the Company will be in compliance with, Nasdaq Marketplace Rules IM-5605. Further, there is and has been no failure on the part of the Company or, to the knowledge of the Company, any of the Company’s officers or directors, in their capacities as such, to comply with (as and when applicable), and immediately following the effective date of the IPO Prospectus, the Company will be in compliance with, the phase-in requirements and all other provisions of the Nasdaq corporate governance requirements set forth in the Nasdaq Marketplace Rules.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left="-40" w:right="20" w:firstLine="436"/>
        <w:spacing w:after="0" w:line="262" w:lineRule="auto"/>
        <w:tabs>
          <w:tab w:leader="none" w:pos="72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Fees Related to this Agreement or the Offering of Offered Securities</w:t>
      </w:r>
      <w:r>
        <w:rPr>
          <w:rFonts w:ascii="Times New Roman" w:cs="Times New Roman" w:eastAsia="Times New Roman" w:hAnsi="Times New Roman"/>
          <w:sz w:val="18"/>
          <w:szCs w:val="18"/>
          <w:color w:val="auto"/>
        </w:rPr>
        <w:t>. There are no transfer, stamp, issue, registration, documentary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76" w:lineRule="exact"/>
        <w:rPr>
          <w:rFonts w:ascii="Times New Roman" w:cs="Times New Roman" w:eastAsia="Times New Roman" w:hAnsi="Times New Roman"/>
          <w:sz w:val="18"/>
          <w:szCs w:val="18"/>
          <w:b w:val="1"/>
          <w:bCs w:val="1"/>
          <w:color w:val="auto"/>
        </w:rPr>
      </w:pPr>
    </w:p>
    <w:p>
      <w:pPr>
        <w:ind w:left="-40" w:firstLine="436"/>
        <w:spacing w:after="0" w:line="256" w:lineRule="auto"/>
        <w:tabs>
          <w:tab w:leader="none" w:pos="76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Incorporation and Good Standing of the Company</w:t>
      </w:r>
      <w:r>
        <w:rPr>
          <w:rFonts w:ascii="Times New Roman" w:cs="Times New Roman" w:eastAsia="Times New Roman" w:hAnsi="Times New Roman"/>
          <w:sz w:val="18"/>
          <w:szCs w:val="18"/>
          <w:color w:val="auto"/>
        </w:rPr>
        <w:t>. The Company has been duly incorporated and is validly existing as a corporation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IPO Prospectus and to enter into and perform its obligations under this Agreement, the Trust Agreement, the Warrant Agreement, the Subscription Agreement, the Sponsor Warrants Purchase Agreement, the Registration Rights Agreement, the Insider Letter and the Administrative Support Agreement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w:t>
      </w:r>
    </w:p>
    <w:p>
      <w:pPr>
        <w:spacing w:after="0" w:line="182" w:lineRule="exact"/>
        <w:rPr>
          <w:rFonts w:ascii="Times New Roman" w:cs="Times New Roman" w:eastAsia="Times New Roman" w:hAnsi="Times New Roman"/>
          <w:sz w:val="18"/>
          <w:szCs w:val="18"/>
          <w:b w:val="1"/>
          <w:bCs w:val="1"/>
          <w:color w:val="auto"/>
        </w:rPr>
      </w:pPr>
    </w:p>
    <w:p>
      <w:pPr>
        <w:ind w:left="-40" w:right="180" w:firstLine="436"/>
        <w:spacing w:after="0" w:line="286" w:lineRule="auto"/>
        <w:tabs>
          <w:tab w:leader="none" w:pos="72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Interests in Other Entities</w:t>
      </w:r>
      <w:r>
        <w:rPr>
          <w:rFonts w:ascii="Times New Roman" w:cs="Times New Roman" w:eastAsia="Times New Roman" w:hAnsi="Times New Roman"/>
          <w:sz w:val="18"/>
          <w:szCs w:val="18"/>
          <w:color w:val="auto"/>
        </w:rPr>
        <w:t>. The Company does not own or control, directly or indirectly, an interest in any corporation, partnership,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 company, joint venture, trust or other entity.</w:t>
      </w:r>
    </w:p>
    <w:p>
      <w:pPr>
        <w:spacing w:after="0" w:line="154" w:lineRule="exact"/>
        <w:rPr>
          <w:rFonts w:ascii="Times New Roman" w:cs="Times New Roman" w:eastAsia="Times New Roman" w:hAnsi="Times New Roman"/>
          <w:sz w:val="18"/>
          <w:szCs w:val="18"/>
          <w:b w:val="1"/>
          <w:bCs w:val="1"/>
          <w:color w:val="auto"/>
        </w:rPr>
      </w:pPr>
    </w:p>
    <w:p>
      <w:pPr>
        <w:ind w:left="-40" w:right="60" w:firstLine="436"/>
        <w:spacing w:after="0" w:line="254" w:lineRule="auto"/>
        <w:tabs>
          <w:tab w:leader="none" w:pos="68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Capitalization and Other Capital Stock Matters.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and the IPO Prospectus under the caption “Capitalization” (other than for subsequent issuances, if any, pursuant to employee benefit plans, or upon the exercise of outstanding options or warrants, in each case described in the Registration Statement). The capital stock of the Company conforms in all material respects to the description thereof in the Time of Sale Prospectus, the Registration Statement and the IPO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IPO Prospectus.</w:t>
      </w:r>
    </w:p>
    <w:p>
      <w:pPr>
        <w:spacing w:after="0" w:line="185" w:lineRule="exact"/>
        <w:rPr>
          <w:rFonts w:ascii="Times New Roman" w:cs="Times New Roman" w:eastAsia="Times New Roman" w:hAnsi="Times New Roman"/>
          <w:sz w:val="18"/>
          <w:szCs w:val="18"/>
          <w:b w:val="1"/>
          <w:bCs w:val="1"/>
          <w:color w:val="auto"/>
        </w:rPr>
      </w:pPr>
    </w:p>
    <w:p>
      <w:pPr>
        <w:ind w:left="-40" w:right="20" w:firstLine="436"/>
        <w:spacing w:after="0" w:line="268" w:lineRule="auto"/>
        <w:tabs>
          <w:tab w:leader="none" w:pos="74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Sale of Securities of the Company</w:t>
      </w:r>
      <w:r>
        <w:rPr>
          <w:rFonts w:ascii="Times New Roman" w:cs="Times New Roman" w:eastAsia="Times New Roman" w:hAnsi="Times New Roman"/>
          <w:sz w:val="18"/>
          <w:szCs w:val="18"/>
          <w:color w:val="auto"/>
        </w:rPr>
        <w:t>. No securities of the Company have been sold by the Company or by or on behalf of, or for the benefit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person or persons controlling, controlled by, or under common control with the Company from its inception through and including the date hereof, except as disclosed in the Registration Statement, the Time of Sale Prospectus and the IPO Prospectus.</w:t>
      </w:r>
    </w:p>
    <w:p>
      <w:pPr>
        <w:spacing w:after="0" w:line="170" w:lineRule="exact"/>
        <w:rPr>
          <w:rFonts w:ascii="Times New Roman" w:cs="Times New Roman" w:eastAsia="Times New Roman" w:hAnsi="Times New Roman"/>
          <w:sz w:val="18"/>
          <w:szCs w:val="18"/>
          <w:b w:val="1"/>
          <w:bCs w:val="1"/>
          <w:color w:val="auto"/>
        </w:rPr>
      </w:pPr>
    </w:p>
    <w:p>
      <w:pPr>
        <w:ind w:left="-40" w:right="120" w:firstLine="436"/>
        <w:spacing w:after="0" w:line="268" w:lineRule="auto"/>
        <w:tabs>
          <w:tab w:leader="none" w:pos="76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“Penny Stock” Securities</w:t>
      </w:r>
      <w:r>
        <w:rPr>
          <w:rFonts w:ascii="Times New Roman" w:cs="Times New Roman" w:eastAsia="Times New Roman" w:hAnsi="Times New Roman"/>
          <w:sz w:val="18"/>
          <w:szCs w:val="18"/>
          <w:color w:val="auto"/>
        </w:rPr>
        <w:t>. Upon delivery and payment for the Units on the First Closing Date and any Option Closing Dates,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be subject to Rule 419 under the Securities Act and none of the Company’s outstanding securities will be deemed to be a “penny stock” as defined in Rule 3a51-1 under the Exchange 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80" w:top="266" w:right="479" w:bottom="1440" w:gutter="0" w:footer="0" w:header="0"/>
        </w:sectPr>
      </w:pPr>
    </w:p>
    <w:bookmarkStart w:id="14" w:name="page15"/>
    <w:bookmarkEnd w:id="14"/>
    <w:p>
      <w:pPr>
        <w:ind w:left="-60" w:firstLine="436"/>
        <w:spacing w:after="0" w:line="252" w:lineRule="auto"/>
        <w:tabs>
          <w:tab w:leader="none" w:pos="64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Non-Contravention of Existing Instruments; No Further Authorizations or Approvals Required</w:t>
      </w:r>
      <w:r>
        <w:rPr>
          <w:rFonts w:ascii="Times New Roman" w:cs="Times New Roman" w:eastAsia="Times New Roman" w:hAnsi="Times New Roman"/>
          <w:sz w:val="18"/>
          <w:szCs w:val="18"/>
          <w:color w:val="auto"/>
        </w:rPr>
        <w:t>. The Company is not in violation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and, as of the First Closing Date, will not be in violation of its amended and restated memorandum and articles of association (as it may be amended from time to time, the “</w:t>
      </w:r>
      <w:r>
        <w:rPr>
          <w:rFonts w:ascii="Times New Roman" w:cs="Times New Roman" w:eastAsia="Times New Roman" w:hAnsi="Times New Roman"/>
          <w:sz w:val="18"/>
          <w:szCs w:val="18"/>
          <w:b w:val="1"/>
          <w:bCs w:val="1"/>
          <w:color w:val="auto"/>
        </w:rPr>
        <w:t>Amended and Restated Memorandum and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and is not in default (or, with the giving of notice or lapse of time, would not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could not be reasonably expected, individually or in the aggregate, to have a material adverse effect on the financial condition, earnings, business, properties, operations, assets, liabilities or prospects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Company’s execution, delivery and performance of this Agreement, the Trust Agreement, the Warrant Agreement, the Subscription Agreement, the Sponsor Warrants Purchase Agreement, the Registration Rights Agreement, the Insider Letter and the Administrative Support Agreement, consummation of the transactions contemplated hereby and by the Registration Statement, the Time of Sale Prospectus and the IPO Prospectus and the issuance and sale of the Offered Securities (including the use of proceeds from the sale of the Offered Securities as described in the Registration Statement, the Time of Sale Prospectus and the IPO Prospectus under the caption “Use of Proceeds”) (i) have been duly authorized by all necessary corporate action and will not result in any violation of the provisions of the Amended and Restated Memorandum and Articles of Association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the Company’s execution, delivery and performance of this Agreement, the Trust Agreement, the Warrant Agreement, the Subscription Agreement, the Sponsor Warrants Purchase Agreement, the Registration Rights Agreement, the Insider Letter or the Administrative Support Agreement and consummation of the transactions contemplated hereby and by the Registration Statement, the Time of Sale Prospectus and the IPO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60" w:right="140" w:firstLine="436"/>
        <w:spacing w:after="0" w:line="286" w:lineRule="auto"/>
        <w:tabs>
          <w:tab w:leader="none" w:pos="66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Laws</w:t>
      </w:r>
      <w:r>
        <w:rPr>
          <w:rFonts w:ascii="Times New Roman" w:cs="Times New Roman" w:eastAsia="Times New Roman" w:hAnsi="Times New Roman"/>
          <w:sz w:val="18"/>
          <w:szCs w:val="18"/>
          <w:color w:val="auto"/>
        </w:rPr>
        <w:t>. The Company has been and is in compliance with all applicable laws, rules and regulations, except where failure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so in compliance could not be reasonably expected, individually or in the aggregate, to have a Material Adverse Effect.</w:t>
      </w:r>
    </w:p>
    <w:p>
      <w:pPr>
        <w:spacing w:after="0" w:line="154" w:lineRule="exact"/>
        <w:rPr>
          <w:rFonts w:ascii="Times New Roman" w:cs="Times New Roman" w:eastAsia="Times New Roman" w:hAnsi="Times New Roman"/>
          <w:sz w:val="18"/>
          <w:szCs w:val="18"/>
          <w:b w:val="1"/>
          <w:bCs w:val="1"/>
          <w:color w:val="auto"/>
        </w:rPr>
      </w:pPr>
    </w:p>
    <w:p>
      <w:pPr>
        <w:ind w:left="-60" w:right="120" w:firstLine="436"/>
        <w:spacing w:after="0" w:line="257" w:lineRule="auto"/>
        <w:tabs>
          <w:tab w:leader="none" w:pos="74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color w:val="auto"/>
        </w:rPr>
        <w:t>. There is no action, suit, proceeding, inquiry or investigation brought by or before any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entity now pending or, to the knowledge of the Company, threatened, against or affecting the Company or the Sponsor, which could be reasonably expected, individually or in the aggregate, to have a Material Adverse Effect or materially and adversely affect the consummation of the transactions contemplated by this Agreement, the Trust Agreement, the Warrant Agreement, the Subscription Agreement, the Sponsor Warrants Purchase Agreement, the Registration Rights Agreement, the Insider Letter or the Administrative Support Agreement or the performance by the Company of its obligations hereunder and thereunder.</w:t>
      </w:r>
    </w:p>
    <w:p>
      <w:pPr>
        <w:spacing w:after="0" w:line="182" w:lineRule="exact"/>
        <w:rPr>
          <w:rFonts w:ascii="Times New Roman" w:cs="Times New Roman" w:eastAsia="Times New Roman" w:hAnsi="Times New Roman"/>
          <w:sz w:val="18"/>
          <w:szCs w:val="18"/>
          <w:b w:val="1"/>
          <w:bCs w:val="1"/>
          <w:color w:val="auto"/>
        </w:rPr>
      </w:pPr>
    </w:p>
    <w:p>
      <w:pPr>
        <w:ind w:left="-60" w:right="80" w:firstLine="436"/>
        <w:spacing w:after="0" w:line="259" w:lineRule="auto"/>
        <w:tabs>
          <w:tab w:leader="none" w:pos="64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All Necessary Permits, etc. </w:t>
      </w:r>
      <w:r>
        <w:rPr>
          <w:rFonts w:ascii="Times New Roman" w:cs="Times New Roman" w:eastAsia="Times New Roman" w:hAnsi="Times New Roman"/>
          <w:sz w:val="18"/>
          <w:szCs w:val="18"/>
          <w:color w:val="auto"/>
        </w:rPr>
        <w:t>The Company possesses such valid and current certificates, authorizations or permits required by state, federal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regulatory agencies or bodies to conduct its business as currently conducted and as described in the Registration Statement, the Time of Sale Prospectus or the IPO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The Company is not in violation of, or in default under, any of the Permits and has not received any notice of proceedings relating to the revocation or modification of, or non-compliance with, any such certificate, authorization or permit that, individually or in the aggregate, if the subject of an unfavorable decision, ruling or finding, would have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6" w:right="519" w:bottom="1440" w:gutter="0" w:footer="0" w:header="0"/>
        </w:sectPr>
      </w:pPr>
    </w:p>
    <w:bookmarkStart w:id="15" w:name="page16"/>
    <w:bookmarkEnd w:id="15"/>
    <w:p>
      <w:pPr>
        <w:ind w:left="880" w:hanging="464"/>
        <w:spacing w:after="0"/>
        <w:tabs>
          <w:tab w:leader="none" w:pos="8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to Properties</w:t>
      </w:r>
      <w:r>
        <w:rPr>
          <w:rFonts w:ascii="Times New Roman" w:cs="Times New Roman" w:eastAsia="Times New Roman" w:hAnsi="Times New Roman"/>
          <w:sz w:val="17"/>
          <w:szCs w:val="17"/>
          <w:color w:val="auto"/>
        </w:rPr>
        <w:t>. The Company owns or leases all such properties as are necessary to the conduct of its operations as presently conducted.</w:t>
      </w:r>
    </w:p>
    <w:p>
      <w:pPr>
        <w:spacing w:after="0" w:line="236" w:lineRule="exact"/>
        <w:rPr>
          <w:rFonts w:ascii="Times New Roman" w:cs="Times New Roman" w:eastAsia="Times New Roman" w:hAnsi="Times New Roman"/>
          <w:sz w:val="17"/>
          <w:szCs w:val="17"/>
          <w:b w:val="1"/>
          <w:bCs w:val="1"/>
          <w:color w:val="auto"/>
        </w:rPr>
      </w:pPr>
    </w:p>
    <w:p>
      <w:pPr>
        <w:ind w:left="-20" w:right="20" w:firstLine="436"/>
        <w:spacing w:after="0" w:line="259" w:lineRule="auto"/>
        <w:tabs>
          <w:tab w:leader="none" w:pos="7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color w:val="auto"/>
        </w:rPr>
        <w:t>. The Company has filed all necessary federal, state and foreign income and franchise tax returns or has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extensions thereof (except in any case in which the failure to so file would not have a Material Adverse Effect) through the date hereof and has paid all taxes required to be paid by it and, if due and payable, any related or similar assessment, fine or penalty levied against it except as may be being contested in good faith and by appropriate proceedings and for which adequate reserves required by generally accepted accounting principles have been created with respect thereto or as would not have a Material Adverse Effect.</w:t>
      </w:r>
    </w:p>
    <w:p>
      <w:pPr>
        <w:spacing w:after="0" w:line="179" w:lineRule="exact"/>
        <w:rPr>
          <w:rFonts w:ascii="Times New Roman" w:cs="Times New Roman" w:eastAsia="Times New Roman" w:hAnsi="Times New Roman"/>
          <w:sz w:val="18"/>
          <w:szCs w:val="18"/>
          <w:b w:val="1"/>
          <w:bCs w:val="1"/>
          <w:color w:val="auto"/>
        </w:rPr>
      </w:pPr>
    </w:p>
    <w:p>
      <w:pPr>
        <w:ind w:left="-20" w:right="760" w:firstLine="436"/>
        <w:spacing w:after="0" w:line="286" w:lineRule="auto"/>
        <w:tabs>
          <w:tab w:leader="none" w:pos="76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color w:val="auto"/>
        </w:rPr>
        <w:t>. The Company has not established or maintained any “employee benefit plan” (as defined under the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thus is not subject to ERISA.</w:t>
      </w:r>
    </w:p>
    <w:p>
      <w:pPr>
        <w:spacing w:after="0" w:line="154" w:lineRule="exact"/>
        <w:rPr>
          <w:rFonts w:ascii="Times New Roman" w:cs="Times New Roman" w:eastAsia="Times New Roman" w:hAnsi="Times New Roman"/>
          <w:sz w:val="18"/>
          <w:szCs w:val="18"/>
          <w:b w:val="1"/>
          <w:bCs w:val="1"/>
          <w:color w:val="auto"/>
        </w:rPr>
      </w:pPr>
    </w:p>
    <w:p>
      <w:pPr>
        <w:ind w:left="-20" w:right="80" w:firstLine="436"/>
        <w:spacing w:after="0" w:line="262" w:lineRule="auto"/>
        <w:tabs>
          <w:tab w:leader="none" w:pos="7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Not an “Investment Company</w:t>
      </w:r>
      <w:r>
        <w:rPr>
          <w:rFonts w:ascii="Times New Roman" w:cs="Times New Roman" w:eastAsia="Times New Roman" w:hAnsi="Times New Roman"/>
          <w:sz w:val="18"/>
          <w:szCs w:val="18"/>
          <w:color w:val="auto"/>
        </w:rPr>
        <w:t>.” The Company is not, and will not be, either after receipt of payment for the Offered Securities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application of the proceeds therefrom as described under “Use of Proceeds” in the Registration Statement, the Time of Sale Prospectus or the IPO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20" w:right="180" w:firstLine="436"/>
        <w:spacing w:after="0" w:line="262" w:lineRule="auto"/>
        <w:tabs>
          <w:tab w:leader="none" w:pos="7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Price Stabilization or Manipulation; Compliance with Regulation M. </w:t>
      </w:r>
      <w:r>
        <w:rPr>
          <w:rFonts w:ascii="Times New Roman" w:cs="Times New Roman" w:eastAsia="Times New Roman" w:hAnsi="Times New Roman"/>
          <w:sz w:val="18"/>
          <w:szCs w:val="18"/>
          <w:color w:val="auto"/>
        </w:rPr>
        <w:t>None of the Company, the Sponsor, or, to the knowledge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any of their respective officers or directors, has taken, directly or indirectly, any action 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20" w:right="340" w:firstLine="436"/>
        <w:spacing w:after="0" w:line="317" w:lineRule="auto"/>
        <w:tabs>
          <w:tab w:leader="none" w:pos="74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Related-Party Transactions</w:t>
      </w:r>
      <w:r>
        <w:rPr>
          <w:rFonts w:ascii="Times New Roman" w:cs="Times New Roman" w:eastAsia="Times New Roman" w:hAnsi="Times New Roman"/>
          <w:sz w:val="17"/>
          <w:szCs w:val="17"/>
          <w:color w:val="auto"/>
        </w:rPr>
        <w:t>. There are no business relationships or related-party transactions involving the Company or any other person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be described in the Registration Statement, the Time of Sale Prospectus or the IPO Prospectus that have not been described as required.</w:t>
      </w:r>
    </w:p>
    <w:p>
      <w:pPr>
        <w:spacing w:after="0" w:line="131" w:lineRule="exact"/>
        <w:rPr>
          <w:rFonts w:ascii="Times New Roman" w:cs="Times New Roman" w:eastAsia="Times New Roman" w:hAnsi="Times New Roman"/>
          <w:sz w:val="17"/>
          <w:szCs w:val="17"/>
          <w:b w:val="1"/>
          <w:bCs w:val="1"/>
          <w:color w:val="auto"/>
        </w:rPr>
      </w:pPr>
    </w:p>
    <w:p>
      <w:pPr>
        <w:ind w:left="-20" w:right="120" w:firstLine="436"/>
        <w:spacing w:after="0" w:line="262" w:lineRule="auto"/>
        <w:tabs>
          <w:tab w:leader="none" w:pos="72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color w:val="auto"/>
        </w:rPr>
        <w:t>. All of the information provided to the Underwriters or to counsel for the Underwriters by the Company and,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of the Company, its counsel, its officers, directors, director nominees, the Sponsor and the other holders of any securities (debt or equity) or options to acquire any securities of the Company in connection with the Offering is true, complete, correct and compliant in all material respects with FINRA’s rules.</w:t>
      </w:r>
    </w:p>
    <w:p>
      <w:pPr>
        <w:spacing w:after="0" w:line="176" w:lineRule="exact"/>
        <w:rPr>
          <w:rFonts w:ascii="Times New Roman" w:cs="Times New Roman" w:eastAsia="Times New Roman" w:hAnsi="Times New Roman"/>
          <w:sz w:val="18"/>
          <w:szCs w:val="18"/>
          <w:b w:val="1"/>
          <w:bCs w:val="1"/>
          <w:color w:val="auto"/>
        </w:rPr>
      </w:pPr>
    </w:p>
    <w:p>
      <w:pPr>
        <w:ind w:left="-20" w:right="240" w:firstLine="436"/>
        <w:spacing w:after="0" w:line="259" w:lineRule="auto"/>
        <w:tabs>
          <w:tab w:leader="none" w:pos="70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Conflict of Interest</w:t>
      </w:r>
      <w:r>
        <w:rPr>
          <w:rFonts w:ascii="Times New Roman" w:cs="Times New Roman" w:eastAsia="Times New Roman" w:hAnsi="Times New Roman"/>
          <w:sz w:val="18"/>
          <w:szCs w:val="18"/>
          <w:color w:val="auto"/>
        </w:rPr>
        <w:t>. To the Company’s knowledge after reasonable inquiry, there are no affiliations or associations between (i)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66" w:right="459" w:bottom="1440" w:gutter="0" w:footer="0" w:header="0"/>
        </w:sectPr>
      </w:pPr>
    </w:p>
    <w:bookmarkStart w:id="16" w:name="page17"/>
    <w:bookmarkEnd w:id="16"/>
    <w:p>
      <w:pPr>
        <w:ind w:left="4" w:right="240" w:firstLine="436"/>
        <w:spacing w:after="0" w:line="268" w:lineRule="auto"/>
        <w:tabs>
          <w:tab w:leader="none" w:pos="80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Non-Compete/Non-Solicit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Company’s knowledge, none of the Sponsor, officers, directors or director nominees of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70" w:lineRule="exact"/>
        <w:rPr>
          <w:rFonts w:ascii="Times New Roman" w:cs="Times New Roman" w:eastAsia="Times New Roman" w:hAnsi="Times New Roman"/>
          <w:sz w:val="18"/>
          <w:szCs w:val="18"/>
          <w:b w:val="1"/>
          <w:bCs w:val="1"/>
          <w:color w:val="auto"/>
        </w:rPr>
      </w:pPr>
    </w:p>
    <w:p>
      <w:pPr>
        <w:jc w:val="both"/>
        <w:ind w:left="4" w:firstLine="436"/>
        <w:spacing w:after="0" w:line="268" w:lineRule="auto"/>
        <w:tabs>
          <w:tab w:leader="none" w:pos="78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color w:val="auto"/>
        </w:rPr>
        <w:t>. All statistical, industry-related and market-related data included in the Registration Statement, the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Sale Prospectus or the IPO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170" w:lineRule="exact"/>
        <w:rPr>
          <w:rFonts w:ascii="Times New Roman" w:cs="Times New Roman" w:eastAsia="Times New Roman" w:hAnsi="Times New Roman"/>
          <w:sz w:val="18"/>
          <w:szCs w:val="18"/>
          <w:b w:val="1"/>
          <w:bCs w:val="1"/>
          <w:color w:val="auto"/>
        </w:rPr>
      </w:pPr>
    </w:p>
    <w:p>
      <w:pPr>
        <w:jc w:val="both"/>
        <w:ind w:left="4" w:right="80" w:firstLine="436"/>
        <w:spacing w:after="0" w:line="268" w:lineRule="auto"/>
        <w:tabs>
          <w:tab w:leader="none" w:pos="86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color w:val="auto"/>
        </w:rPr>
        <w:t>. Neither the Company nor the Sponsor, nor to the Company’s knowledge, any employee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agent of the Company, has made any contribution or other payment to any official of, or candidate for, any federal, state or foreign office in violation of any law or of the character required to be disclosed in the Registration Statement, the Time of Sale Prospectus or the IPO Prospectus.</w:t>
      </w:r>
    </w:p>
    <w:p>
      <w:pPr>
        <w:spacing w:after="0" w:line="170" w:lineRule="exact"/>
        <w:rPr>
          <w:rFonts w:ascii="Times New Roman" w:cs="Times New Roman" w:eastAsia="Times New Roman" w:hAnsi="Times New Roman"/>
          <w:sz w:val="18"/>
          <w:szCs w:val="18"/>
          <w:b w:val="1"/>
          <w:bCs w:val="1"/>
          <w:color w:val="auto"/>
        </w:rPr>
      </w:pPr>
    </w:p>
    <w:p>
      <w:pPr>
        <w:ind w:left="4" w:right="60" w:firstLine="436"/>
        <w:spacing w:after="0" w:line="274" w:lineRule="auto"/>
        <w:tabs>
          <w:tab w:leader="none" w:pos="789" w:val="left"/>
        </w:tabs>
        <w:numPr>
          <w:ilvl w:val="1"/>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Anti-Corruption and Anti-Bribery Laws</w:t>
      </w:r>
      <w:r>
        <w:rPr>
          <w:rFonts w:ascii="Times New Roman" w:cs="Times New Roman" w:eastAsia="Times New Roman" w:hAnsi="Times New Roman"/>
          <w:sz w:val="17"/>
          <w:szCs w:val="17"/>
          <w:color w:val="auto"/>
        </w:rPr>
        <w:t>. None of the Company, the Sponsor, nor to the knowledge of the Company, any director,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nominee, officer, employee, agent, affiliate or other persons acting on behalf of the Company has, in the course of its, his or her actions for, or on behalf of, the Company: (i) used any corporate funds for any unlawful contribution, gift, entertainment or other unlawful expenses relating to political activity;</w:t>
      </w:r>
    </w:p>
    <w:p>
      <w:pPr>
        <w:ind w:left="4" w:right="40" w:hanging="4"/>
        <w:spacing w:after="0" w:line="251"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the Sponsor, and, to the knowledge of the Company, the Company’s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189" w:lineRule="exact"/>
        <w:rPr>
          <w:rFonts w:ascii="Times New Roman" w:cs="Times New Roman" w:eastAsia="Times New Roman" w:hAnsi="Times New Roman"/>
          <w:sz w:val="18"/>
          <w:szCs w:val="18"/>
          <w:color w:val="auto"/>
        </w:rPr>
      </w:pPr>
    </w:p>
    <w:p>
      <w:pPr>
        <w:ind w:left="4" w:right="80" w:firstLine="436"/>
        <w:spacing w:after="0" w:line="257" w:lineRule="auto"/>
        <w:tabs>
          <w:tab w:leader="none" w:pos="789"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The operations of the Company and the Sponsor are, and have been conducted at all times, in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the applicable money laundering statutes of all jurisdictions where the Company conducts business, the applicable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the Money Laundering Laws is pending or, to the knowledge of the Company, threatened.</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7" w:name="page18"/>
    <w:bookmarkEnd w:id="17"/>
    <w:p>
      <w:pPr>
        <w:ind w:left="4" w:right="40" w:firstLine="436"/>
        <w:spacing w:after="0" w:line="253" w:lineRule="auto"/>
        <w:tabs>
          <w:tab w:leader="none" w:pos="76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Sanctions</w:t>
      </w:r>
      <w:r>
        <w:rPr>
          <w:rFonts w:ascii="Times New Roman" w:cs="Times New Roman" w:eastAsia="Times New Roman" w:hAnsi="Times New Roman"/>
          <w:sz w:val="18"/>
          <w:szCs w:val="18"/>
          <w:color w:val="auto"/>
        </w:rPr>
        <w:t>. None of the Company, the Sponsor, nor, to the knowledge of the Company, any directors, director nominees, officers,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of the Company, or any agent, affiliate or other person acting on behalf of the Company, is currently the subject or the target of any U.S. sanctions administered by the Office of Foreign Assets Control of the U.S. Department of the Treasury or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or target of Sanctions, including, without limitation, Crimea, Cuba, Iran, North Korea, and Syria; and the Company will not directly or indirectly use the proceeds of the Offering, or lend, contribute or otherwise make available such proceeds to any subsidiary, or any joint venture partner or other person or entity, for the purpose of financing the activities of or business with any person, or in any country or territory, that at the time of the Offering, is the subject or target of Sanctions or in any other manner that will result in a violation by any person (including any person participating in the transaction whether as underwriter, advisor, investor or otherwise) of applicable Sanctions. Since its inception, the Company has not knowingly engaged in and is not now knowingly engaged in any dealings or transactions with any person that at the time of the dealing or transaction is or was the subject or the target of Sanctions or with any sanctioned country.</w:t>
      </w:r>
    </w:p>
    <w:p>
      <w:pPr>
        <w:spacing w:after="0" w:line="190" w:lineRule="exact"/>
        <w:rPr>
          <w:sz w:val="20"/>
          <w:szCs w:val="20"/>
          <w:color w:val="auto"/>
        </w:rPr>
      </w:pPr>
    </w:p>
    <w:p>
      <w:pPr>
        <w:ind w:left="4" w:firstLine="436"/>
        <w:spacing w:after="0" w:line="268" w:lineRule="auto"/>
        <w:tabs>
          <w:tab w:leader="none" w:pos="87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color w:val="auto"/>
        </w:rPr>
        <w:t>. Except as described in the Registration Statement, the Time of Sale Prospectus and the IPO Prospectus, there is no broker, finder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party that is entitled to receive from the Company any brokerage or finder’s fee or other fee or commission as a result of any transactions contemplated by this Agreement.</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53" w:lineRule="auto"/>
        <w:tabs>
          <w:tab w:leader="none" w:pos="9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color w:val="auto"/>
        </w:rPr>
        <w:t>. The Company’s information technology assets and equipment, computers, systems, networks, hardware, software, websites,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as currently conducted, and is not known by the Company to contain any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and</w:t>
      </w:r>
    </w:p>
    <w:p>
      <w:pPr>
        <w:spacing w:after="0" w:line="2" w:lineRule="exact"/>
        <w:rPr>
          <w:rFonts w:ascii="Times New Roman" w:cs="Times New Roman" w:eastAsia="Times New Roman" w:hAnsi="Times New Roman"/>
          <w:sz w:val="18"/>
          <w:szCs w:val="18"/>
          <w:b w:val="1"/>
          <w:bCs w:val="1"/>
          <w:color w:val="auto"/>
        </w:rPr>
      </w:pPr>
    </w:p>
    <w:p>
      <w:pPr>
        <w:ind w:left="4" w:right="60" w:hanging="4"/>
        <w:spacing w:after="0" w:line="252" w:lineRule="auto"/>
        <w:tabs>
          <w:tab w:leader="none" w:pos="3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piece of information that allows the identification of such natural person, or his or her family, or permits the collection or analysis of any data related to an identified person’s health or sexual orientation. The Company is unaware of any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4" w:lineRule="exact"/>
        <w:rPr>
          <w:rFonts w:ascii="Times New Roman" w:cs="Times New Roman" w:eastAsia="Times New Roman" w:hAnsi="Times New Roman"/>
          <w:sz w:val="18"/>
          <w:szCs w:val="18"/>
          <w:color w:val="auto"/>
        </w:rPr>
      </w:pPr>
    </w:p>
    <w:p>
      <w:pPr>
        <w:ind w:left="4" w:right="100" w:firstLine="436"/>
        <w:spacing w:after="0" w:line="262" w:lineRule="auto"/>
        <w:tabs>
          <w:tab w:leader="none" w:pos="84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Compliance with Data Privacy Laws. </w:t>
      </w:r>
      <w:r>
        <w:rPr>
          <w:rFonts w:ascii="Times New Roman" w:cs="Times New Roman" w:eastAsia="Times New Roman" w:hAnsi="Times New Roman"/>
          <w:sz w:val="18"/>
          <w:szCs w:val="18"/>
          <w:color w:val="auto"/>
        </w:rPr>
        <w:t>The Company is, and at all prior times was, in material compliance with all applicable state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data privacy and security laws and regulations, and the Company has taken commercially reasonable actions to prepare to comply with, and since its inception, have been and currently are in compliance with,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6" w:right="43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Privacy Laws, the Company has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has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it: (i) has not received notice of any actual or potential liability under or relating to, or actual or potential violation of, any of the Privacy Laws, and has no knowledge of any event or condition that would reasonably be reasonably expected to result in any such notice; (ii) is not currently conducting or paying for, in whole or in part, any investigation, remediation, or other corrective action pursuant to any Privacy Law; or (iii) is not a party to any order, decree, or agreement that imposes any obligation or liability under any Privacy Law.</w:t>
      </w:r>
    </w:p>
    <w:p>
      <w:pPr>
        <w:spacing w:after="0" w:line="184" w:lineRule="exact"/>
        <w:rPr>
          <w:sz w:val="20"/>
          <w:szCs w:val="20"/>
          <w:color w:val="auto"/>
        </w:rPr>
      </w:pPr>
    </w:p>
    <w:p>
      <w:pPr>
        <w:ind w:right="140" w:firstLine="436"/>
        <w:spacing w:after="0" w:line="262" w:lineRule="auto"/>
        <w:tabs>
          <w:tab w:leader="none" w:pos="90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From the time of the initial confidential submission of the Registration Statement to the Commission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Growth Company</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right="40" w:firstLine="436"/>
        <w:spacing w:after="0" w:line="268" w:lineRule="auto"/>
        <w:tabs>
          <w:tab w:leader="none" w:pos="84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 with Potential Business Combination Targets</w:t>
      </w:r>
      <w:r>
        <w:rPr>
          <w:rFonts w:ascii="Times New Roman" w:cs="Times New Roman" w:eastAsia="Times New Roman" w:hAnsi="Times New Roman"/>
          <w:sz w:val="18"/>
          <w:szCs w:val="18"/>
          <w:color w:val="auto"/>
        </w:rPr>
        <w:t>. Prior to the date hereof, neither the Company nor anyone on its behalf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of the First Closing Date, neither the Company nor anyone on its behalf will have, selected any Business Combination target or initiated any substantive discussions, directly or indirectly, with any Business Combination target.</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54" w:lineRule="auto"/>
        <w:tabs>
          <w:tab w:leader="none" w:pos="78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The Company (i) has not alone engaged in communications with potential investors in reliance on Section 5(d)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other than Permitted Section 5(d) Communications with the consent of the Representative with entities that are QIBs or IAIs and (ii) has not authorized anyone other than the Representative to engage in such communications; the Company reconfirms that the Representative has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IPO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to counsel for the Underwriters in connection with the Offering, or the purchase and sale of the Offered Securities shall be deemed a representation and warranty by the Company to each Underwriter as to the matters covered thereby.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a reasonable basis for making each of the representations set forth in this Section 1. For purposes of the representations set forth in this Section 1, “knowledge” refers to the knowledge of any officer of the Company, whether acquired in the course of such officer’s duties to the Company or otherwise.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Securities.</w:t>
      </w:r>
    </w:p>
    <w:p>
      <w:pPr>
        <w:spacing w:after="0" w:line="117" w:lineRule="exact"/>
        <w:rPr>
          <w:sz w:val="20"/>
          <w:szCs w:val="20"/>
          <w:color w:val="auto"/>
        </w:rPr>
      </w:pPr>
    </w:p>
    <w:p>
      <w:pPr>
        <w:ind w:right="180" w:firstLine="436"/>
        <w:spacing w:after="0" w:line="259" w:lineRule="auto"/>
        <w:tabs>
          <w:tab w:leader="none" w:pos="69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Securities</w:t>
      </w:r>
      <w:r>
        <w:rPr>
          <w:rFonts w:ascii="Times New Roman" w:cs="Times New Roman" w:eastAsia="Times New Roman" w:hAnsi="Times New Roman"/>
          <w:sz w:val="18"/>
          <w:szCs w:val="18"/>
          <w:color w:val="auto"/>
        </w:rPr>
        <w:t>. Upon the terms herein set forth, the Company agrees to issue and sell to the several Underwriters an aggregate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20,000,000 Units.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The purchase price per Unit to be paid by the several Underwriters to the Company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shall be $9.80 per Unit set forth opposite the name of such Underwriter in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7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color w:val="auto"/>
        </w:rPr>
        <w:t>. Delivery of the Firm Securities to be purchased by the Underwriters and payment therefor shall be made at 9:00 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City time, on September 25, 2020, or such other time and date not later than 1:30 p.m. New York City time on October 9, 2020 as the Representative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IPO Prospectus or a delay as contemplated by the provisions of Section 10. Delivery of the Firm Securities shall be made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Representative shall otherwise instruct.</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8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Optional Securities; Option Closing Date</w:t>
      </w:r>
      <w:r>
        <w:rPr>
          <w:rFonts w:ascii="Times New Roman" w:cs="Times New Roman" w:eastAsia="Times New Roman" w:hAnsi="Times New Roman"/>
          <w:sz w:val="18"/>
          <w:szCs w:val="18"/>
          <w:color w:val="auto"/>
        </w:rPr>
        <w:t>. In addition, on the basis of the representations, warranties and agreements herein contained,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upon the terms but subject to the conditions herein set forth, the Company hereby grants an option to the several Underwriters to purchase, severally and not jointly, up to an aggregate of 3,000,000 Units from the Company at the purchase price per Unit to be paid by the Underwriters for the Firm Securities.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the Firm Securities and such Optional Securities). Any such time and date of delivery, if subsequent to the First 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and shall be determined by the Representative and shall not be earlier than two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 may determine) that bears the same proportion to the total number of Optional Securities to be purchased as the number of Firm Securities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Securities. The Representative may cancel the option at any time prior to its expiration by giving written notice of such cancellation to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0" w:name="page21"/>
    <w:bookmarkEnd w:id="20"/>
    <w:p>
      <w:pPr>
        <w:ind w:right="20" w:firstLine="436"/>
        <w:spacing w:after="0" w:line="262" w:lineRule="auto"/>
        <w:tabs>
          <w:tab w:leader="none" w:pos="70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Offering of the Offered Securities</w:t>
      </w:r>
      <w:r>
        <w:rPr>
          <w:rFonts w:ascii="Times New Roman" w:cs="Times New Roman" w:eastAsia="Times New Roman" w:hAnsi="Times New Roman"/>
          <w:sz w:val="18"/>
          <w:szCs w:val="18"/>
          <w:color w:val="auto"/>
        </w:rPr>
        <w:t>. The Representative hereby advises the Company that the Underwriters intend to offer for sale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IPO Prospectus, their respective portions of the Offered Securities as soon after this Agreement has been executed and the Registration Statement has been declared effective as the Representative, in its sole judgment, has determined is advisable and practicable.</w:t>
      </w:r>
    </w:p>
    <w:p>
      <w:pPr>
        <w:spacing w:after="0" w:line="176" w:lineRule="exact"/>
        <w:rPr>
          <w:rFonts w:ascii="Times New Roman" w:cs="Times New Roman" w:eastAsia="Times New Roman" w:hAnsi="Times New Roman"/>
          <w:sz w:val="18"/>
          <w:szCs w:val="18"/>
          <w:b w:val="1"/>
          <w:bCs w:val="1"/>
          <w:color w:val="auto"/>
        </w:rPr>
      </w:pPr>
    </w:p>
    <w:p>
      <w:pPr>
        <w:ind w:right="40" w:firstLine="436"/>
        <w:spacing w:after="0" w:line="256" w:lineRule="auto"/>
        <w:tabs>
          <w:tab w:leader="none" w:pos="68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and Payment for the Offered Securities</w:t>
      </w:r>
      <w:r>
        <w:rPr>
          <w:rFonts w:ascii="Times New Roman" w:cs="Times New Roman" w:eastAsia="Times New Roman" w:hAnsi="Times New Roman"/>
          <w:sz w:val="18"/>
          <w:szCs w:val="18"/>
          <w:color w:val="auto"/>
        </w:rPr>
        <w:t>. In addition to the discount from the public offering price represented by the Purchase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forth in the last sentence of Section 2(a) of this Agreement, the Company hereby agrees to pay to the Underwriters a deferred discount of $0.35 per Unit (including both Firm Securities and Optional Securities) purchased hereunder (the “</w:t>
      </w:r>
      <w:r>
        <w:rPr>
          <w:rFonts w:ascii="Times New Roman" w:cs="Times New Roman" w:eastAsia="Times New Roman" w:hAnsi="Times New Roman"/>
          <w:sz w:val="18"/>
          <w:szCs w:val="18"/>
          <w:b w:val="1"/>
          <w:bCs w:val="1"/>
          <w:color w:val="auto"/>
        </w:rPr>
        <w:t>Deferred Discount</w:t>
      </w:r>
      <w:r>
        <w:rPr>
          <w:rFonts w:ascii="Times New Roman" w:cs="Times New Roman" w:eastAsia="Times New Roman" w:hAnsi="Times New Roman"/>
          <w:sz w:val="18"/>
          <w:szCs w:val="18"/>
          <w:color w:val="auto"/>
        </w:rPr>
        <w:t>”). The Underwriters hereby agree that if no Business Combination is consummated within the time period provided in the Amended and Restated Memorandum and Articles of Association and the funds held under the Trust Agreement are distributed to the holders of Ordinary Shares included in the Offered Securities sold pursuant to this Agreement (the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 (x) the Underwriters will forfeit any rights or claims to the Deferred Discount and (y) the trustee under the Trust Agreement is authorized to distribute the Deferred Discount to the Public Stockholders on a pro rata basis.</w:t>
      </w:r>
    </w:p>
    <w:p>
      <w:pPr>
        <w:spacing w:after="0" w:line="186" w:lineRule="exact"/>
        <w:rPr>
          <w:rFonts w:ascii="Times New Roman" w:cs="Times New Roman" w:eastAsia="Times New Roman" w:hAnsi="Times New Roman"/>
          <w:sz w:val="18"/>
          <w:szCs w:val="18"/>
          <w:b w:val="1"/>
          <w:bCs w:val="1"/>
          <w:color w:val="auto"/>
        </w:rPr>
      </w:pPr>
    </w:p>
    <w:p>
      <w:pPr>
        <w:ind w:right="60" w:firstLine="987"/>
        <w:spacing w:after="0" w:line="255" w:lineRule="auto"/>
        <w:tabs>
          <w:tab w:leader="none" w:pos="12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 has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Jefferies, individually and not as the Representative of the Underwriters, may (but shall not be obligated to) make payment for any Offered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5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Firm Securities shall be made as follows: The net proceeds for the Firm Securities (including the Deferred Discount) shall be deposited in the Trust Account pursuant to the terms of the Trust Agreement along with such portion of the gross proceeds of the sale of the Private Placement Warrants in order for the Trust Account to equal the product of the number of Units sold and the public offering price per Unit as set forth on the cover of the IPO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two business days prior to the First Closing Date. If delivery is not made through the facilities of DTC, the Company will permit the Representative to examine and package the Firm Securities for delivery, at least one business day prior to the First Closing Date at a location in New York City as the Representative may designate. The Company shall not be obligated to sell or deliver the Firm Securities except upon tender of payment by the Representative for all the Firm Securities. At least one business day prior to the date of the effectiveness of the Registration Statement, the Company shall deposit the net proceeds from the sale of the Private Placement Warrants into the Trust Account as provided by the terms of the Sponsor Warrants Purchase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1" w:name="page22"/>
    <w:bookmarkEnd w:id="21"/>
    <w:p>
      <w:pPr>
        <w:ind w:left="-20" w:firstLine="987"/>
        <w:spacing w:after="0" w:line="253" w:lineRule="auto"/>
        <w:tabs>
          <w:tab w:leader="none" w:pos="12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for the Optional Securities shall be made as follows: the Purchase Price (including any Deferred Discount attributable to the Optional Securities) shall be deposited in the Trust Account pursuant to the terms of the Trust Agreement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for the account of the Underwriters. The Optional Securities shall be registered in such name or names and in such authorized denominations as the Representative may request in writing at least two business days prior to the Option Closing Date. If delivery is not made through the facilities of DTC, the Company will permit the Representative to examine and package the Optional Securities for delivery, at least one business day prior to the Option Closing Date. The Company shall not be obligated to sell or deliver the Optional Securities except upon tender of payment by the Representative for all the Optional Securities. At least one business day prior to the Optional Securities settlement date, the Company shall deposit the proceeds from the sale of the applicable Private Placement Warrants into the Trust Account.</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Section 3. Additional Covenants of the Company.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113" w:lineRule="exact"/>
        <w:rPr>
          <w:sz w:val="20"/>
          <w:szCs w:val="20"/>
          <w:color w:val="auto"/>
        </w:rPr>
      </w:pPr>
    </w:p>
    <w:p>
      <w:pPr>
        <w:ind w:left="-20" w:right="160" w:firstLine="436"/>
        <w:spacing w:after="0" w:line="259" w:lineRule="auto"/>
        <w:tabs>
          <w:tab w:leader="none" w:pos="6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Registration Statement, Time of Sale Prospectus and IPO Prospectus</w:t>
      </w:r>
      <w:r>
        <w:rPr>
          <w:rFonts w:ascii="Times New Roman" w:cs="Times New Roman" w:eastAsia="Times New Roman" w:hAnsi="Times New Roman"/>
          <w:sz w:val="18"/>
          <w:szCs w:val="18"/>
          <w:color w:val="auto"/>
        </w:rPr>
        <w:t>. The Company shall furnish to you in New York 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IPO Prospectus and any supplements and amendments thereto or to the Registration Statement as you may reasonably request.</w:t>
      </w:r>
    </w:p>
    <w:p>
      <w:pPr>
        <w:spacing w:after="0" w:line="179" w:lineRule="exact"/>
        <w:rPr>
          <w:rFonts w:ascii="Times New Roman" w:cs="Times New Roman" w:eastAsia="Times New Roman" w:hAnsi="Times New Roman"/>
          <w:sz w:val="18"/>
          <w:szCs w:val="18"/>
          <w:b w:val="1"/>
          <w:bCs w:val="1"/>
          <w:color w:val="auto"/>
        </w:rPr>
      </w:pPr>
    </w:p>
    <w:p>
      <w:pPr>
        <w:ind w:left="-20" w:firstLine="436"/>
        <w:spacing w:after="0" w:line="254" w:lineRule="auto"/>
        <w:tabs>
          <w:tab w:leader="none" w:pos="68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Representative’s Review of Proposed Amendments and Supplements. </w:t>
      </w:r>
      <w:r>
        <w:rPr>
          <w:rFonts w:ascii="Times New Roman" w:cs="Times New Roman" w:eastAsia="Times New Roman" w:hAnsi="Times New Roman"/>
          <w:sz w:val="18"/>
          <w:szCs w:val="18"/>
          <w:color w:val="auto"/>
        </w:rPr>
        <w:t>During the period when a prospectus relating to the Offered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IPO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5" w:lineRule="exact"/>
        <w:rPr>
          <w:rFonts w:ascii="Times New Roman" w:cs="Times New Roman" w:eastAsia="Times New Roman" w:hAnsi="Times New Roman"/>
          <w:sz w:val="18"/>
          <w:szCs w:val="18"/>
          <w:b w:val="1"/>
          <w:bCs w:val="1"/>
          <w:color w:val="auto"/>
        </w:rPr>
      </w:pPr>
    </w:p>
    <w:p>
      <w:pPr>
        <w:ind w:left="-20" w:right="140" w:firstLine="436"/>
        <w:spacing w:after="0" w:line="268" w:lineRule="auto"/>
        <w:tabs>
          <w:tab w:leader="none" w:pos="66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w:t>
      </w:r>
      <w:r>
        <w:rPr>
          <w:rFonts w:ascii="Times New Roman" w:cs="Times New Roman" w:eastAsia="Times New Roman" w:hAnsi="Times New Roman"/>
          <w:sz w:val="18"/>
          <w:szCs w:val="18"/>
          <w:color w:val="auto"/>
        </w:rPr>
        <w:t>. The Company will not make any offer relating to the Units that constitutes or would constitute a free writing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or a portion thereof required to be filed by the Company with the Commission or retained by the Company under Rule 433 of the Securities 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22" w:name="page23"/>
    <w:bookmarkEnd w:id="22"/>
    <w:p>
      <w:pPr>
        <w:ind w:left="4" w:right="60" w:firstLine="436"/>
        <w:spacing w:after="0" w:line="253" w:lineRule="auto"/>
        <w:tabs>
          <w:tab w:leader="none" w:pos="70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and Supplements to Time of Sale Prospectus</w:t>
      </w:r>
      <w:r>
        <w:rPr>
          <w:rFonts w:ascii="Times New Roman" w:cs="Times New Roman" w:eastAsia="Times New Roman" w:hAnsi="Times New Roman"/>
          <w:sz w:val="18"/>
          <w:szCs w:val="18"/>
          <w:color w:val="auto"/>
        </w:rPr>
        <w:t>. If the Time of Sale Prospectus is being used to solicit offers to buy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at a time when the IPO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89"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68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color w:val="auto"/>
        </w:rPr>
        <w:t>. After the date of this Agreement, the Company shall promptly advise the Representative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or the IPO Prospectus; (iii) the time and date that any post-effective amendment to the Registration Statement becomes effective; and</w:t>
      </w:r>
    </w:p>
    <w:p>
      <w:pPr>
        <w:spacing w:after="0" w:line="3" w:lineRule="exact"/>
        <w:rPr>
          <w:rFonts w:ascii="Times New Roman" w:cs="Times New Roman" w:eastAsia="Times New Roman" w:hAnsi="Times New Roman"/>
          <w:sz w:val="18"/>
          <w:szCs w:val="18"/>
          <w:b w:val="1"/>
          <w:bCs w:val="1"/>
          <w:color w:val="auto"/>
        </w:rPr>
      </w:pPr>
    </w:p>
    <w:p>
      <w:pPr>
        <w:ind w:left="4" w:right="20" w:hanging="4"/>
        <w:spacing w:after="0" w:line="251" w:lineRule="auto"/>
        <w:tabs>
          <w:tab w:leader="none" w:pos="3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Commission of any stop order suspending the effectiveness of the Registration Statement or any post-effective amendment thereto or any amendment or supplement to any preliminary prospectus, the Time of Sale Prospectus or the IPO Prospectus or of any order preventing or suspending the use of any preliminary prospectus, the Time of Sale Prospectus, or the IPO Prospectus, or of any proceedings to remove, suspend or terminate from listing or quotation the Units from any securities exchange upon which they are listed for trading or included or designated for quotation, or of the threatening or initiation of any proceedings for any of such purposes. If, at any time, the Commission shall enter any such stop order suspending the effectiveness of the Registration Statement in connection with the Offering or the sales of the Units and, if applicable, the Ordinary Shares and Warrants underlying the Units, the Company will use its best efforts to obtain 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66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the IPO Prospectus and Other Securities Act Matters</w:t>
      </w:r>
      <w:r>
        <w:rPr>
          <w:rFonts w:ascii="Times New Roman" w:cs="Times New Roman" w:eastAsia="Times New Roman" w:hAnsi="Times New Roman"/>
          <w:sz w:val="18"/>
          <w:szCs w:val="18"/>
          <w:color w:val="auto"/>
        </w:rPr>
        <w:t>. If any event shall occur or condition exist as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it is necessary to amend or supplement the IPO Prospectus, so that the IPO Prospectus does not include an untrue statement of a material fact or omit to state a material fact necessary in order to make the statements therein, in the light of the circumstances when the IPO Prospectus is delivered (whether physically or through compliance with Rule 172 under the Securities Act or any similar rule) to a purchaser, not misleading, or if in the opinion of the Representative or counsel for the Underwriters it is otherwise necessary to amend or supplement the IPO Prospectus to comply with applicable law, the Company agrees (subject to Section 3(b) and Section 3(e)) hereof to promptly prepare, file with the Commission and furnish, at its own expense, to the Underwriters and to any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dealer upon request, amendments or supplements to the IPO Prospectus so that the statements in the IPO Prospectus as so amended or supplemented will not include an untrue statement of a material fact or omit to state a material fact necessary in order to make the statements therein, in the light of the circumstances when the IPO Prospectus is delivered (whether physically or through compliance with Rule 172 under the Securities Act or any similar rule) to a purchaser, not misleading or so that the IPO Prospectus, as amended or supplemented, will comply with applicable law. Neither the Representative’s consent to, nor delivery of, any such amendment or supplement shall constitute a waiver of any of the Company’s obligations under Section 3(b) or Section 3(e).</w:t>
      </w:r>
    </w:p>
    <w:p>
      <w:pPr>
        <w:spacing w:after="0" w:line="183" w:lineRule="exact"/>
        <w:rPr>
          <w:sz w:val="20"/>
          <w:szCs w:val="20"/>
          <w:color w:val="auto"/>
        </w:rPr>
      </w:pPr>
    </w:p>
    <w:p>
      <w:pPr>
        <w:ind w:firstLine="436"/>
        <w:spacing w:after="0" w:line="254" w:lineRule="auto"/>
        <w:tabs>
          <w:tab w:leader="none" w:pos="69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color w:val="auto"/>
        </w:rPr>
        <w:t>. The Company shall cooperate with the Representative and counsel for the Underwriters to qualify or register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Securities for sale under (or obtain exemptions from the application of, including the listing on a national securities exchange such as the Nasdaq)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5" w:lineRule="exact"/>
        <w:rPr>
          <w:rFonts w:ascii="Times New Roman" w:cs="Times New Roman" w:eastAsia="Times New Roman" w:hAnsi="Times New Roman"/>
          <w:sz w:val="18"/>
          <w:szCs w:val="18"/>
          <w:b w:val="1"/>
          <w:bCs w:val="1"/>
          <w:color w:val="auto"/>
        </w:rPr>
      </w:pPr>
    </w:p>
    <w:p>
      <w:pPr>
        <w:jc w:val="both"/>
        <w:ind w:right="200" w:firstLine="436"/>
        <w:spacing w:after="0" w:line="317" w:lineRule="auto"/>
        <w:tabs>
          <w:tab w:leader="none" w:pos="705"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Use of Proceeds</w:t>
      </w:r>
      <w:r>
        <w:rPr>
          <w:rFonts w:ascii="Times New Roman" w:cs="Times New Roman" w:eastAsia="Times New Roman" w:hAnsi="Times New Roman"/>
          <w:sz w:val="17"/>
          <w:szCs w:val="17"/>
          <w:color w:val="auto"/>
        </w:rPr>
        <w:t>. The Company shall apply the net proceeds from the sale of the Offered Securities and the Private Placement Warrants sold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it in the manner described under the caption “Use of Proceeds” in the Registration Statement, the Time of Sale Prospectus and the IPO Prospectus.</w:t>
      </w:r>
    </w:p>
    <w:p>
      <w:pPr>
        <w:spacing w:after="0" w:line="131" w:lineRule="exact"/>
        <w:rPr>
          <w:rFonts w:ascii="Times New Roman" w:cs="Times New Roman" w:eastAsia="Times New Roman" w:hAnsi="Times New Roman"/>
          <w:sz w:val="17"/>
          <w:szCs w:val="17"/>
          <w:b w:val="1"/>
          <w:bCs w:val="1"/>
          <w:color w:val="auto"/>
        </w:rPr>
      </w:pPr>
    </w:p>
    <w:p>
      <w:pPr>
        <w:ind w:right="20" w:firstLine="436"/>
        <w:spacing w:after="0" w:line="259" w:lineRule="auto"/>
        <w:tabs>
          <w:tab w:leader="none" w:pos="6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and Warrant Agent</w:t>
      </w:r>
      <w:r>
        <w:rPr>
          <w:rFonts w:ascii="Times New Roman" w:cs="Times New Roman" w:eastAsia="Times New Roman" w:hAnsi="Times New Roman"/>
          <w:sz w:val="18"/>
          <w:szCs w:val="18"/>
          <w:color w:val="auto"/>
        </w:rPr>
        <w:t>. For a period commencing on the effective date of the IPO Prospectus and ending at least five years from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consummation of the Business Combination or until such earlier time at which the distributions of the Trust Account to the Public Stockholders in connection with the redemption of Ordinary Shares held by the Public Stockholders pursuant to the terms of the Amended and Restated Memorandum and Articles of Association, if the Company fails to consummate a Business Combination (the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occurs or the Ordinary Shares and Warrants cease to be publicly traded, the Company shall retain a transfer and warrant agent.</w:t>
      </w:r>
    </w:p>
    <w:p>
      <w:pPr>
        <w:spacing w:after="0" w:line="179" w:lineRule="exact"/>
        <w:rPr>
          <w:rFonts w:ascii="Times New Roman" w:cs="Times New Roman" w:eastAsia="Times New Roman" w:hAnsi="Times New Roman"/>
          <w:sz w:val="18"/>
          <w:szCs w:val="18"/>
          <w:b w:val="1"/>
          <w:bCs w:val="1"/>
          <w:color w:val="auto"/>
        </w:rPr>
      </w:pPr>
    </w:p>
    <w:p>
      <w:pPr>
        <w:ind w:right="240" w:firstLine="436"/>
        <w:spacing w:after="0" w:line="262" w:lineRule="auto"/>
        <w:tabs>
          <w:tab w:leader="none" w:pos="66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color w:val="auto"/>
        </w:rPr>
        <w:t>. The Company will make generally available to its security holders and to the Representative as soon as practicable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70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color w:val="auto"/>
        </w:rPr>
        <w:t>. 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Securities as contemplated by this Agreement, the Registration Statement, the Time of Sale Prospectus and the IPO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Securities as may be required under Rule 463 under the Securities Act.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4" w:name="page25"/>
    <w:bookmarkEnd w:id="24"/>
    <w:p>
      <w:pPr>
        <w:ind w:left="-20" w:right="20" w:firstLine="436"/>
        <w:spacing w:after="0" w:line="257" w:lineRule="auto"/>
        <w:tabs>
          <w:tab w:leader="none" w:pos="6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Continued Registration of the Securities of the Company</w:t>
      </w:r>
      <w:r>
        <w:rPr>
          <w:rFonts w:ascii="Times New Roman" w:cs="Times New Roman" w:eastAsia="Times New Roman" w:hAnsi="Times New Roman"/>
          <w:sz w:val="18"/>
          <w:szCs w:val="18"/>
          <w:color w:val="auto"/>
        </w:rPr>
        <w:t>. For a period commencing on the effective date of the IPO Prospectus and ending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five years from the date of the consummation of the Business Combination or until such earlier time at which the Liquidation occurs, the Company will use its best efforts to maintain the registration of the Units (until the consummation of a Business Combination), Ordinary Shares and Public Warrants under the provisions of the Exchange Act, except after giving effect to a going private transaction after the completion of a Business Combination. The Company will not deregister the Units, Ordinary Shares or Public Warrants under the Exchange Act (except in connection with a going private transaction after the completion of a Business Combination) without the prior written consent of the Representative.</w:t>
      </w:r>
    </w:p>
    <w:p>
      <w:pPr>
        <w:spacing w:after="0" w:line="182" w:lineRule="exact"/>
        <w:rPr>
          <w:rFonts w:ascii="Times New Roman" w:cs="Times New Roman" w:eastAsia="Times New Roman" w:hAnsi="Times New Roman"/>
          <w:sz w:val="18"/>
          <w:szCs w:val="18"/>
          <w:b w:val="1"/>
          <w:bCs w:val="1"/>
          <w:color w:val="auto"/>
        </w:rPr>
      </w:pPr>
    </w:p>
    <w:p>
      <w:pPr>
        <w:ind w:left="-20" w:right="240" w:firstLine="436"/>
        <w:spacing w:after="0" w:line="286" w:lineRule="auto"/>
        <w:tabs>
          <w:tab w:leader="none" w:pos="7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The Company will use commercially reasonable efforts to list, subject to notice of issuance, the Units, Ordinary Shares and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on the Nasdaq.</w:t>
      </w:r>
    </w:p>
    <w:p>
      <w:pPr>
        <w:spacing w:after="0" w:line="154" w:lineRule="exact"/>
        <w:rPr>
          <w:rFonts w:ascii="Times New Roman" w:cs="Times New Roman" w:eastAsia="Times New Roman" w:hAnsi="Times New Roman"/>
          <w:sz w:val="18"/>
          <w:szCs w:val="18"/>
          <w:b w:val="1"/>
          <w:bCs w:val="1"/>
          <w:color w:val="auto"/>
        </w:rPr>
      </w:pPr>
    </w:p>
    <w:p>
      <w:pPr>
        <w:ind w:left="-20" w:right="120" w:firstLine="436"/>
        <w:spacing w:after="0" w:line="268" w:lineRule="auto"/>
        <w:tabs>
          <w:tab w:leader="none" w:pos="68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Reservation of Unissued Securities of the Company</w:t>
      </w:r>
      <w:r>
        <w:rPr>
          <w:rFonts w:ascii="Times New Roman" w:cs="Times New Roman" w:eastAsia="Times New Roman" w:hAnsi="Times New Roman"/>
          <w:sz w:val="18"/>
          <w:szCs w:val="18"/>
          <w:color w:val="auto"/>
        </w:rPr>
        <w:t>. The Company will reserve and keep available that maximum number of its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unissued securities that are issuable upon exercise of any of the Public Warrants and Private Placement Warrants outstanding from time to time and the conversion of the Founder Shares.</w:t>
      </w:r>
    </w:p>
    <w:p>
      <w:pPr>
        <w:spacing w:after="0" w:line="170" w:lineRule="exact"/>
        <w:rPr>
          <w:rFonts w:ascii="Times New Roman" w:cs="Times New Roman" w:eastAsia="Times New Roman" w:hAnsi="Times New Roman"/>
          <w:sz w:val="18"/>
          <w:szCs w:val="18"/>
          <w:b w:val="1"/>
          <w:bCs w:val="1"/>
          <w:color w:val="auto"/>
        </w:rPr>
      </w:pPr>
    </w:p>
    <w:p>
      <w:pPr>
        <w:ind w:left="-20" w:right="120" w:firstLine="436"/>
        <w:spacing w:after="0" w:line="262" w:lineRule="auto"/>
        <w:tabs>
          <w:tab w:leader="none" w:pos="6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Issue Additional Ordinary Shares or Warrants</w:t>
      </w:r>
      <w:r>
        <w:rPr>
          <w:rFonts w:ascii="Times New Roman" w:cs="Times New Roman" w:eastAsia="Times New Roman" w:hAnsi="Times New Roman"/>
          <w:sz w:val="18"/>
          <w:szCs w:val="18"/>
          <w:color w:val="auto"/>
        </w:rPr>
        <w:t>. Prior to the consummation of a Business Combination or the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issue any Ordinary Shares, Public Warrants, Private Placement Warrants or any options or other securities convertible into Ordinary Shares, or any shares of preferred stock, in each case, that participate in any manner in the Trust Account or that vote as a class with the Ordinary Shares on a Business Combination.</w:t>
      </w:r>
    </w:p>
    <w:p>
      <w:pPr>
        <w:spacing w:after="0" w:line="176" w:lineRule="exact"/>
        <w:rPr>
          <w:rFonts w:ascii="Times New Roman" w:cs="Times New Roman" w:eastAsia="Times New Roman" w:hAnsi="Times New Roman"/>
          <w:sz w:val="18"/>
          <w:szCs w:val="18"/>
          <w:b w:val="1"/>
          <w:bCs w:val="1"/>
          <w:color w:val="auto"/>
        </w:rPr>
      </w:pPr>
    </w:p>
    <w:p>
      <w:pPr>
        <w:ind w:left="-20" w:firstLine="436"/>
        <w:spacing w:after="0" w:line="253" w:lineRule="auto"/>
        <w:tabs>
          <w:tab w:leader="none" w:pos="68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Offer or Sell Additional Securities of the Company</w:t>
      </w:r>
      <w:r>
        <w:rPr>
          <w:rFonts w:ascii="Times New Roman" w:cs="Times New Roman" w:eastAsia="Times New Roman" w:hAnsi="Times New Roman"/>
          <w:sz w:val="18"/>
          <w:szCs w:val="18"/>
          <w:color w:val="auto"/>
        </w:rPr>
        <w:t>. During the period commencing on and including the date hereof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through and including the 180th day following the date of the IPO Prospectus (such period, as extended as described below, being referred to herein as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other Units, Ordinary Shares, Public Warrants, Private Placement Warrants or any securities convertible into, or exercisable, or exchangeable for, Ordinary Shares or publicly announce an intention to effect any such transaction during the period commencing on the date hereof and ending 180 days after the date of this Agreement; provided, however, that the Company may (1) issue and sell the Private Placement Warrants, (2) issue and sell the Optional Securities on exercise of the option provided for in Section 2 hereof, (3) register with the Commission pursuant to the Registration Rights Agreement, in accordance with the terms of the Registration Rights Agreement, the resale of the securities covered thereby and, (4) issue securities in connection with a Business Combination, or (y) release the Sponsor or any officer, director or director nominee from the 180-day lock-up contained in the Insider Letter.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66" w:right="479" w:bottom="1440" w:gutter="0" w:footer="0" w:header="0"/>
        </w:sectPr>
      </w:pPr>
    </w:p>
    <w:bookmarkStart w:id="25" w:name="page26"/>
    <w:bookmarkEnd w:id="25"/>
    <w:p>
      <w:pPr>
        <w:ind w:left="4" w:right="340" w:firstLine="436"/>
        <w:spacing w:after="0" w:line="286" w:lineRule="auto"/>
        <w:tabs>
          <w:tab w:leader="none" w:pos="70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in such a manner as would require the Company to register as an investment company under the Investment Company Act.</w:t>
      </w:r>
    </w:p>
    <w:p>
      <w:pPr>
        <w:spacing w:after="0" w:line="154" w:lineRule="exact"/>
        <w:rPr>
          <w:rFonts w:ascii="Times New Roman" w:cs="Times New Roman" w:eastAsia="Times New Roman" w:hAnsi="Times New Roman"/>
          <w:sz w:val="18"/>
          <w:szCs w:val="18"/>
          <w:b w:val="1"/>
          <w:bCs w:val="1"/>
          <w:color w:val="auto"/>
        </w:rPr>
      </w:pPr>
    </w:p>
    <w:p>
      <w:pPr>
        <w:ind w:left="4" w:right="100" w:firstLine="436"/>
        <w:spacing w:after="0" w:line="268" w:lineRule="auto"/>
        <w:tabs>
          <w:tab w:leader="none" w:pos="68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color w:val="auto"/>
        </w:rPr>
        <w:t>. The Company will not take, directly or indirectly, any action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that might cause or 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170" w:lineRule="exact"/>
        <w:rPr>
          <w:rFonts w:ascii="Times New Roman" w:cs="Times New Roman" w:eastAsia="Times New Roman" w:hAnsi="Times New Roman"/>
          <w:sz w:val="18"/>
          <w:szCs w:val="18"/>
          <w:b w:val="1"/>
          <w:bCs w:val="1"/>
          <w:color w:val="auto"/>
        </w:rPr>
      </w:pPr>
    </w:p>
    <w:p>
      <w:pPr>
        <w:ind w:left="4" w:right="140" w:firstLine="436"/>
        <w:spacing w:after="0" w:line="255" w:lineRule="auto"/>
        <w:tabs>
          <w:tab w:leader="none" w:pos="67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File a Current Report on Form 8-K</w:t>
      </w:r>
      <w:r>
        <w:rPr>
          <w:rFonts w:ascii="Times New Roman" w:cs="Times New Roman" w:eastAsia="Times New Roman" w:hAnsi="Times New Roman"/>
          <w:sz w:val="18"/>
          <w:szCs w:val="18"/>
          <w:color w:val="auto"/>
        </w:rPr>
        <w:t>. The Company shall, on or prior to the date hereof, retain its independent registered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firm to audit the balance sheet of the Company as of the First Closing Date (the “</w:t>
      </w:r>
      <w:r>
        <w:rPr>
          <w:rFonts w:ascii="Times New Roman" w:cs="Times New Roman" w:eastAsia="Times New Roman" w:hAnsi="Times New Roman"/>
          <w:sz w:val="18"/>
          <w:szCs w:val="18"/>
          <w:b w:val="1"/>
          <w:bCs w:val="1"/>
          <w:color w:val="auto"/>
        </w:rPr>
        <w:t>Audited Balance Sheet</w:t>
      </w:r>
      <w:r>
        <w:rPr>
          <w:rFonts w:ascii="Times New Roman" w:cs="Times New Roman" w:eastAsia="Times New Roman" w:hAnsi="Times New Roman"/>
          <w:sz w:val="18"/>
          <w:szCs w:val="18"/>
          <w:color w:val="auto"/>
        </w:rPr>
        <w:t>”) reflecting the receipt by the Company of the proceeds of the sale of the Offered Securities as set forth in the IPO Prospectus on the First Closing Date. As soon as the Audited Balance Sheet becomes available, the Company shall promptly, but not later than four business days after the First Closing Date, file a Current Report on Form 8-K with the Commission, which report shall contain the Company’s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66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Procure Review of Unaudited Quarterly Financial Statements</w:t>
      </w:r>
      <w:r>
        <w:rPr>
          <w:rFonts w:ascii="Times New Roman" w:cs="Times New Roman" w:eastAsia="Times New Roman" w:hAnsi="Times New Roman"/>
          <w:sz w:val="18"/>
          <w:szCs w:val="18"/>
          <w:color w:val="auto"/>
        </w:rPr>
        <w:t>. For a period commencing on the effective date of the IPO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and ending at least five years from the date of the consummation of the Business Combination or until such earlier time at which the Liquidation occurs or the Ordinary Shares and Warrants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Quarterly Report on Form 10-Q and the mailing, if any, of quarterly financial information to stockholders.</w:t>
      </w:r>
    </w:p>
    <w:p>
      <w:pPr>
        <w:spacing w:after="0" w:line="182" w:lineRule="exact"/>
        <w:rPr>
          <w:rFonts w:ascii="Times New Roman" w:cs="Times New Roman" w:eastAsia="Times New Roman" w:hAnsi="Times New Roman"/>
          <w:sz w:val="18"/>
          <w:szCs w:val="18"/>
          <w:b w:val="1"/>
          <w:bCs w:val="1"/>
          <w:color w:val="auto"/>
        </w:rPr>
      </w:pPr>
    </w:p>
    <w:p>
      <w:pPr>
        <w:ind w:left="4" w:right="80" w:firstLine="436"/>
        <w:spacing w:after="0" w:line="269" w:lineRule="auto"/>
        <w:tabs>
          <w:tab w:leader="none" w:pos="709" w:val="left"/>
        </w:tabs>
        <w:numPr>
          <w:ilvl w:val="1"/>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Future Reports to the Representative</w:t>
      </w:r>
      <w:r>
        <w:rPr>
          <w:rFonts w:ascii="Times New Roman" w:cs="Times New Roman" w:eastAsia="Times New Roman" w:hAnsi="Times New Roman"/>
          <w:sz w:val="17"/>
          <w:szCs w:val="17"/>
          <w:color w:val="auto"/>
        </w:rPr>
        <w:t>. For a period commencing on the effective date of the IPO Prospectus and ending at least five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the date of the consummation of the Business Combination or until such earlier time at which the Liquidation occurs, the Company will furnish to the Representative, c/o Jefferies, 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w:t>
      </w:r>
    </w:p>
    <w:p>
      <w:pPr>
        <w:ind w:left="4" w:right="240" w:hanging="4"/>
        <w:spacing w:after="0" w:line="253" w:lineRule="auto"/>
        <w:tabs>
          <w:tab w:leader="none" w:pos="3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copies of any report or communication of the Company furnished or made available generally to holders of its capital stock; and (iv) such additional documents and information with respect to the Company and the affairs of any future subsidiaries of the Company as the Representative may from time to time reasonably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requirements of this Section 3(u) shall be satisfied to the extent that such reports, statement, communications, financial statements or other documents are available on EDGAR.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26" w:name="page27"/>
    <w:bookmarkEnd w:id="26"/>
    <w:p>
      <w:pPr>
        <w:ind w:right="280" w:firstLine="436"/>
        <w:spacing w:after="0" w:line="257" w:lineRule="auto"/>
        <w:tabs>
          <w:tab w:leader="none" w:pos="6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and Supplements to Permitted Section 5(d) Communications</w:t>
      </w:r>
      <w:r>
        <w:rPr>
          <w:rFonts w:ascii="Times New Roman" w:cs="Times New Roman" w:eastAsia="Times New Roman" w:hAnsi="Times New Roman"/>
          <w:sz w:val="18"/>
          <w:szCs w:val="18"/>
          <w:color w:val="auto"/>
        </w:rPr>
        <w:t>. If at any time following the distribution of any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62" w:lineRule="auto"/>
        <w:tabs>
          <w:tab w:leader="none" w:pos="7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 if the Company ceases to be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54" w:lineRule="auto"/>
        <w:tabs>
          <w:tab w:leader="none" w:pos="6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Business Combination with Affiliates</w:t>
      </w:r>
      <w:r>
        <w:rPr>
          <w:rFonts w:ascii="Times New Roman" w:cs="Times New Roman" w:eastAsia="Times New Roman" w:hAnsi="Times New Roman"/>
          <w:sz w:val="18"/>
          <w:szCs w:val="18"/>
          <w:color w:val="auto"/>
        </w:rPr>
        <w:t>. The Company will not consummate a Business Combination with any entity that is affiliated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Sponsor or any of the Company’s officers or directors unless it obtains an opinion from an independent investment banking firm which is a member of FINRA that such Business Combination is fair to the Company’s stockholders from a financial point of view.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officers, directors and affiliates (i) may receive reimbursement for out-of-pocket expenses incurred by them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identifying, investigating, negotiating and completing a Business Combination; (ii) may be repaid loans as described in the Registration Statement; and (iii) may be paid $10,000 per month for office space, utilities and secretarial and administrative support pursuant to the Administrative Support Agreement.</w:t>
      </w:r>
    </w:p>
    <w:p>
      <w:pPr>
        <w:spacing w:after="0" w:line="188"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Consummation of the Initial Business Combination</w:t>
      </w:r>
      <w:r>
        <w:rPr>
          <w:rFonts w:ascii="Times New Roman" w:cs="Times New Roman" w:eastAsia="Times New Roman" w:hAnsi="Times New Roman"/>
          <w:sz w:val="18"/>
          <w:szCs w:val="18"/>
          <w:color w:val="auto"/>
        </w:rPr>
        <w:t>. The Company may consummate the initial Business Combination and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redemptions of Ordinary Shares for cash upon consummation of such Business Combination without a stockholder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Ordinary Shares held by such stockholder for an amount of cash per share equal to (A) the aggregate amount then on deposit in the Trust Account as of two business days prior to the consummation of the initial Business Combination representing (x) the proceeds held in the Trust Account from the Offering and the sale of the Private Placement Warrants and (y) any interest income earned on the funds held in the Trust Account (which interest shall be net of taxes payable), divided by (B) the total number of Ordinary Shares sold as part of the Units in the Offering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then outstanding. If, however, the Company elects not to file such tender offer documents, a stockholder vote is required by law in connection with the initial Business Combination, or the Company decides to hold a stockholder vote for business or other legal reasons, the Company will submit such Business Combination to the Company’s stockholders for their approval (“</w:t>
      </w:r>
      <w:r>
        <w:rPr>
          <w:rFonts w:ascii="Times New Roman" w:cs="Times New Roman" w:eastAsia="Times New Roman" w:hAnsi="Times New Roman"/>
          <w:sz w:val="18"/>
          <w:szCs w:val="18"/>
          <w:b w:val="1"/>
          <w:bCs w:val="1"/>
          <w:color w:val="auto"/>
        </w:rPr>
        <w:t>Business Combination Vote</w:t>
      </w:r>
      <w:r>
        <w:rPr>
          <w:rFonts w:ascii="Times New Roman" w:cs="Times New Roman" w:eastAsia="Times New Roman" w:hAnsi="Times New Roman"/>
          <w:sz w:val="18"/>
          <w:szCs w:val="18"/>
          <w:color w:val="auto"/>
        </w:rPr>
        <w:t>”). With respect to the initial Business Combination Vote, if any, the Sponsor and the other parties to the Insider Letter have agreed to vote all of their respective Founder Shares and any other Ordinary Shares purchased by them during or after the Offering in favor of the Company’s initial Business Combination. If the Company seeks stockholder approval of the initial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7" w:name="page28"/>
    <w:bookmarkEnd w:id="27"/>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Combination, the Company will offer to each Public Stockholder holding Ordinary Shares the right to have its shares redeemed in conjunction with a proxy solicitation pursuant to the proxy rules of the Commission at a per share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equal to (I) the aggregate amount then on deposit in the Trust Account as of two business days prior to the consummation of the initial Business Combination representing (1) the proceeds held in the Trust Account from the Offering and the sale of the Private Placement Warrants and (2) any interest income earned on the funds held in the Trust Account (which interest shall be net of any taxes payable), divided by (II) the total number of Public Shares then outstanding. If the Company seeks stockholder approval of the initial Business Combination, the Company may proceed with such Business Combination only if a majority of the outstanding shares voted by the stockholders at a duly held stockholders meeting are voted to approve such Business Combination. If, after seeking and receiving such stockholder approval, the Company elects to so proceed, it will redeem shares, at the Redemption Price, from those Public Stockholders who affirmatively requested such redemption. Only Public Stockholders holding Ordinary Shares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shares of capital stock of the Company in connection therewith. In the event that the Company does not effect a Business Combination within the time period set forth in the Amended and Restated Memorandum and Articles of Association, the Company will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(less up to $100,000 of interest to pay the Company’s dissolution expenses and which interest shall be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clauses (ii) and (iii), to the Company’s obligations under Cayman Islands law to provide for claims of creditors and the requirements of other applicable law. Only Public Stockholders holding Ordinary Shares included in the Offered Securities shall be entitled to receive such redemption amounts and the Company shall pay no such redemption amounts or any distributions in liquidation with respect to any other capital stock of the Company. The Sponsor and the Company’s officers, directors and director nominees will not propose any amendment to the Amended and Restated Memorandum and Articles of Association to modify the substance or timing of the Company’s obligation to redeem 100% of the Ordinary Shares upon the consummation of the Business Combination or if the Company does not complete a Business Combination within the time period set forth in the Amended and Restated Memorandum and Articles of Association or with respect to any other material provisions relating to stockholders’ rights or pre-initial Business Combination activity, as described in Article 51.8 of the Amended and Restated Memorandum and Articles of Association unless the Company offers the right to redeem the Public Shares in connection with such amendment.</w:t>
      </w:r>
    </w:p>
    <w:p>
      <w:pPr>
        <w:spacing w:after="0" w:line="198" w:lineRule="exact"/>
        <w:rPr>
          <w:sz w:val="20"/>
          <w:szCs w:val="20"/>
          <w:color w:val="auto"/>
        </w:rPr>
      </w:pPr>
    </w:p>
    <w:p>
      <w:pPr>
        <w:ind w:firstLine="436"/>
        <w:spacing w:after="0" w:line="256" w:lineRule="auto"/>
        <w:tabs>
          <w:tab w:leader="none" w:pos="68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Announcement of the Consummation of the Initial Business Combination</w:t>
      </w:r>
      <w:r>
        <w:rPr>
          <w:rFonts w:ascii="Times New Roman" w:cs="Times New Roman" w:eastAsia="Times New Roman" w:hAnsi="Times New Roman"/>
          <w:sz w:val="18"/>
          <w:szCs w:val="18"/>
          <w:color w:val="auto"/>
        </w:rPr>
        <w:t>. In the event that the Company desires or is required by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 or regulation to cause an announcement (“</w:t>
      </w:r>
      <w:r>
        <w:rPr>
          <w:rFonts w:ascii="Times New Roman" w:cs="Times New Roman" w:eastAsia="Times New Roman" w:hAnsi="Times New Roman"/>
          <w:sz w:val="18"/>
          <w:szCs w:val="18"/>
          <w:b w:val="1"/>
          <w:bCs w:val="1"/>
          <w:color w:val="auto"/>
        </w:rPr>
        <w:t>Business Combination Announcement</w:t>
      </w:r>
      <w:r>
        <w:rPr>
          <w:rFonts w:ascii="Times New Roman" w:cs="Times New Roman" w:eastAsia="Times New Roman" w:hAnsi="Times New Roman"/>
          <w:sz w:val="18"/>
          <w:szCs w:val="18"/>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8" w:name="page29"/>
    <w:bookmarkEnd w:id="28"/>
    <w:p>
      <w:pPr>
        <w:ind w:left="-20" w:firstLine="436"/>
        <w:spacing w:after="0" w:line="255" w:lineRule="auto"/>
        <w:tabs>
          <w:tab w:leader="none" w:pos="76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Deferred Discount</w:t>
      </w:r>
      <w:r>
        <w:rPr>
          <w:rFonts w:ascii="Times New Roman" w:cs="Times New Roman" w:eastAsia="Times New Roman" w:hAnsi="Times New Roman"/>
          <w:sz w:val="18"/>
          <w:szCs w:val="18"/>
          <w:color w:val="auto"/>
        </w:rPr>
        <w:t>. Upon the consummation of the initial Business Combination, the Company will pay to the Representative,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behalf of the Underwriters, the Deferred Discount. Payment of the Deferred Discount will be made out of the proceeds of the Offering held in the Trust Account, and the Company will instruct CST to transfer the Deferred Discount to the Representative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the time period set forth in the Amended and Restated Memorandum and Articles of Association,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84" w:lineRule="exact"/>
        <w:rPr>
          <w:rFonts w:ascii="Times New Roman" w:cs="Times New Roman" w:eastAsia="Times New Roman" w:hAnsi="Times New Roman"/>
          <w:sz w:val="18"/>
          <w:szCs w:val="18"/>
          <w:b w:val="1"/>
          <w:bCs w:val="1"/>
          <w:color w:val="auto"/>
        </w:rPr>
      </w:pPr>
    </w:p>
    <w:p>
      <w:pPr>
        <w:ind w:left="-20" w:right="220" w:firstLine="436"/>
        <w:spacing w:after="0" w:line="268" w:lineRule="auto"/>
        <w:tabs>
          <w:tab w:leader="none" w:pos="78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(cc) Payment Pursuant to the Administrative Support Agreement</w:t>
      </w:r>
      <w:r>
        <w:rPr>
          <w:rFonts w:ascii="Times New Roman" w:cs="Times New Roman" w:eastAsia="Times New Roman" w:hAnsi="Times New Roman"/>
          <w:sz w:val="18"/>
          <w:szCs w:val="18"/>
          <w:color w:val="auto"/>
        </w:rPr>
        <w:t>. In no event will the amounts payable by the Company for office space,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utilities and secretarial and administrative support exceed $10,000 per month in the aggregate until the earlier of the date of the consummation of the Business Combination or the Liquidation.</w:t>
      </w:r>
    </w:p>
    <w:p>
      <w:pPr>
        <w:spacing w:after="0" w:line="170" w:lineRule="exact"/>
        <w:rPr>
          <w:rFonts w:ascii="Times New Roman" w:cs="Times New Roman" w:eastAsia="Times New Roman" w:hAnsi="Times New Roman"/>
          <w:sz w:val="18"/>
          <w:szCs w:val="18"/>
          <w:b w:val="1"/>
          <w:bCs w:val="1"/>
          <w:color w:val="auto"/>
        </w:rPr>
      </w:pPr>
    </w:p>
    <w:p>
      <w:pPr>
        <w:ind w:left="-20" w:right="20" w:firstLine="436"/>
        <w:spacing w:after="0" w:line="257" w:lineRule="auto"/>
        <w:tabs>
          <w:tab w:leader="none" w:pos="74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Cancellation of Founder Shares</w:t>
      </w:r>
      <w:r>
        <w:rPr>
          <w:rFonts w:ascii="Times New Roman" w:cs="Times New Roman" w:eastAsia="Times New Roman" w:hAnsi="Times New Roman"/>
          <w:sz w:val="18"/>
          <w:szCs w:val="18"/>
          <w:color w:val="auto"/>
        </w:rPr>
        <w:t>. Upon the earlier to occur of the expiration or termination of the Underwriters’ over-allotment option,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cancel or otherwise effect the forfeiture of Founder Shares from the Sponsor in an aggregate amount equal to the number of Founder Shares determined by multiplying (a) 750,000 by (b) a fraction, (i) the numerator of which is 3,000,000 minus the number of Ordinary Shares purchased by the Underwriters upon the exercise of their over-allotment option, and (ii) the denominator of which is 3,000,000. For the avoidance of doubt, if the Underwriters exercise their over-allotment option in full, the Company shall not cancel or otherwise effect the forfeiture of any of the Founder Shares pursuant to this subsection.</w:t>
      </w:r>
    </w:p>
    <w:p>
      <w:pPr>
        <w:spacing w:after="0" w:line="182" w:lineRule="exact"/>
        <w:rPr>
          <w:rFonts w:ascii="Times New Roman" w:cs="Times New Roman" w:eastAsia="Times New Roman" w:hAnsi="Times New Roman"/>
          <w:sz w:val="18"/>
          <w:szCs w:val="18"/>
          <w:b w:val="1"/>
          <w:bCs w:val="1"/>
          <w:color w:val="auto"/>
        </w:rPr>
      </w:pPr>
    </w:p>
    <w:p>
      <w:pPr>
        <w:ind w:left="-20" w:right="60" w:firstLine="436"/>
        <w:spacing w:after="0" w:line="286" w:lineRule="auto"/>
        <w:tabs>
          <w:tab w:leader="none" w:pos="78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Review of All Payments to the Sponsor</w:t>
      </w:r>
      <w:r>
        <w:rPr>
          <w:rFonts w:ascii="Times New Roman" w:cs="Times New Roman" w:eastAsia="Times New Roman" w:hAnsi="Times New Roman"/>
          <w:sz w:val="18"/>
          <w:szCs w:val="18"/>
          <w:color w:val="auto"/>
        </w:rPr>
        <w:t>. The Company’s audit committee will review on a quarterly basis all payments made to the Sponsor,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Company’s officers or directors, or to the Company’s or any of such other persons’ respective affiliates.</w:t>
      </w:r>
    </w:p>
    <w:p>
      <w:pPr>
        <w:spacing w:after="0" w:line="154" w:lineRule="exact"/>
        <w:rPr>
          <w:rFonts w:ascii="Times New Roman" w:cs="Times New Roman" w:eastAsia="Times New Roman" w:hAnsi="Times New Roman"/>
          <w:sz w:val="18"/>
          <w:szCs w:val="18"/>
          <w:b w:val="1"/>
          <w:bCs w:val="1"/>
          <w:color w:val="auto"/>
        </w:rPr>
      </w:pPr>
    </w:p>
    <w:p>
      <w:pPr>
        <w:ind w:left="-20" w:right="160" w:firstLine="436"/>
        <w:spacing w:after="0" w:line="262" w:lineRule="auto"/>
        <w:tabs>
          <w:tab w:leader="none" w:pos="74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“Penny Stock” Laws</w:t>
      </w:r>
      <w:r>
        <w:rPr>
          <w:rFonts w:ascii="Times New Roman" w:cs="Times New Roman" w:eastAsia="Times New Roman" w:hAnsi="Times New Roman"/>
          <w:sz w:val="18"/>
          <w:szCs w:val="18"/>
          <w:color w:val="auto"/>
        </w:rPr>
        <w:t>. The Company agrees that it will use commercially reasonable efforts to prevent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76" w:lineRule="exact"/>
        <w:rPr>
          <w:rFonts w:ascii="Times New Roman" w:cs="Times New Roman" w:eastAsia="Times New Roman" w:hAnsi="Times New Roman"/>
          <w:sz w:val="18"/>
          <w:szCs w:val="18"/>
          <w:b w:val="1"/>
          <w:bCs w:val="1"/>
          <w:color w:val="auto"/>
        </w:rPr>
      </w:pPr>
    </w:p>
    <w:p>
      <w:pPr>
        <w:ind w:left="-20" w:firstLine="436"/>
        <w:spacing w:after="0" w:line="275" w:lineRule="auto"/>
        <w:tabs>
          <w:tab w:leader="none" w:pos="705"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Maintenance of Disclosure Controls, Procedures and Internal Accounting Controls</w:t>
      </w:r>
      <w:r>
        <w:rPr>
          <w:rFonts w:ascii="Times New Roman" w:cs="Times New Roman" w:eastAsia="Times New Roman" w:hAnsi="Times New Roman"/>
          <w:sz w:val="17"/>
          <w:szCs w:val="17"/>
          <w:color w:val="auto"/>
        </w:rPr>
        <w:t>. To the extent required by Rule 13a-15 under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66" w:right="459" w:bottom="1440" w:gutter="0" w:footer="0" w:header="0"/>
        </w:sectPr>
      </w:pPr>
    </w:p>
    <w:bookmarkStart w:id="29" w:name="page30"/>
    <w:bookmarkEnd w:id="29"/>
    <w:p>
      <w:pPr>
        <w:ind w:firstLine="436"/>
        <w:spacing w:after="0" w:line="268" w:lineRule="auto"/>
        <w:tabs>
          <w:tab w:leader="none" w:pos="78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the Sarbanes-Oxley Act</w:t>
      </w:r>
      <w:r>
        <w:rPr>
          <w:rFonts w:ascii="Times New Roman" w:cs="Times New Roman" w:eastAsia="Times New Roman" w:hAnsi="Times New Roman"/>
          <w:sz w:val="18"/>
          <w:szCs w:val="18"/>
          <w:color w:val="auto"/>
        </w:rPr>
        <w:t>. As soon as legally required to do so, the Company and its directors and officers, in their capacities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such, shall take all actions necessary to comply with any provision of the Sarbanes-Oxley Act, including Section 402 related to loans and Sections 302 and 906 related to certifications, and to comply with the rules of the Nasdaq.</w:t>
      </w:r>
    </w:p>
    <w:p>
      <w:pPr>
        <w:spacing w:after="0" w:line="170" w:lineRule="exact"/>
        <w:rPr>
          <w:rFonts w:ascii="Times New Roman" w:cs="Times New Roman" w:eastAsia="Times New Roman" w:hAnsi="Times New Roman"/>
          <w:sz w:val="18"/>
          <w:szCs w:val="18"/>
          <w:b w:val="1"/>
          <w:bCs w:val="1"/>
          <w:color w:val="auto"/>
        </w:rPr>
      </w:pPr>
    </w:p>
    <w:p>
      <w:pPr>
        <w:ind w:right="300" w:firstLine="436"/>
        <w:spacing w:after="0" w:line="286" w:lineRule="auto"/>
        <w:tabs>
          <w:tab w:leader="none" w:pos="8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Organizational Documents</w:t>
      </w:r>
      <w:r>
        <w:rPr>
          <w:rFonts w:ascii="Times New Roman" w:cs="Times New Roman" w:eastAsia="Times New Roman" w:hAnsi="Times New Roman"/>
          <w:sz w:val="18"/>
          <w:szCs w:val="18"/>
          <w:color w:val="auto"/>
        </w:rPr>
        <w:t>. The Company shall not take any action or omit to take any action that would cause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be in breach or violation of the Amended and Restated Memorandum and Articles of Association.</w:t>
      </w:r>
    </w:p>
    <w:p>
      <w:pPr>
        <w:spacing w:after="0" w:line="154" w:lineRule="exact"/>
        <w:rPr>
          <w:rFonts w:ascii="Times New Roman" w:cs="Times New Roman" w:eastAsia="Times New Roman" w:hAnsi="Times New Roman"/>
          <w:sz w:val="18"/>
          <w:szCs w:val="18"/>
          <w:b w:val="1"/>
          <w:bCs w:val="1"/>
          <w:color w:val="auto"/>
        </w:rPr>
      </w:pPr>
    </w:p>
    <w:p>
      <w:pPr>
        <w:ind w:right="160" w:firstLine="436"/>
        <w:spacing w:after="0" w:line="257" w:lineRule="auto"/>
        <w:tabs>
          <w:tab w:leader="none" w:pos="7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Waiver of Interests to the Funds</w:t>
      </w:r>
      <w:r>
        <w:rPr>
          <w:rFonts w:ascii="Times New Roman" w:cs="Times New Roman" w:eastAsia="Times New Roman" w:hAnsi="Times New Roman"/>
          <w:sz w:val="18"/>
          <w:szCs w:val="18"/>
          <w:color w:val="auto"/>
        </w:rPr>
        <w:t>. The Company will seek to have all vendors, service providers (other than the Company’s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prospective target businesses and other entities with which it does business execute agreements with it waiving any right, title, interest or claim of any kind in or to any monies held in the Trust Account for the benefit of the Public Stockholders. If any third party refuses to execute an agreement waiving such claims to the monies held in the Trust Account, the Company’s management will perform an analysis of the alternatives available to the Company it and will only enter into an agreement with a third party that has not executed a wavier if the Company’s management believes that such third party’s engagement would be significantly more beneficial to the Company than any alternative.</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2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Maintenance of Funds in the Trust Account</w:t>
      </w:r>
      <w:r>
        <w:rPr>
          <w:rFonts w:ascii="Times New Roman" w:cs="Times New Roman" w:eastAsia="Times New Roman" w:hAnsi="Times New Roman"/>
          <w:sz w:val="18"/>
          <w:szCs w:val="18"/>
          <w:color w:val="auto"/>
        </w:rPr>
        <w:t>. During the period prior to the Company’s initial Business Combination or Liquidation,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may instruct the trustee under the Trust Agreement to release from the Trust Account funds (i) solely from interest income earned on the funds held in the Trust Account, the amounts necessary to pay taxes and (ii) to Public Stockholders who properly redeem their Public Shares in connection with a vote to approve an amendment to the Company’s Amended and Restated Memorandum and Articles of Association to modify the substance or timing of the Company’s obligation to redeem 100% of the Public Shares if the Company does not consummate an initial Business Combination within the time period set forth in the Amended and Restated Memorandum and Articles of Association or with respect to any other material provisions relating to stockholders’ rights or pre-initial Business Combination activity.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or the Liquidation; provided, however,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2" w:lineRule="exact"/>
        <w:rPr>
          <w:rFonts w:ascii="Times New Roman" w:cs="Times New Roman" w:eastAsia="Times New Roman" w:hAnsi="Times New Roman"/>
          <w:sz w:val="18"/>
          <w:szCs w:val="18"/>
          <w:b w:val="1"/>
          <w:bCs w:val="1"/>
          <w:color w:val="auto"/>
        </w:rPr>
      </w:pPr>
    </w:p>
    <w:p>
      <w:pPr>
        <w:ind w:right="100" w:firstLine="436"/>
        <w:spacing w:after="0" w:line="254" w:lineRule="auto"/>
        <w:tabs>
          <w:tab w:leader="none" w:pos="8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 and Disclosure of Arrangements Relating to a Business Combination</w:t>
      </w:r>
      <w:r>
        <w:rPr>
          <w:rFonts w:ascii="Times New Roman" w:cs="Times New Roman" w:eastAsia="Times New Roman" w:hAnsi="Times New Roman"/>
          <w:sz w:val="18"/>
          <w:szCs w:val="18"/>
          <w:color w:val="auto"/>
        </w:rPr>
        <w:t>. For a period of 60 days following the effective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IPO Prospectus,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0" w:name="page31"/>
    <w:bookmarkEnd w:id="30"/>
    <w:p>
      <w:pPr>
        <w:ind w:right="100" w:firstLine="436"/>
        <w:spacing w:after="0" w:line="286" w:lineRule="auto"/>
        <w:tabs>
          <w:tab w:leader="none" w:pos="70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FINRA Conflict of Interest</w:t>
      </w:r>
      <w:r>
        <w:rPr>
          <w:rFonts w:ascii="Times New Roman" w:cs="Times New Roman" w:eastAsia="Times New Roman" w:hAnsi="Times New Roman"/>
          <w:sz w:val="18"/>
          <w:szCs w:val="18"/>
          <w:color w:val="auto"/>
        </w:rPr>
        <w:t>. The Company shall advise the Representative and its counsel if it is aware that any 5% or greater stockholder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becomes an affiliate or associated person of a member of FINRA participating in the distribution of the Offered Securities.</w:t>
      </w:r>
    </w:p>
    <w:p>
      <w:pPr>
        <w:spacing w:after="0" w:line="15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Section 4. Payment of Expenses</w:t>
      </w:r>
      <w:r>
        <w:rPr>
          <w:rFonts w:ascii="Times New Roman" w:cs="Times New Roman" w:eastAsia="Times New Roman" w:hAnsi="Times New Roman"/>
          <w:sz w:val="18"/>
          <w:szCs w:val="18"/>
          <w:color w:val="auto"/>
        </w:rPr>
        <w:t>. The Company agrees to pay all costs, fees and expenses incurred in connection with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IPO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as required, (vii) the filing fees incident to, and the fees and disbursements of counsel for the Underwriters in an amount not to exceed $25,000 in connection with, the required review by FINRA, (viii) the costs and expenses of the Company (and not the Representative)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 and any such consultants, (ix) the fees and expenses associated with listing the Offered Securities on the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31" w:name="page32"/>
    <w:bookmarkEnd w:id="31"/>
    <w:p>
      <w:pPr>
        <w:ind w:right="1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 Conditions of the Obligations of the Underwriters</w:t>
      </w:r>
      <w:r>
        <w:rPr>
          <w:rFonts w:ascii="Times New Roman" w:cs="Times New Roman" w:eastAsia="Times New Roman" w:hAnsi="Times New Roman"/>
          <w:sz w:val="18"/>
          <w:szCs w:val="18"/>
          <w:color w:val="auto"/>
        </w:rPr>
        <w:t>. 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74" w:lineRule="exact"/>
        <w:rPr>
          <w:sz w:val="20"/>
          <w:szCs w:val="20"/>
          <w:color w:val="auto"/>
        </w:rPr>
      </w:pPr>
    </w:p>
    <w:p>
      <w:pPr>
        <w:ind w:firstLine="436"/>
        <w:spacing w:after="0" w:line="259" w:lineRule="auto"/>
        <w:tabs>
          <w:tab w:leader="none" w:pos="69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color w:val="auto"/>
        </w:rPr>
        <w:t>. On the date hereof, the Representative shall have received from Withum, independent registered public accountants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IPO Prospectus.</w:t>
      </w:r>
    </w:p>
    <w:p>
      <w:pPr>
        <w:spacing w:after="0" w:line="179"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 No Stop Order; No Objection from FINRA</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260" w:firstLine="987"/>
        <w:spacing w:after="0" w:line="282" w:lineRule="auto"/>
        <w:tabs>
          <w:tab w:leader="none" w:pos="12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IPO Prospectus with the Commission (including the information required by Rule 430A under the Securities Act) in the manner and within the time period required by Rule 424(b) under the Securities Act.</w:t>
      </w:r>
    </w:p>
    <w:p>
      <w:pPr>
        <w:spacing w:after="0" w:line="53" w:lineRule="exact"/>
        <w:rPr>
          <w:rFonts w:ascii="Times New Roman" w:cs="Times New Roman" w:eastAsia="Times New Roman" w:hAnsi="Times New Roman"/>
          <w:sz w:val="18"/>
          <w:szCs w:val="18"/>
          <w:color w:val="auto"/>
        </w:rPr>
      </w:pPr>
    </w:p>
    <w:p>
      <w:pPr>
        <w:ind w:right="720" w:firstLine="987"/>
        <w:spacing w:after="0" w:line="282" w:lineRule="auto"/>
        <w:tabs>
          <w:tab w:leader="none" w:pos="12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221" w:lineRule="exact"/>
        <w:rPr>
          <w:rFonts w:ascii="Times New Roman" w:cs="Times New Roman" w:eastAsia="Times New Roman" w:hAnsi="Times New Roman"/>
          <w:sz w:val="18"/>
          <w:szCs w:val="18"/>
          <w:color w:val="auto"/>
        </w:rPr>
      </w:pPr>
    </w:p>
    <w:p>
      <w:pPr>
        <w:ind w:right="220" w:firstLine="436"/>
        <w:spacing w:after="0" w:line="268" w:lineRule="auto"/>
        <w:tabs>
          <w:tab w:leader="none" w:pos="68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Prevention or Suspension</w:t>
      </w:r>
      <w:r>
        <w:rPr>
          <w:rFonts w:ascii="Times New Roman" w:cs="Times New Roman" w:eastAsia="Times New Roman" w:hAnsi="Times New Roman"/>
          <w:sz w:val="18"/>
          <w:szCs w:val="18"/>
          <w:color w:val="auto"/>
        </w:rPr>
        <w:t>. No order preventing or suspending the sale of the Units in any jurisdiction designated by the Representative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 3(g) hereof shall have been issued as of the First Closing Date and each Option Closing Date, and no proceedings for that purpose shall have been instituted or shall have been threatened.</w:t>
      </w:r>
    </w:p>
    <w:p>
      <w:pPr>
        <w:spacing w:after="0" w:line="170" w:lineRule="exact"/>
        <w:rPr>
          <w:rFonts w:ascii="Times New Roman" w:cs="Times New Roman" w:eastAsia="Times New Roman" w:hAnsi="Times New Roman"/>
          <w:sz w:val="18"/>
          <w:szCs w:val="18"/>
          <w:b w:val="1"/>
          <w:bCs w:val="1"/>
          <w:color w:val="auto"/>
        </w:rPr>
      </w:pPr>
    </w:p>
    <w:p>
      <w:pPr>
        <w:ind w:right="80" w:firstLine="436"/>
        <w:spacing w:after="0" w:line="268" w:lineRule="auto"/>
        <w:tabs>
          <w:tab w:leader="none" w:pos="70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color w:val="auto"/>
        </w:rPr>
        <w:t>. For the period from and after the date of this Agreement and through and including the First Closing Date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any Optional Securities purchased after the First Closing Date, each Option Closing Date, in the judgment of the Representative, there shall not have occurred any Material Adverse Change.</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86" w:lineRule="auto"/>
        <w:tabs>
          <w:tab w:leader="none" w:pos="68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color w:val="auto"/>
        </w:rPr>
        <w:t>. On each of the First Closing Date and each Option Closing Date the Representative shall have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opinion of White &amp; Case LLP, counsel for the Company, dated as of such date, in form and substance satisfactory to the Representative.</w:t>
      </w:r>
    </w:p>
    <w:p>
      <w:pPr>
        <w:spacing w:after="0" w:line="154" w:lineRule="exact"/>
        <w:rPr>
          <w:rFonts w:ascii="Times New Roman" w:cs="Times New Roman" w:eastAsia="Times New Roman" w:hAnsi="Times New Roman"/>
          <w:sz w:val="18"/>
          <w:szCs w:val="18"/>
          <w:b w:val="1"/>
          <w:bCs w:val="1"/>
          <w:color w:val="auto"/>
        </w:rPr>
      </w:pPr>
    </w:p>
    <w:p>
      <w:pPr>
        <w:ind w:right="120" w:firstLine="436"/>
        <w:spacing w:after="0" w:line="262" w:lineRule="auto"/>
        <w:tabs>
          <w:tab w:leader="none" w:pos="66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color w:val="auto"/>
        </w:rPr>
        <w:t>. On each of the First Closing Date and each Option Closing Date the Representative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of Kirkland &amp; Ellis LLP, counsel for the Underwriters in connection with the offer and sale of the Offered Securities, in form and substance satisfactory to the Underwriters, dated as of such date, with executed copies for each of the other Underwriters named on the IPO Prospectus cover page.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32" w:name="page33"/>
    <w:bookmarkEnd w:id="32"/>
    <w:p>
      <w:pPr>
        <w:ind w:left="-20" w:right="100" w:firstLine="436"/>
        <w:spacing w:after="0" w:line="268" w:lineRule="auto"/>
        <w:tabs>
          <w:tab w:leader="none" w:pos="6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On each of the First Closing Date and each Option Closing Date, the Representative shall have received a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Chief Executive Officer and the Chief Financial Officer of the Company, dated as of such date, to the effect set forth in Section 5(b)(ii) and further to the effect that:</w:t>
      </w:r>
    </w:p>
    <w:p>
      <w:pPr>
        <w:spacing w:after="0" w:line="66" w:lineRule="exact"/>
        <w:rPr>
          <w:rFonts w:ascii="Times New Roman" w:cs="Times New Roman" w:eastAsia="Times New Roman" w:hAnsi="Times New Roman"/>
          <w:sz w:val="18"/>
          <w:szCs w:val="18"/>
          <w:b w:val="1"/>
          <w:bCs w:val="1"/>
          <w:color w:val="auto"/>
        </w:rPr>
      </w:pPr>
    </w:p>
    <w:p>
      <w:pPr>
        <w:ind w:left="-20" w:right="420" w:firstLine="987"/>
        <w:spacing w:after="0" w:line="282" w:lineRule="auto"/>
        <w:tabs>
          <w:tab w:leader="none" w:pos="118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 any Material Adverse Change;</w:t>
      </w:r>
    </w:p>
    <w:p>
      <w:pPr>
        <w:spacing w:after="0" w:line="53" w:lineRule="exact"/>
        <w:rPr>
          <w:rFonts w:ascii="Times New Roman" w:cs="Times New Roman" w:eastAsia="Times New Roman" w:hAnsi="Times New Roman"/>
          <w:sz w:val="18"/>
          <w:szCs w:val="18"/>
          <w:color w:val="auto"/>
        </w:rPr>
      </w:pPr>
    </w:p>
    <w:p>
      <w:pPr>
        <w:ind w:left="-20" w:right="260" w:firstLine="987"/>
        <w:spacing w:after="0" w:line="282" w:lineRule="auto"/>
        <w:tabs>
          <w:tab w:leader="none" w:pos="12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53"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28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57" w:lineRule="exact"/>
        <w:rPr>
          <w:rFonts w:ascii="Times New Roman" w:cs="Times New Roman" w:eastAsia="Times New Roman" w:hAnsi="Times New Roman"/>
          <w:sz w:val="18"/>
          <w:szCs w:val="18"/>
          <w:color w:val="auto"/>
        </w:rPr>
      </w:pPr>
    </w:p>
    <w:p>
      <w:pPr>
        <w:ind w:left="-20" w:right="20" w:firstLine="436"/>
        <w:spacing w:after="0" w:line="257" w:lineRule="auto"/>
        <w:tabs>
          <w:tab w:leader="none" w:pos="68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Secretary’s Certificate</w:t>
      </w:r>
      <w:r>
        <w:rPr>
          <w:rFonts w:ascii="Times New Roman" w:cs="Times New Roman" w:eastAsia="Times New Roman" w:hAnsi="Times New Roman"/>
          <w:sz w:val="18"/>
          <w:szCs w:val="18"/>
          <w:color w:val="auto"/>
        </w:rPr>
        <w:t>. The Company shall have furnished to the Representative a certificate signed by the Secretary or Assistant Secretary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dated the First Closing Date and each Option Closing Date, certifying (i) that the Amended and Restated Memorandum and Articles of Association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82" w:lineRule="exact"/>
        <w:rPr>
          <w:rFonts w:ascii="Times New Roman" w:cs="Times New Roman" w:eastAsia="Times New Roman" w:hAnsi="Times New Roman"/>
          <w:sz w:val="18"/>
          <w:szCs w:val="18"/>
          <w:b w:val="1"/>
          <w:bCs w:val="1"/>
          <w:color w:val="auto"/>
        </w:rPr>
      </w:pPr>
    </w:p>
    <w:p>
      <w:pPr>
        <w:ind w:left="-20" w:right="140" w:firstLine="436"/>
        <w:spacing w:after="0" w:line="259" w:lineRule="auto"/>
        <w:tabs>
          <w:tab w:leader="none" w:pos="63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On each of the First Closing Date and each Option Closing Date the Representative shall have received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Withum, independent registered public accountants for the Company, a letter dated such date, in form and substance satisfactory to the Representative,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IPO Prospectus.</w:t>
      </w:r>
    </w:p>
    <w:p>
      <w:pPr>
        <w:spacing w:after="0" w:line="179" w:lineRule="exact"/>
        <w:rPr>
          <w:rFonts w:ascii="Times New Roman" w:cs="Times New Roman" w:eastAsia="Times New Roman" w:hAnsi="Times New Roman"/>
          <w:sz w:val="18"/>
          <w:szCs w:val="18"/>
          <w:b w:val="1"/>
          <w:bCs w:val="1"/>
          <w:color w:val="auto"/>
        </w:rPr>
      </w:pPr>
    </w:p>
    <w:p>
      <w:pPr>
        <w:ind w:left="-20" w:firstLine="436"/>
        <w:spacing w:after="0" w:line="255" w:lineRule="auto"/>
        <w:tabs>
          <w:tab w:leader="none" w:pos="64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Transactional Documents</w:t>
      </w:r>
      <w:r>
        <w:rPr>
          <w:rFonts w:ascii="Times New Roman" w:cs="Times New Roman" w:eastAsia="Times New Roman" w:hAnsi="Times New Roman"/>
          <w:sz w:val="18"/>
          <w:szCs w:val="18"/>
          <w:color w:val="auto"/>
        </w:rPr>
        <w:t>. On or prior to the date hereof, the Company shall have delivered to the Representative executed copies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Sponsor Warrants Purchase Agreement and the Insider Letter. On the First Closing Date, the Company shall have delivered to the Representative executed copies of the Trust Agreement, the Warrant Agreement, the Registration Rights Agreement and the Administrative Support Agreement. The Sponsor Warrants Purchase Agreement, the Trust Agreement, the Warrant Agreement, the Insider Letter, the Registration Rights Agreement and the Administrative Support Agreement shall be in full force and effect on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and director nominee to execute and deliver to the Representative the Insider Letter.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66" w:right="479" w:bottom="1440" w:gutter="0" w:footer="0" w:header="0"/>
        </w:sectPr>
      </w:pPr>
    </w:p>
    <w:bookmarkStart w:id="33" w:name="page34"/>
    <w:bookmarkEnd w:id="33"/>
    <w:p>
      <w:pPr>
        <w:ind w:firstLine="436"/>
        <w:spacing w:after="0" w:line="254" w:lineRule="auto"/>
        <w:tabs>
          <w:tab w:leader="none" w:pos="7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to the Trust Account</w:t>
      </w:r>
      <w:r>
        <w:rPr>
          <w:rFonts w:ascii="Times New Roman" w:cs="Times New Roman" w:eastAsia="Times New Roman" w:hAnsi="Times New Roman"/>
          <w:sz w:val="18"/>
          <w:szCs w:val="18"/>
          <w:color w:val="auto"/>
        </w:rPr>
        <w:t>. The Sponsor (at least one business day prior to the date of effectiveness of the Registration Statement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Closing Date, as applicable) shall have caused the purchase price for the Private Placement Warrants to be deposited into the Trust Account so that together with the net proceeds for the Firm Securities (including the Deferred Discount), or with respect to the Optional Securities, the net proceeds from the Optional Securities (including the Deferred Discount), the Trust Account would equal the product of the number of Units sold and the public offering price per Unit as set forth on the cover of the IPO Prospectus. Notwithstanding the foregoing, in no event will the Company take any action that would result in the Company receiving proceeds from the sale of the Private Placement Warrants in excess of the sum of: (i) the amount required to satisfy the obligation in the immediately preceding sentence; (ii) the amount of the discount from the public offering price represented by the Purchase Price set forth in the last sentence of Section 2(a) of this Agreement and (iii) the amount of money to be held by the Company outside of the Trust Account, as disclosed in the Registration Statement, the Time of Sale Prospectus and the IPO Prospectus.</w:t>
      </w:r>
    </w:p>
    <w:p>
      <w:pPr>
        <w:spacing w:after="0" w:line="188"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5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0" w:lineRule="exact"/>
        <w:rPr>
          <w:rFonts w:ascii="Times New Roman" w:cs="Times New Roman" w:eastAsia="Times New Roman" w:hAnsi="Times New Roman"/>
          <w:sz w:val="18"/>
          <w:szCs w:val="18"/>
          <w:b w:val="1"/>
          <w:bCs w:val="1"/>
          <w:color w:val="auto"/>
        </w:rPr>
      </w:pPr>
    </w:p>
    <w:p>
      <w:pPr>
        <w:ind w:right="380" w:firstLine="436"/>
        <w:spacing w:after="0" w:line="286" w:lineRule="auto"/>
        <w:tabs>
          <w:tab w:leader="none" w:pos="75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Approval of Listing</w:t>
      </w:r>
      <w:r>
        <w:rPr>
          <w:rFonts w:ascii="Times New Roman" w:cs="Times New Roman" w:eastAsia="Times New Roman" w:hAnsi="Times New Roman"/>
          <w:sz w:val="18"/>
          <w:szCs w:val="18"/>
          <w:color w:val="auto"/>
        </w:rPr>
        <w:t>. At the First Closing Date, the Offered Securities shall have been approved for listing on the Nasdaq, subject only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154" w:lineRule="exact"/>
        <w:rPr>
          <w:rFonts w:ascii="Times New Roman" w:cs="Times New Roman" w:eastAsia="Times New Roman" w:hAnsi="Times New Roman"/>
          <w:sz w:val="18"/>
          <w:szCs w:val="18"/>
          <w:b w:val="1"/>
          <w:bCs w:val="1"/>
          <w:color w:val="auto"/>
        </w:rPr>
      </w:pPr>
    </w:p>
    <w:p>
      <w:pPr>
        <w:ind w:right="200" w:firstLine="436"/>
        <w:spacing w:after="0" w:line="257" w:lineRule="auto"/>
        <w:tabs>
          <w:tab w:leader="none" w:pos="7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reasonably satisfactory in form and substance to the Representative and counsel for the Underwriters.</w:t>
      </w:r>
    </w:p>
    <w:p>
      <w:pPr>
        <w:spacing w:after="0" w:line="186"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Representative by notice from the Representative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6" w:right="479" w:bottom="1440" w:gutter="0" w:footer="0" w:header="0"/>
        </w:sectPr>
      </w:pPr>
    </w:p>
    <w:bookmarkStart w:id="34" w:name="page35"/>
    <w:bookmarkEnd w:id="34"/>
    <w:p>
      <w:pPr>
        <w:ind w:right="140" w:firstLine="991"/>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 Reimbursement of Underwriters’ Expenses</w:t>
      </w:r>
      <w:r>
        <w:rPr>
          <w:rFonts w:ascii="Times New Roman" w:cs="Times New Roman" w:eastAsia="Times New Roman" w:hAnsi="Times New Roman"/>
          <w:sz w:val="17"/>
          <w:szCs w:val="17"/>
          <w:color w:val="auto"/>
        </w:rPr>
        <w:t>. If this Agreement is terminated by the Representative pursuant to Section 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10 or Section 11 (other than pursuant to clauses (ii) or (iii) thereof),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7. 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8.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7" w:lineRule="auto"/>
        <w:tabs>
          <w:tab w:leader="none" w:pos="695"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Indemnification of the Underwriters</w:t>
      </w:r>
      <w:r>
        <w:rPr>
          <w:rFonts w:ascii="Times New Roman" w:cs="Times New Roman" w:eastAsia="Times New Roman" w:hAnsi="Times New Roman"/>
          <w:sz w:val="17"/>
          <w:szCs w:val="17"/>
          <w:color w:val="auto"/>
        </w:rPr>
        <w:t>. The Company agrees to indemnify and hold harmless each Underwriter, its affiliates, directors, officers,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IPO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Marketing Material, any Section 5(d) Written Communication or the IPO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5" w:name="page36"/>
    <w:bookmarkEnd w:id="35"/>
    <w:p>
      <w:pPr>
        <w:ind w:right="20" w:firstLine="436"/>
        <w:spacing w:after="0" w:line="252" w:lineRule="auto"/>
        <w:tabs>
          <w:tab w:leader="none" w:pos="7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Section 5(d) Written Communication or the IPO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Section 5(d) Written Communication or the IPO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has furnished to the Company expressly for use in the Registration Statement, any preliminary prospectus, the Time of Sale Prospectus, any Section 5(d) Written Communication or the IPO Prospectus (or any amendment or supplement to the foregoing) are the statements set forth in the paragraphs under the caption “Underwriting”: (x) the list of Underwriters and their respective roles and participation in the sale of the Offered Securities, (y) the first sentence in the third paragraph and the third sentence in the fourth paragraph, and (z) the first sentence in the first paragraph and the first sentence in the sixth paragraph under the heading “Stabilization,” in the Preliminary Prospectus and the IPO Prospectus. The indemnity agreement set forth in this Section 8(b) shall be in addition to any liabilities that each Underwriter may otherwise have.</w:t>
      </w:r>
    </w:p>
    <w:p>
      <w:pPr>
        <w:spacing w:after="0" w:line="183"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68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color w:val="auto"/>
        </w:rPr>
        <w:t>. Promptly after receipt by an indemnified party under this Section 8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6" w:name="page37"/>
    <w:bookmarkEnd w:id="3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8" w:lineRule="exact"/>
        <w:rPr>
          <w:sz w:val="20"/>
          <w:szCs w:val="20"/>
          <w:color w:val="auto"/>
        </w:rPr>
      </w:pPr>
    </w:p>
    <w:p>
      <w:pPr>
        <w:ind w:firstLine="436"/>
        <w:spacing w:after="0" w:line="253" w:lineRule="auto"/>
        <w:tabs>
          <w:tab w:leader="none" w:pos="70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color w:val="auto"/>
        </w:rPr>
        <w:t>. The indemnifying party under this Section 8 shall not be liable for any settlement of any proceeding effected without its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7" w:name="page38"/>
    <w:bookmarkEnd w:id="37"/>
    <w:p>
      <w:pPr>
        <w:ind w:right="2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 Contribution</w:t>
      </w:r>
      <w:r>
        <w:rPr>
          <w:rFonts w:ascii="Times New Roman" w:cs="Times New Roman" w:eastAsia="Times New Roman" w:hAnsi="Times New Roman"/>
          <w:sz w:val="18"/>
          <w:szCs w:val="18"/>
          <w:color w:val="auto"/>
        </w:rPr>
        <w:t>. If the indemnification provided for in Section 8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proceeds from the Offering pursuant to this Agreement (before deducting expenses) received by the Company, and the total underwriting discounts and commissions received by the Underwriters, in each case as set forth on the front cover page of the IPO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9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provided, however, that no additional notice shall be required with respect to any action for which notice has been given under Section 8(c) for purposes of indemnification.</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6" w:right="439" w:bottom="1440" w:gutter="0" w:footer="0" w:header="0"/>
        </w:sectPr>
      </w:pPr>
    </w:p>
    <w:bookmarkStart w:id="38" w:name="page39"/>
    <w:bookmarkEnd w:id="38"/>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 Default of One or More of the Several Underwriters</w:t>
      </w:r>
      <w:r>
        <w:rPr>
          <w:rFonts w:ascii="Times New Roman" w:cs="Times New Roman" w:eastAsia="Times New Roman" w:hAnsi="Times New Roman"/>
          <w:sz w:val="18"/>
          <w:szCs w:val="18"/>
          <w:color w:val="auto"/>
        </w:rPr>
        <w:t>. If, on the First Closing Date or any Option Closing Date any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bears to the aggregate number of Firm Securities set forth opposite the names of all such non-defaulting Underwriters, or in such other proportions as may be specified by the Representative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IPO Prospectus or any other documents or arrangements may be effected.</w:t>
      </w:r>
    </w:p>
    <w:p>
      <w:pPr>
        <w:spacing w:after="0" w:line="19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10. Nothing contained in this Agreement shall relieve any defaulting Underwriter from liability in respect of any default of such Underwriter under this Agreement.</w:t>
      </w:r>
    </w:p>
    <w:p>
      <w:pPr>
        <w:spacing w:after="0" w:line="17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Section 11. Termination of this Agreement</w:t>
      </w:r>
      <w:r>
        <w:rPr>
          <w:rFonts w:ascii="Times New Roman" w:cs="Times New Roman" w:eastAsia="Times New Roman" w:hAnsi="Times New Roman"/>
          <w:sz w:val="18"/>
          <w:szCs w:val="18"/>
          <w:color w:val="auto"/>
        </w:rPr>
        <w:t>. Prior to the purchase of the Firm Securities by the Underwriters on the First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terminated by the Representative by notice given to the Company if at any time: (i) trading or quotation in any of the Company’s securities shall have been suspended or limited by the Commission or by the Nasdaq or trading in securities generally on either the NYSE or Nasdaq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proceed with the offering or delivery of the Offered Securities in the manner and on the terms described in the Time of Sale Prospectus or the IPO Prospectus or to enforce contracts for the sale of securities; (iv) in the judgment of the Representative there shall have occurred any Material Adverse Change;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 and the Underwriters pursuant to Section 4 or Section 6 hereof or (b) any Underwriter to the Company; provided, however, that the provisions of Section 8 and Section 9 shall at all times be effective and shall survive such termination.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39" w:name="page40"/>
    <w:bookmarkEnd w:id="39"/>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12. No Advisory or Fiduciary Relationship</w:t>
      </w:r>
      <w:r>
        <w:rPr>
          <w:rFonts w:ascii="Times New Roman" w:cs="Times New Roman" w:eastAsia="Times New Roman" w:hAnsi="Times New Roman"/>
          <w:sz w:val="18"/>
          <w:szCs w:val="18"/>
          <w:color w:val="auto"/>
        </w:rPr>
        <w:t>. The Company acknowledges and agrees that (a) the purchase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2"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13. Representations and Indemnities to Survive Delivery</w:t>
      </w:r>
      <w:r>
        <w:rPr>
          <w:rFonts w:ascii="Times New Roman" w:cs="Times New Roman" w:eastAsia="Times New Roman" w:hAnsi="Times New Roman"/>
          <w:sz w:val="18"/>
          <w:szCs w:val="18"/>
          <w:color w:val="auto"/>
        </w:rPr>
        <w:t>. The respective indemnities,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79"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14. Notices</w:t>
      </w:r>
      <w:r>
        <w:rPr>
          <w:rFonts w:ascii="Times New Roman" w:cs="Times New Roman" w:eastAsia="Times New Roman" w:hAnsi="Times New Roman"/>
          <w:sz w:val="18"/>
          <w:szCs w:val="18"/>
          <w:color w:val="auto"/>
        </w:rPr>
        <w:t>. All communications hereunder shall be in writing and shall be mailed, hand delivered or telecopied and confirmed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as follows:</w:t>
      </w:r>
    </w:p>
    <w:p>
      <w:pPr>
        <w:sectPr>
          <w:pgSz w:w="11900" w:h="16838" w:orient="portrait"/>
          <w:cols w:equalWidth="0" w:num="1">
            <w:col w:w="11000"/>
          </w:cols>
          <w:pgMar w:left="440" w:top="266" w:right="45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Representative: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sectPr>
          <w:pgSz w:w="11900" w:h="16838" w:orient="portrait"/>
          <w:cols w:equalWidth="0" w:num="2">
            <w:col w:w="1720" w:space="600"/>
            <w:col w:w="868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446-4900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Christian O. Nagler and Peter S. Seligson</w:t>
      </w:r>
    </w:p>
    <w:p>
      <w:pPr>
        <w:spacing w:after="0" w:line="110" w:lineRule="exact"/>
        <w:rPr>
          <w:sz w:val="20"/>
          <w:szCs w:val="20"/>
          <w:color w:val="auto"/>
        </w:rPr>
      </w:pPr>
    </w:p>
    <w:p>
      <w:pPr>
        <w:sectPr>
          <w:pgSz w:w="11900" w:h="16838" w:orient="portrait"/>
          <w:cols w:equalWidth="0" w:num="2">
            <w:col w:w="1600" w:space="720"/>
            <w:col w:w="868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Victory Park Capital Advisors,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Scott R. Zemnick</w:t>
      </w:r>
    </w:p>
    <w:p>
      <w:pPr>
        <w:spacing w:after="0" w:line="139" w:lineRule="exact"/>
        <w:rPr>
          <w:sz w:val="20"/>
          <w:szCs w:val="20"/>
          <w:color w:val="auto"/>
        </w:rPr>
      </w:pPr>
    </w:p>
    <w:p>
      <w:pPr>
        <w:sectPr>
          <w:pgSz w:w="11900" w:h="16838" w:orient="portrait"/>
          <w:cols w:equalWidth="0" w:num="2">
            <w:col w:w="1600" w:space="720"/>
            <w:col w:w="8680"/>
          </w:cols>
          <w:pgMar w:left="440" w:top="266"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-281940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1221 Avenue of the Americas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354-8113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Joel L. Rubinstein</w:t>
      </w:r>
    </w:p>
    <w:p>
      <w:pPr>
        <w:spacing w:after="0" w:line="200" w:lineRule="exact"/>
        <w:rPr>
          <w:sz w:val="20"/>
          <w:szCs w:val="20"/>
          <w:color w:val="auto"/>
        </w:rPr>
      </w:pPr>
    </w:p>
    <w:p>
      <w:pPr>
        <w:sectPr>
          <w:pgSz w:w="11900" w:h="16838" w:orient="portrait"/>
          <w:cols w:equalWidth="0" w:num="2">
            <w:col w:w="1600" w:space="720"/>
            <w:col w:w="8660"/>
          </w:cols>
          <w:pgMar w:left="440" w:top="378" w:right="479" w:bottom="1440" w:gutter="0" w:footer="0" w:header="0"/>
        </w:sectPr>
      </w:pP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15. Successors</w:t>
      </w:r>
      <w:r>
        <w:rPr>
          <w:rFonts w:ascii="Times New Roman" w:cs="Times New Roman" w:eastAsia="Times New Roman" w:hAnsi="Times New Roman"/>
          <w:sz w:val="18"/>
          <w:szCs w:val="18"/>
          <w:color w:val="auto"/>
        </w:rPr>
        <w:t>. 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“successors” shall not include any purchaser of the Offered Securities as such from any of the Underwriters merely by reason of such purchase.</w:t>
      </w:r>
    </w:p>
    <w:p>
      <w:pPr>
        <w:spacing w:after="0" w:line="179" w:lineRule="exact"/>
        <w:rPr>
          <w:sz w:val="20"/>
          <w:szCs w:val="20"/>
          <w:color w:val="auto"/>
        </w:rPr>
      </w:pPr>
    </w:p>
    <w:p>
      <w:pPr>
        <w:jc w:val="both"/>
        <w:ind w:right="2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16. Partial Unenforceability</w:t>
      </w:r>
      <w:r>
        <w:rPr>
          <w:rFonts w:ascii="Times New Roman" w:cs="Times New Roman" w:eastAsia="Times New Roman" w:hAnsi="Times New Roman"/>
          <w:sz w:val="18"/>
          <w:szCs w:val="18"/>
          <w:color w:val="auto"/>
        </w:rPr>
        <w:t>. The invalidity or unenforceability of any section, paragraph or provision of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Recognition of the U.S. Special Resolution Regimes. </w:t>
      </w:r>
      <w:r>
        <w:rPr>
          <w:rFonts w:ascii="Times New Roman" w:cs="Times New Roman" w:eastAsia="Times New Roman" w:hAnsi="Times New Roman"/>
          <w:sz w:val="18"/>
          <w:szCs w:val="18"/>
          <w:color w:val="auto"/>
        </w:rPr>
        <w:t>In the event that any Underwriter that is a Covered Entity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Wall Street Reform and Consumer Protection Act and the regulations promulgated thereunder.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378" w:right="479" w:bottom="1440" w:gutter="0" w:footer="0" w:header="0"/>
          <w:type w:val="continuous"/>
        </w:sectPr>
      </w:pPr>
    </w:p>
    <w:bookmarkStart w:id="41" w:name="page42"/>
    <w:bookmarkEnd w:id="41"/>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18. Governing Law Provisions</w:t>
      </w:r>
      <w:r>
        <w:rPr>
          <w:rFonts w:ascii="Times New Roman" w:cs="Times New Roman" w:eastAsia="Times New Roman" w:hAnsi="Times New Roman"/>
          <w:sz w:val="18"/>
          <w:szCs w:val="18"/>
          <w:color w:val="auto"/>
        </w:rPr>
        <w:t>. This Agreement shall be governed by and construed in accordance with the internal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19. 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IPO Prospectus (and any amendments and supplements to the foregoing), as contemplated by the Securities Act and the Exchange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42" w:name="page43"/>
    <w:bookmarkEnd w:id="42"/>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 in New York, New York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Tina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Tina Pappas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720"/>
          </w:cols>
          <w:pgMar w:left="440" w:top="270" w:right="7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Jefferies LLC</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if</w:t>
            </w:r>
          </w:p>
        </w:tc>
        <w:tc>
          <w:tcPr>
            <w:tcW w:w="0" w:type="dxa"/>
            <w:vAlign w:val="bottom"/>
          </w:tcPr>
          <w:p>
            <w:pPr>
              <w:spacing w:after="0"/>
              <w:rPr>
                <w:sz w:val="1"/>
                <w:szCs w:val="1"/>
                <w:color w:val="auto"/>
              </w:rPr>
            </w:pPr>
          </w:p>
        </w:tc>
      </w:tr>
      <w:tr>
        <w:trPr>
          <w:trHeight w:val="148"/>
        </w:trPr>
        <w:tc>
          <w:tcPr>
            <w:tcW w:w="1480" w:type="dxa"/>
            <w:vAlign w:val="bottom"/>
            <w:gridSpan w:val="2"/>
            <w:vMerge w:val="continue"/>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 Optional</w:t>
            </w:r>
          </w:p>
        </w:tc>
        <w:tc>
          <w:tcPr>
            <w:tcW w:w="0" w:type="dxa"/>
            <w:vAlign w:val="bottom"/>
          </w:tcPr>
          <w:p>
            <w:pPr>
              <w:spacing w:after="0"/>
              <w:rPr>
                <w:sz w:val="1"/>
                <w:szCs w:val="1"/>
                <w:color w:val="auto"/>
              </w:rPr>
            </w:pPr>
          </w:p>
        </w:tc>
      </w:tr>
      <w:tr>
        <w:trPr>
          <w:trHeight w:val="148"/>
        </w:trPr>
        <w:tc>
          <w:tcPr>
            <w:tcW w:w="14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Firm Securities</w:t>
            </w: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are</w:t>
            </w:r>
          </w:p>
        </w:tc>
        <w:tc>
          <w:tcPr>
            <w:tcW w:w="0" w:type="dxa"/>
            <w:vAlign w:val="bottom"/>
          </w:tcPr>
          <w:p>
            <w:pPr>
              <w:spacing w:after="0"/>
              <w:rPr>
                <w:sz w:val="1"/>
                <w:szCs w:val="1"/>
                <w:color w:val="auto"/>
              </w:rPr>
            </w:pPr>
          </w:p>
        </w:tc>
      </w:tr>
      <w:tr>
        <w:trPr>
          <w:trHeight w:val="173"/>
        </w:trPr>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be Purchased</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87"/>
        </w:trPr>
        <w:tc>
          <w:tcPr>
            <w:tcW w:w="10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20,000,000</w:t>
            </w:r>
          </w:p>
        </w:tc>
        <w:tc>
          <w:tcPr>
            <w:tcW w:w="460" w:type="dxa"/>
            <w:vAlign w:val="bottom"/>
          </w:tcPr>
          <w:p>
            <w:pPr>
              <w:spacing w:after="0"/>
              <w:rPr>
                <w:sz w:val="16"/>
                <w:szCs w:val="16"/>
                <w:color w:val="auto"/>
              </w:rPr>
            </w:pPr>
          </w:p>
        </w:tc>
        <w:tc>
          <w:tcPr>
            <w:tcW w:w="1240" w:type="dxa"/>
            <w:vAlign w:val="bottom"/>
            <w:tcBorders>
              <w:top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color w:val="auto"/>
                <w:w w:val="98"/>
              </w:rPr>
              <w:t>23,000,000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23,000,000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-1328420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-281940</wp:posOffset>
            </wp:positionV>
            <wp:extent cx="699516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2">
            <w:col w:w="7520" w:space="720"/>
            <w:col w:w="2780"/>
          </w:cols>
          <w:pgMar w:left="440" w:top="266"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TIME OF DELIVERY INFORMATION</w:t>
      </w:r>
    </w:p>
    <w:p>
      <w:pPr>
        <w:spacing w:after="0" w:line="225"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VPC Impact Acquisition Holdings priced 20,000,000 units at $10.00 per unit plus an additional 3,000,000 units if the underwriters exercise their over-allotment option in full.</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underwriting discounts and commissions shall be $0.55 per unit, including $0.35 per unit in the aggregate payable to the Underwriters for deferred underwriting commissions to be placed into the Trust Account and released to the Underwriters upon completion of the initial Business Combination in accordance with the Trust Agreement.</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amounts in the Trust Account may be invested only in U.S. government treasury bills with a maturity of 185 days or less or in money market funds meeting certain conditions under Rule 2a-7 under the Investment Company Act which invest only in direct U.S. government treasury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units will be issued pursuant to an effective registration statement that has been previously filed with the Securities and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any offer to buy, nor shall there be any sale of the securities in any state or jurisdiction in which such offer, solicitation or sale would be unlawful prior to the registration or qualification under the securities law of any such state or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Copies of the prospectus related to the Offering may be obtained from Jefferies LLC, 520 Madison Avenue, New York, New York 10022.</w:t>
      </w:r>
    </w:p>
    <w:p>
      <w:pPr>
        <w:sectPr>
          <w:pgSz w:w="11900" w:h="16838" w:orient="portrait"/>
          <w:cols w:equalWidth="0" w:num="1">
            <w:col w:w="11020"/>
          </w:cols>
          <w:pgMar w:left="440" w:top="266"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Permitted Section 5(d)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Pre-Marketing Presentation, dated August 2020.</w:t>
      </w:r>
    </w:p>
    <w:p>
      <w:pPr>
        <w:sectPr>
          <w:pgSz w:w="11900" w:h="16838" w:orient="portrait"/>
          <w:cols w:equalWidth="0" w:num="1">
            <w:col w:w="11020"/>
          </w:cols>
          <w:pgMar w:left="440" w:top="266"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THE COMPANIES LAW (2020 REVISION)</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22 SEPTEMBER 2020 AND EFFECTIVE ON 22 SEPTEMBER 2020)</w:t>
      </w:r>
    </w:p>
    <w:p>
      <w:pPr>
        <w:sectPr>
          <w:pgSz w:w="11900" w:h="16838" w:orient="portrait"/>
          <w:cols w:equalWidth="0" w:num="1">
            <w:col w:w="10220"/>
          </w:cols>
          <w:pgMar w:left="1240" w:top="117" w:right="439" w:bottom="1440" w:gutter="0" w:footer="0" w:header="0"/>
        </w:sectPr>
      </w:pPr>
    </w:p>
    <w:bookmarkStart w:id="47" w:name="page48"/>
    <w:bookmarkEnd w:id="4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COMPANIES LAW (2020 REVISION)</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22 SEPTEMBER 2020 AND EFFECTIVE ON 22 SEPTEMBER 2020)</w:t>
      </w:r>
    </w:p>
    <w:p>
      <w:pPr>
        <w:spacing w:after="0" w:line="230"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VPC Impact Acquisition Holdings</w:t>
      </w:r>
    </w:p>
    <w:p>
      <w:pPr>
        <w:spacing w:after="0" w:line="135" w:lineRule="exact"/>
        <w:rPr>
          <w:sz w:val="20"/>
          <w:szCs w:val="20"/>
          <w:color w:val="auto"/>
        </w:rPr>
      </w:pPr>
    </w:p>
    <w:p>
      <w:pPr>
        <w:ind w:left="424" w:right="60" w:hanging="424"/>
        <w:spacing w:after="0" w:line="282"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67" w:lineRule="exact"/>
        <w:rPr>
          <w:sz w:val="20"/>
          <w:szCs w:val="20"/>
          <w:color w:val="auto"/>
        </w:rPr>
      </w:pPr>
    </w:p>
    <w:p>
      <w:pPr>
        <w:ind w:left="424" w:hanging="424"/>
        <w:spacing w:after="0" w:line="282"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67"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131" w:lineRule="exact"/>
        <w:rPr>
          <w:sz w:val="20"/>
          <w:szCs w:val="20"/>
          <w:color w:val="auto"/>
        </w:rPr>
      </w:pPr>
    </w:p>
    <w:p>
      <w:pPr>
        <w:ind w:left="424" w:right="160" w:hanging="424"/>
        <w:spacing w:after="0" w:line="282"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US$22,100 divided into 200,000,000 Class A ordinary shares of a par value of US$0.0001 each, 20,000,000 Class B ordinary shares of a par value of US$0.0001 each and 1,000,000 preference shares of a par value of US$0.0001 each.</w:t>
      </w:r>
    </w:p>
    <w:p>
      <w:pPr>
        <w:spacing w:after="0" w:line="67" w:lineRule="exact"/>
        <w:rPr>
          <w:sz w:val="20"/>
          <w:szCs w:val="20"/>
          <w:color w:val="auto"/>
        </w:rPr>
      </w:pPr>
    </w:p>
    <w:p>
      <w:pPr>
        <w:ind w:left="424" w:right="280" w:hanging="424"/>
        <w:spacing w:after="0" w:line="282"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67" w:lineRule="exact"/>
        <w:rPr>
          <w:sz w:val="20"/>
          <w:szCs w:val="20"/>
          <w:color w:val="auto"/>
        </w:rPr>
      </w:pPr>
    </w:p>
    <w:p>
      <w:pPr>
        <w:ind w:left="424" w:right="180" w:hanging="424"/>
        <w:spacing w:after="0" w:line="282"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Amended and Restated Memorandum of Association bear the respective meanings given to them in the Amended and Restated Articles of Association of the Company.</w:t>
      </w:r>
    </w:p>
    <w:p>
      <w:pPr>
        <w:sectPr>
          <w:pgSz w:w="11900" w:h="16838" w:orient="portrait"/>
          <w:cols w:equalWidth="0" w:num="1">
            <w:col w:w="11004"/>
          </w:cols>
          <w:pgMar w:left="436" w:top="266" w:right="459" w:bottom="1440" w:gutter="0" w:footer="0" w:header="0"/>
        </w:sectPr>
      </w:pPr>
    </w:p>
    <w:bookmarkStart w:id="48" w:name="page49"/>
    <w:bookmarkEnd w:id="4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COMPANIES LAW (2020 REVISION)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22 SEPTEMBER 2020 AND EFFECTIVE ON 22 SEPTEMBER 2020)</w:t>
      </w:r>
    </w:p>
    <w:p>
      <w:pPr>
        <w:spacing w:after="0" w:line="230"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424" w:right="4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1.1</w:t>
        <w:tab/>
        <w:t>In the Articles Table A in the First Schedule to the Statute does not apply and, unless there is something in the subject or context inconsistent therewith:</w:t>
      </w:r>
    </w:p>
    <w:p>
      <w:pPr>
        <w:sectPr>
          <w:pgSz w:w="11900" w:h="16838" w:orient="portrait"/>
          <w:cols w:equalWidth="0" w:num="1">
            <w:col w:w="11004"/>
          </w:cols>
          <w:pgMar w:left="436" w:top="266" w:right="459" w:bottom="1440" w:gutter="0" w:footer="0" w:header="0"/>
        </w:sectPr>
      </w:pPr>
    </w:p>
    <w:p>
      <w:pPr>
        <w:spacing w:after="0" w:line="185"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b w:val="1"/>
          <w:bCs w:val="1"/>
          <w:color w:val="auto"/>
        </w:rPr>
        <w:t>“Affiliate”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78" w:lineRule="exact"/>
        <w:rPr>
          <w:sz w:val="20"/>
          <w:szCs w:val="20"/>
          <w:color w:val="auto"/>
        </w:rPr>
      </w:pPr>
    </w:p>
    <w:p>
      <w:pPr>
        <w:sectPr>
          <w:pgSz w:w="11900" w:h="16838" w:orient="portrait"/>
          <w:cols w:equalWidth="0" w:num="2">
            <w:col w:w="5024" w:space="720"/>
            <w:col w:w="5260"/>
          </w:cols>
          <w:pgMar w:left="436" w:top="266" w:right="45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8"/>
          <w:szCs w:val="18"/>
          <w:b w:val="1"/>
          <w:bCs w:val="1"/>
          <w:color w:val="auto"/>
        </w:rPr>
        <w:t>“Applicable Law”</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 certificates, judgments, decisions, decrees or orders of any governmental authority applicable to such person.</w:t>
      </w:r>
    </w:p>
    <w:p>
      <w:pPr>
        <w:spacing w:after="0" w:line="68" w:lineRule="exact"/>
        <w:rPr>
          <w:sz w:val="20"/>
          <w:szCs w:val="20"/>
          <w:color w:val="auto"/>
        </w:rPr>
      </w:pPr>
    </w:p>
    <w:p>
      <w:pPr>
        <w:sectPr>
          <w:pgSz w:w="11900" w:h="16838" w:orient="portrait"/>
          <w:cols w:equalWidth="0" w:num="2">
            <w:col w:w="5024" w:space="720"/>
            <w:col w:w="5260"/>
          </w:cols>
          <w:pgMar w:left="436" w:top="266" w:right="45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these amended and restated articles of association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ectPr>
          <w:pgSz w:w="11900" w:h="16838" w:orient="portrait"/>
          <w:cols w:equalWidth="0" w:num="2">
            <w:col w:w="5024" w:space="720"/>
            <w:col w:w="5260"/>
          </w:cols>
          <w:pgMar w:left="436" w:top="266" w:right="4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br w:type="column"/>
      </w:r>
    </w:p>
    <w:p>
      <w:pPr>
        <w:ind w:right="300"/>
        <w:spacing w:after="0" w:line="312" w:lineRule="auto"/>
        <w:rPr>
          <w:sz w:val="20"/>
          <w:szCs w:val="20"/>
          <w:color w:val="auto"/>
        </w:rPr>
      </w:pPr>
      <w:r>
        <w:rPr>
          <w:rFonts w:ascii="Times New Roman" w:cs="Times New Roman" w:eastAsia="Times New Roman" w:hAnsi="Times New Roman"/>
          <w:sz w:val="17"/>
          <w:szCs w:val="17"/>
          <w:color w:val="auto"/>
        </w:rPr>
        <w:t>means the audit committee of the board of directors of the Company established pursuant to the Articles, or any successor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-404495</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660" w:space="720"/>
            <w:col w:w="5220"/>
          </w:cols>
          <w:pgMar w:left="800" w:top="266" w:right="49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“Auditor”</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p>
      <w:pPr>
        <w:spacing w:after="0" w:line="50"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means a merger, amalgamation, share exchange, asset acquisition, share purchase, reorganisation or similar business combination involving the Company, with one or more businesses or entities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which Business Combination: (a) must occur with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target businesses that together have an aggregate fair market value of at least 80 per cent of the assets held in the Trust Account (excluding the deferred underwriting commissions and taxes payable on the income earned on the Trust Account) at the time of the agreement to enter into such Business Combination; and (b) must not be effectuated with another blank cheque company or a similar company with nominal operations.</w:t>
      </w:r>
    </w:p>
    <w:p>
      <w:pPr>
        <w:spacing w:after="0" w:line="80"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“business day”</w:t>
      </w:r>
    </w:p>
    <w:p>
      <w:pPr>
        <w:spacing w:after="0" w:line="20" w:lineRule="exact"/>
        <w:rPr>
          <w:sz w:val="20"/>
          <w:szCs w:val="20"/>
          <w:color w:val="auto"/>
        </w:rPr>
      </w:pPr>
      <w:r>
        <w:rPr>
          <w:sz w:val="20"/>
          <w:szCs w:val="20"/>
          <w:color w:val="auto"/>
        </w:rPr>
        <w:br w:type="column"/>
      </w: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means any day other than a Saturday, a Sunday or a legal holiday or a day on which banking institutions or trust companies are authorised or obligated by law to close in New York City.</w:t>
      </w:r>
    </w:p>
    <w:p>
      <w:pPr>
        <w:spacing w:after="0" w:line="64"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conviction for a criminal offence involving dishonesty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conduct which brings a Director or the Company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disrepute or which results in a material financial detriment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5"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“Clearing House”</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Times New Roman" w:cs="Times New Roman" w:eastAsia="Times New Roman" w:hAnsi="Times New Roman"/>
          <w:sz w:val="17"/>
          <w:szCs w:val="17"/>
          <w:color w:val="auto"/>
        </w:rPr>
        <w:t>means a clearing house recognised by the laws of the jurisdiction in which the Shares (or depositary receipts therefor) are listed or quoted on a stock exchange or interdealer quotation system in such jurisdiction.</w:t>
      </w:r>
    </w:p>
    <w:p>
      <w:pPr>
        <w:spacing w:after="0" w:line="46"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“Class A Share”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 Class A ordinary share of a par value of US$0.0001 in the share capital of the Company.</w:t>
      </w:r>
    </w:p>
    <w:p>
      <w:pPr>
        <w:spacing w:after="0" w:line="50"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“Class B Share”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 Class B ordinary share of a par value of US$0.0001 in the share capital of the Company.</w:t>
      </w:r>
    </w:p>
    <w:p>
      <w:pPr>
        <w:spacing w:after="0" w:line="50"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above named company.</w:t>
      </w:r>
    </w:p>
    <w:p>
      <w:pPr>
        <w:spacing w:after="0" w:line="125"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“Company’s Website”</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p>
      <w:pPr>
        <w:spacing w:after="0" w:line="94" w:lineRule="exact"/>
        <w:rPr>
          <w:sz w:val="20"/>
          <w:szCs w:val="20"/>
          <w:color w:val="auto"/>
        </w:rPr>
      </w:pPr>
    </w:p>
    <w:p>
      <w:pPr>
        <w:sectPr>
          <w:pgSz w:w="11900" w:h="16838" w:orient="portrait"/>
          <w:cols w:equalWidth="0" w:num="2">
            <w:col w:w="4660" w:space="720"/>
            <w:col w:w="5220"/>
          </w:cols>
          <w:pgMar w:left="800" w:top="266" w:right="49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600"/>
          </w:cols>
          <w:pgMar w:left="800" w:top="266" w:right="4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0" w:lineRule="exact"/>
        <w:rPr>
          <w:sz w:val="20"/>
          <w:szCs w:val="20"/>
          <w:color w:val="auto"/>
        </w:rPr>
      </w:pPr>
      <w:r>
        <w:rPr>
          <w:sz w:val="20"/>
          <w:szCs w:val="20"/>
          <w:color w:val="auto"/>
        </w:rPr>
        <w:br w:type="column"/>
      </w:r>
    </w:p>
    <w:p>
      <w:pPr>
        <w:ind w:right="440"/>
        <w:spacing w:after="0" w:line="266" w:lineRule="auto"/>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 Articles, or any successor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-518795</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4660" w:space="720"/>
            <w:col w:w="5260"/>
          </w:cols>
          <w:pgMar w:left="800" w:top="266" w:right="45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“Designated Stock Exchange”</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 trading, including The Nasdaq Capital Market.</w:t>
      </w:r>
    </w:p>
    <w:p>
      <w:pPr>
        <w:spacing w:after="0" w:line="64"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directors for the time being of the Company.</w:t>
      </w:r>
    </w:p>
    <w:p>
      <w:pPr>
        <w:spacing w:after="0" w:line="124"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“Dividend”</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p>
      <w:pPr>
        <w:spacing w:after="0" w:line="50"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Communication”</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p>
      <w:pPr>
        <w:spacing w:after="0" w:line="71"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Record”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same meaning as in the Electronic Transactions Law.</w:t>
      </w:r>
    </w:p>
    <w:p>
      <w:pPr>
        <w:spacing w:after="0" w:line="125"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Transactions Law”</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means the Electronic Transactions Law (2003 Revision) of the Cayman Islands.</w:t>
      </w:r>
    </w:p>
    <w:p>
      <w:pPr>
        <w:spacing w:after="0" w:line="50"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“Equity-linked Securities”</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68"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“Exchange Act”</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 and the rules and regulations of the Securities and Exchange Commission thereunder, all as the same shall be in effect at the time.</w:t>
      </w:r>
    </w:p>
    <w:p>
      <w:pPr>
        <w:spacing w:after="0" w:line="68"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“Founders”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all Members immediately prior to the consummation of the IPO.</w:t>
      </w:r>
    </w:p>
    <w:p>
      <w:pPr>
        <w:spacing w:after="0" w:line="125"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“Independent Director”</w:t>
      </w:r>
    </w:p>
    <w:p>
      <w:pPr>
        <w:spacing w:after="0" w:line="20" w:lineRule="exact"/>
        <w:rPr>
          <w:sz w:val="20"/>
          <w:szCs w:val="20"/>
          <w:color w:val="auto"/>
        </w:rPr>
      </w:pPr>
      <w:r>
        <w:rPr>
          <w:sz w:val="20"/>
          <w:szCs w:val="20"/>
          <w:color w:val="auto"/>
        </w:rPr>
        <w:br w:type="column"/>
      </w: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 under the Exchange Act, as the case may be.</w:t>
      </w:r>
    </w:p>
    <w:p>
      <w:pPr>
        <w:spacing w:after="0" w:line="64"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Company’s initial public offering of securities.</w:t>
      </w:r>
    </w:p>
    <w:p>
      <w:pPr>
        <w:spacing w:after="0" w:line="169"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640"/>
          </w:cols>
          <w:pgMar w:left="800" w:top="266" w:right="4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same meaning as in the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-206375</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4660" w:space="720"/>
            <w:col w:w="5260"/>
          </w:cols>
          <w:pgMar w:left="800" w:top="266" w:right="45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“Memorandum”</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means the amended and restated memorandum of association of the Company.</w:t>
      </w:r>
    </w:p>
    <w:p>
      <w:pPr>
        <w:spacing w:after="0" w:line="50"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“Minimum Member”</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means a Member meeting the minimum requirements set forth for eligible members to submit proposals under Rule 14a-8 of the Exchange Act or any applicable rules thereunder as may be amended or promulgated thereunder from time to time.</w:t>
      </w:r>
    </w:p>
    <w:p>
      <w:pPr>
        <w:spacing w:after="0" w:line="68"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0" w:lineRule="exact"/>
        <w:rPr>
          <w:sz w:val="20"/>
          <w:szCs w:val="20"/>
          <w:color w:val="auto"/>
        </w:rPr>
      </w:pPr>
      <w:r>
        <w:rPr>
          <w:sz w:val="20"/>
          <w:szCs w:val="20"/>
          <w:color w:val="auto"/>
        </w:rPr>
        <w:br w:type="column"/>
      </w: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 established pursuant to the Articles, or any successor committee.</w:t>
      </w:r>
    </w:p>
    <w:p>
      <w:pPr>
        <w:spacing w:after="0" w:line="64"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person appointed to hold an office in the Company.</w:t>
      </w:r>
    </w:p>
    <w:p>
      <w:pPr>
        <w:spacing w:after="0" w:line="125"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71"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“Over-Allotment Option”</w:t>
      </w:r>
    </w:p>
    <w:p>
      <w:pPr>
        <w:spacing w:after="0" w:line="20" w:lineRule="exact"/>
        <w:rPr>
          <w:sz w:val="20"/>
          <w:szCs w:val="20"/>
          <w:color w:val="auto"/>
        </w:rPr>
      </w:pPr>
      <w:r>
        <w:rPr>
          <w:sz w:val="20"/>
          <w:szCs w:val="20"/>
          <w:color w:val="auto"/>
        </w:rPr>
        <w:br w:type="column"/>
      </w: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means the option of the Underwriters to purchase up to an additional 15 per cent of the firm units (as described in the Articles) issued in the IPO at a price equal to US$10 per unit, less underwriting discounts and commissions.</w:t>
      </w:r>
    </w:p>
    <w:p>
      <w:pPr>
        <w:spacing w:after="0" w:line="68"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“Preference Share”</w:t>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means a preference share of a par value of US$0.0001 in the share capital of the Company.</w:t>
      </w:r>
    </w:p>
    <w:p>
      <w:pPr>
        <w:spacing w:after="0" w:line="50"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“Public Share”</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means a Class A Share issued as part of the units (as described in the Articles) issued in the IPO.</w:t>
      </w:r>
    </w:p>
    <w:p>
      <w:pPr>
        <w:spacing w:after="0" w:line="50"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“Redemption Notice”</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means a notice in a form approved by the Company by which a holder of Public Shares is entitled to require the Company to redeem its Public Shares, subject to any conditions contained therein.</w:t>
      </w:r>
    </w:p>
    <w:p>
      <w:pPr>
        <w:spacing w:after="0" w:line="64"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“Register of Members”</w:t>
      </w:r>
    </w:p>
    <w:p>
      <w:pPr>
        <w:spacing w:after="0" w:line="20" w:lineRule="exact"/>
        <w:rPr>
          <w:sz w:val="20"/>
          <w:szCs w:val="20"/>
          <w:color w:val="auto"/>
        </w:rPr>
      </w:pPr>
      <w:r>
        <w:rPr>
          <w:sz w:val="20"/>
          <w:szCs w:val="20"/>
          <w:color w:val="auto"/>
        </w:rPr>
        <w:br w:type="column"/>
      </w: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 otherwise stated) any branch or duplicate register of Members.</w:t>
      </w:r>
    </w:p>
    <w:p>
      <w:pPr>
        <w:spacing w:after="0" w:line="108" w:lineRule="exact"/>
        <w:rPr>
          <w:sz w:val="20"/>
          <w:szCs w:val="20"/>
          <w:color w:val="auto"/>
        </w:rPr>
      </w:pPr>
    </w:p>
    <w:p>
      <w:pPr>
        <w:sectPr>
          <w:pgSz w:w="11900" w:h="16838" w:orient="portrait"/>
          <w:cols w:equalWidth="0" w:num="2">
            <w:col w:w="4660" w:space="720"/>
            <w:col w:w="5260"/>
          </w:cols>
          <w:pgMar w:left="800" w:top="266" w:right="45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640"/>
          </w:cols>
          <w:pgMar w:left="800" w:top="266" w:right="459" w:bottom="1440" w:gutter="0" w:footer="0" w:header="0"/>
          <w:type w:val="continuous"/>
        </w:sectPr>
      </w:pPr>
    </w:p>
    <w:bookmarkStart w:id="52" w:name="page53"/>
    <w:bookmarkEnd w:id="52"/>
    <w:p>
      <w:pPr>
        <w:ind w:left="360"/>
        <w:spacing w:after="0"/>
        <w:rPr>
          <w:sz w:val="20"/>
          <w:szCs w:val="20"/>
          <w:color w:val="auto"/>
        </w:rPr>
      </w:pPr>
      <w:r>
        <w:rPr>
          <w:rFonts w:ascii="Times New Roman" w:cs="Times New Roman" w:eastAsia="Times New Roman" w:hAnsi="Times New Roman"/>
          <w:sz w:val="17"/>
          <w:szCs w:val="17"/>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registered office for the time being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-206375</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5020" w:space="720"/>
            <w:col w:w="5280"/>
          </w:cols>
          <w:pgMar w:left="440" w:top="266" w:right="439" w:bottom="1440" w:gutter="0" w:footer="0" w:header="0"/>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representative of the Underwriters.</w:t>
      </w:r>
    </w:p>
    <w:p>
      <w:pPr>
        <w:spacing w:after="0" w:line="113"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common seal of the Company and includes every duplicate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95"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United States Securities and Exchange Commission.</w:t>
      </w:r>
    </w:p>
    <w:p>
      <w:pPr>
        <w:spacing w:after="0" w:line="125"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Class A Share, a Class B Share or a Preference Share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a fraction of a share in the Company.</w:t>
      </w:r>
    </w:p>
    <w:p>
      <w:pPr>
        <w:spacing w:after="0" w:line="95"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subject to Article 31.4, has the same meaning as in the Statute, and includes a unanimous written resolution.</w:t>
      </w:r>
    </w:p>
    <w:p>
      <w:pPr>
        <w:spacing w:after="0" w:line="5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“Sponsor”</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means VPC Impact Acquisition Holdings Sponsor, LLC, a Delaware limited liability company, and its successors or assigns.</w:t>
      </w:r>
    </w:p>
    <w:p>
      <w:pPr>
        <w:spacing w:after="0" w:line="5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“Statute”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Companies Law (2020 Revision) of the Cayman Islands.</w:t>
      </w:r>
    </w:p>
    <w:p>
      <w:pPr>
        <w:spacing w:after="0" w:line="113"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“Tax Filing Authorised Person”</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means such person as any Director shall designate from time to time, acting severally.</w:t>
      </w:r>
    </w:p>
    <w:p>
      <w:pPr>
        <w:spacing w:after="0" w:line="5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“Treasury Share”</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p>
      <w:pPr>
        <w:spacing w:after="0" w:line="5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means the trust account established by the Company upon the consummation of its IPO and into which a certain amount of the net proceeds of the IPO, together with a certain amount of the proceeds of a private placement of warrants simultaneously with the closing date of the IPO, will be deposited.</w:t>
      </w:r>
    </w:p>
    <w:p>
      <w:pPr>
        <w:spacing w:after="0" w:line="71"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“Underwriter”</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means an underwriter of the IPO from time to time and any successor underwriter.</w:t>
      </w:r>
    </w:p>
    <w:p>
      <w:pPr>
        <w:spacing w:after="0" w:line="67"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ectPr>
          <w:pgSz w:w="11900" w:h="16838" w:orient="portrait"/>
          <w:cols w:equalWidth="0" w:num="1">
            <w:col w:w="11020"/>
          </w:cols>
          <w:pgMar w:left="440" w:top="266" w:right="439" w:bottom="1440" w:gutter="0" w:footer="0" w:header="0"/>
          <w:type w:val="continuous"/>
        </w:sectPr>
      </w:pPr>
    </w:p>
    <w:p>
      <w:pPr>
        <w:spacing w:after="0" w:line="131" w:lineRule="exact"/>
        <w:rPr>
          <w:sz w:val="20"/>
          <w:szCs w:val="20"/>
          <w:color w:val="auto"/>
        </w:rPr>
      </w:pPr>
    </w:p>
    <w:p>
      <w:pPr>
        <w:ind w:left="960" w:hanging="532"/>
        <w:spacing w:after="0"/>
        <w:tabs>
          <w:tab w:leader="none" w:pos="9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singular number include the plural number and vice versa;</w:t>
      </w:r>
    </w:p>
    <w:p>
      <w:pPr>
        <w:spacing w:after="0" w:line="142"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type w:val="continuous"/>
        </w:sectPr>
      </w:pPr>
    </w:p>
    <w:bookmarkStart w:id="53" w:name="page54"/>
    <w:bookmarkEnd w:id="53"/>
    <w:p>
      <w:pPr>
        <w:ind w:left="964" w:hanging="532"/>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words importing persons include corporations as well as any other legal or natural person;</w:t>
      </w:r>
    </w:p>
    <w:p>
      <w:pPr>
        <w:spacing w:after="0" w:line="130"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67"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Law shall not apply;</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370"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4"/>
          </w:cols>
          <w:pgMar w:left="436" w:top="270" w:right="519" w:bottom="1440" w:gutter="0" w:footer="0" w:header="0"/>
        </w:sectPr>
      </w:pPr>
    </w:p>
    <w:bookmarkStart w:id="54" w:name="page55"/>
    <w:bookmarkEnd w:id="54"/>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tab/>
        <w:t>The Directors may pay, out of the capital or any other monies of the Company, all expenses incurred in or about the formation and establishment of the Company, including the expenses of registration.</w:t>
      </w:r>
    </w:p>
    <w:p>
      <w:pPr>
        <w:spacing w:after="0" w:line="306"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135" w:lineRule="exact"/>
        <w:rPr>
          <w:sz w:val="20"/>
          <w:szCs w:val="20"/>
          <w:color w:val="auto"/>
        </w:rPr>
      </w:pPr>
    </w:p>
    <w:p>
      <w:pPr>
        <w:ind w:left="424"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3.1</w:t>
        <w:tab/>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97"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3.2</w:t>
        <w:tab/>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1" w:lineRule="exact"/>
        <w:rPr>
          <w:sz w:val="20"/>
          <w:szCs w:val="20"/>
          <w:color w:val="auto"/>
        </w:rPr>
      </w:pPr>
    </w:p>
    <w:p>
      <w:pPr>
        <w:ind w:left="424" w:right="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3.3</w:t>
        <w:tab/>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370"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tab/>
        <w:t>The Company shall maintain or cause to be maintained the Register of Members in accordance with the Statute.</w:t>
      </w:r>
    </w:p>
    <w:p>
      <w:pPr>
        <w:spacing w:after="0" w:line="131" w:lineRule="exact"/>
        <w:rPr>
          <w:sz w:val="20"/>
          <w:szCs w:val="20"/>
          <w:color w:val="auto"/>
        </w:rPr>
      </w:pPr>
    </w:p>
    <w:p>
      <w:pPr>
        <w:ind w:left="424" w:right="2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70" w:right="519" w:bottom="1440" w:gutter="0" w:footer="0" w:header="0"/>
        </w:sectPr>
      </w:pPr>
    </w:p>
    <w:bookmarkStart w:id="55" w:name="page56"/>
    <w:bookmarkEnd w:id="55"/>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Closing Register of Members or Fixing Record Date</w:t>
      </w:r>
    </w:p>
    <w:p>
      <w:pPr>
        <w:spacing w:after="0" w:line="135" w:lineRule="exact"/>
        <w:rPr>
          <w:sz w:val="20"/>
          <w:szCs w:val="20"/>
          <w:color w:val="auto"/>
        </w:rPr>
      </w:pPr>
    </w:p>
    <w:p>
      <w:pPr>
        <w:ind w:left="424" w:right="14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5.1</w:t>
        <w:tab/>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93" w:lineRule="exact"/>
        <w:rPr>
          <w:sz w:val="20"/>
          <w:szCs w:val="20"/>
          <w:color w:val="auto"/>
        </w:rPr>
      </w:pPr>
    </w:p>
    <w:p>
      <w:pPr>
        <w:ind w:left="424" w:right="22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5.2</w:t>
        <w:tab/>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85" w:lineRule="exact"/>
        <w:rPr>
          <w:sz w:val="20"/>
          <w:szCs w:val="20"/>
          <w:color w:val="auto"/>
        </w:rPr>
      </w:pPr>
    </w:p>
    <w:p>
      <w:pPr>
        <w:ind w:left="424" w:right="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5.3</w:t>
        <w:tab/>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28"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135"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6.1</w:t>
        <w:tab/>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93"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6.2</w:t>
        <w:tab/>
        <w:t>The Company shall not be bound to issue more than one certificate for Shares held jointly by more than one person and delivery of a certificate to one joint holder shall be a sufficient delivery to all of them.</w:t>
      </w:r>
    </w:p>
    <w:p>
      <w:pPr>
        <w:spacing w:after="0" w:line="67" w:lineRule="exact"/>
        <w:rPr>
          <w:sz w:val="20"/>
          <w:szCs w:val="20"/>
          <w:color w:val="auto"/>
        </w:rPr>
      </w:pPr>
    </w:p>
    <w:p>
      <w:pPr>
        <w:jc w:val="both"/>
        <w:ind w:left="424" w:right="3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6.3</w:t>
        <w:tab/>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56" w:name="page57"/>
    <w:bookmarkEnd w:id="56"/>
    <w:p>
      <w:pPr>
        <w:ind w:left="424" w:right="3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w:t>
        <w:tab/>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67" w:lineRule="exact"/>
        <w:rPr>
          <w:sz w:val="20"/>
          <w:szCs w:val="20"/>
          <w:color w:val="auto"/>
        </w:rPr>
      </w:pPr>
    </w:p>
    <w:p>
      <w:pPr>
        <w:ind w:left="424" w:right="3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6.5</w:t>
        <w:tab/>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324"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35" w:lineRule="exact"/>
        <w:rPr>
          <w:sz w:val="20"/>
          <w:szCs w:val="20"/>
          <w:color w:val="auto"/>
        </w:rPr>
      </w:pPr>
    </w:p>
    <w:p>
      <w:pPr>
        <w:ind w:left="424" w:right="1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7.1</w:t>
        <w:tab/>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89"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7.2</w:t>
        <w:tab/>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332"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135" w:lineRule="exact"/>
        <w:rPr>
          <w:sz w:val="20"/>
          <w:szCs w:val="20"/>
          <w:color w:val="auto"/>
        </w:rPr>
      </w:pPr>
    </w:p>
    <w:p>
      <w:pPr>
        <w:ind w:left="424" w:right="18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8.1</w:t>
        <w:tab/>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57" w:name="page58"/>
    <w:bookmarkEnd w:id="57"/>
    <w:p>
      <w:pPr>
        <w:ind w:left="964" w:right="420" w:hanging="532"/>
        <w:spacing w:after="0" w:line="282" w:lineRule="auto"/>
        <w:tabs>
          <w:tab w:leader="none" w:pos="9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Members who hold Public Shares are entitled to request the redemption of such Shares in the circumstances described in the Business Combination Article hereof;</w:t>
      </w:r>
    </w:p>
    <w:p>
      <w:pPr>
        <w:spacing w:after="0" w:line="67" w:lineRule="exact"/>
        <w:rPr>
          <w:rFonts w:ascii="Times New Roman" w:cs="Times New Roman" w:eastAsia="Times New Roman" w:hAnsi="Times New Roman"/>
          <w:sz w:val="18"/>
          <w:szCs w:val="18"/>
          <w:color w:val="auto"/>
        </w:rPr>
      </w:pPr>
    </w:p>
    <w:p>
      <w:pPr>
        <w:jc w:val="both"/>
        <w:ind w:left="964" w:right="360" w:hanging="532"/>
        <w:spacing w:after="0" w:line="266" w:lineRule="auto"/>
        <w:tabs>
          <w:tab w:leader="none" w:pos="9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Shares held by the Founders shall be surrendered by the Founders on a pro rata basis for no consideration to the extent that the Over-Allotment Option is not exercised in full so that the Founders will own 20 per cent of the Company’s issued Shares after the IPO (exclusive of any securities purchased in a private placement simultaneously with the IPO); and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shall be repurchased by way of tender offer in the circumstances set out in the Business Combination Article hereof.</w:t>
      </w:r>
    </w:p>
    <w:p>
      <w:pPr>
        <w:spacing w:after="0" w:line="131"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8.2</w:t>
        <w:tab/>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89"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8.3</w:t>
        <w:tab/>
        <w:t>The Company may make a payment in respect of the redemption or purchase of its own Shares in any manner permitted by the Statute, including out of capital.</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8.4</w:t>
        <w:tab/>
        <w:t>The Directors may accept the surrender for no consideration of any fully paid Share.</w:t>
      </w:r>
    </w:p>
    <w:p>
      <w:pPr>
        <w:spacing w:after="0" w:line="370"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131" w:lineRule="exact"/>
        <w:rPr>
          <w:sz w:val="20"/>
          <w:szCs w:val="20"/>
          <w:color w:val="auto"/>
        </w:rPr>
      </w:pPr>
    </w:p>
    <w:p>
      <w:pPr>
        <w:ind w:left="424" w:right="5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9.2</w:t>
        <w:tab/>
        <w:t>The Directors may determine to cancel a Treasury Share or transfer a Treasury Share on such terms as they think proper (including, without limitation, for nil consideration).</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10</w:t>
        <w:tab/>
        <w:t>Variation of Rights of Shares</w:t>
      </w:r>
    </w:p>
    <w:p>
      <w:pPr>
        <w:spacing w:after="0" w:line="135" w:lineRule="exact"/>
        <w:rPr>
          <w:sz w:val="20"/>
          <w:szCs w:val="20"/>
          <w:color w:val="auto"/>
        </w:rPr>
      </w:pPr>
    </w:p>
    <w:p>
      <w:pPr>
        <w:ind w:left="424" w:right="80" w:hanging="431"/>
        <w:spacing w:after="0" w:line="255" w:lineRule="auto"/>
        <w:rPr>
          <w:sz w:val="20"/>
          <w:szCs w:val="20"/>
          <w:color w:val="auto"/>
        </w:rPr>
      </w:pPr>
      <w:r>
        <w:rPr>
          <w:rFonts w:ascii="Times New Roman" w:cs="Times New Roman" w:eastAsia="Times New Roman" w:hAnsi="Times New Roman"/>
          <w:sz w:val="18"/>
          <w:szCs w:val="18"/>
          <w:color w:val="auto"/>
        </w:rPr>
        <w:t>10.1 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Share Conversion Article hereof, which as stated therein shall only require the consent in writing of the holders of a majority of the issued Shares of that class), or with the approval of a resolution passed by a majority of not less than two thirds of the votes cast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58" w:name="page59"/>
    <w:bookmarkEnd w:id="58"/>
    <w:p>
      <w:pPr>
        <w:ind w:left="4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89" w:lineRule="exact"/>
        <w:rPr>
          <w:sz w:val="20"/>
          <w:szCs w:val="20"/>
          <w:color w:val="auto"/>
        </w:rPr>
      </w:pPr>
    </w:p>
    <w:p>
      <w:pPr>
        <w:ind w:left="424" w:right="120" w:hanging="431"/>
        <w:spacing w:after="0" w:line="266" w:lineRule="auto"/>
        <w:rPr>
          <w:sz w:val="20"/>
          <w:szCs w:val="20"/>
          <w:color w:val="auto"/>
        </w:rPr>
      </w:pPr>
      <w:r>
        <w:rPr>
          <w:rFonts w:ascii="Times New Roman" w:cs="Times New Roman" w:eastAsia="Times New Roman" w:hAnsi="Times New Roman"/>
          <w:sz w:val="18"/>
          <w:szCs w:val="18"/>
          <w:color w:val="auto"/>
        </w:rPr>
        <w:t>10.2 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1"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10.3 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320"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121" w:lineRule="exact"/>
        <w:rPr>
          <w:rFonts w:ascii="Times New Roman" w:cs="Times New Roman" w:eastAsia="Times New Roman" w:hAnsi="Times New Roman"/>
          <w:sz w:val="18"/>
          <w:szCs w:val="18"/>
          <w:b w:val="1"/>
          <w:bCs w:val="1"/>
          <w:color w:val="auto"/>
        </w:rPr>
      </w:pPr>
    </w:p>
    <w:p>
      <w:pPr>
        <w:jc w:val="both"/>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135" w:lineRule="exact"/>
        <w:rPr>
          <w:sz w:val="20"/>
          <w:szCs w:val="20"/>
          <w:color w:val="auto"/>
        </w:rPr>
      </w:pPr>
    </w:p>
    <w:p>
      <w:pPr>
        <w:ind w:left="424" w:right="140" w:hanging="431"/>
        <w:spacing w:after="0" w:line="258" w:lineRule="auto"/>
        <w:rPr>
          <w:sz w:val="20"/>
          <w:szCs w:val="20"/>
          <w:color w:val="auto"/>
        </w:rPr>
      </w:pPr>
      <w:r>
        <w:rPr>
          <w:rFonts w:ascii="Times New Roman" w:cs="Times New Roman" w:eastAsia="Times New Roman" w:hAnsi="Times New Roman"/>
          <w:sz w:val="18"/>
          <w:szCs w:val="18"/>
          <w:color w:val="auto"/>
        </w:rPr>
        <w:t>13.1 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59" w:name="page60"/>
    <w:bookmarkEnd w:id="59"/>
    <w:p>
      <w:pPr>
        <w:ind w:left="420" w:right="120" w:hanging="43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 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85" w:lineRule="exact"/>
        <w:rPr>
          <w:sz w:val="20"/>
          <w:szCs w:val="20"/>
          <w:color w:val="auto"/>
        </w:rPr>
      </w:pPr>
    </w:p>
    <w:p>
      <w:pPr>
        <w:ind w:left="420" w:right="160" w:hanging="431"/>
        <w:spacing w:after="0" w:line="261" w:lineRule="auto"/>
        <w:rPr>
          <w:sz w:val="20"/>
          <w:szCs w:val="20"/>
          <w:color w:val="auto"/>
        </w:rPr>
      </w:pPr>
      <w:r>
        <w:rPr>
          <w:rFonts w:ascii="Times New Roman" w:cs="Times New Roman" w:eastAsia="Times New Roman" w:hAnsi="Times New Roman"/>
          <w:sz w:val="18"/>
          <w:szCs w:val="18"/>
          <w:color w:val="auto"/>
        </w:rPr>
        <w:t>13.3 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85" w:lineRule="exact"/>
        <w:rPr>
          <w:sz w:val="20"/>
          <w:szCs w:val="20"/>
          <w:color w:val="auto"/>
        </w:rPr>
      </w:pPr>
    </w:p>
    <w:p>
      <w:pPr>
        <w:jc w:val="both"/>
        <w:ind w:left="420" w:hanging="431"/>
        <w:spacing w:after="0" w:line="266" w:lineRule="auto"/>
        <w:rPr>
          <w:sz w:val="20"/>
          <w:szCs w:val="20"/>
          <w:color w:val="auto"/>
        </w:rPr>
      </w:pPr>
      <w:r>
        <w:rPr>
          <w:rFonts w:ascii="Times New Roman" w:cs="Times New Roman" w:eastAsia="Times New Roman" w:hAnsi="Times New Roman"/>
          <w:sz w:val="18"/>
          <w:szCs w:val="18"/>
          <w:color w:val="auto"/>
        </w:rPr>
        <w:t>13.4 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tab/>
        <w:t>Call on Shares</w:t>
      </w:r>
    </w:p>
    <w:p>
      <w:pPr>
        <w:spacing w:after="0" w:line="135" w:lineRule="exact"/>
        <w:rPr>
          <w:sz w:val="20"/>
          <w:szCs w:val="20"/>
          <w:color w:val="auto"/>
        </w:rPr>
      </w:pPr>
    </w:p>
    <w:p>
      <w:pPr>
        <w:ind w:left="420" w:right="40" w:hanging="431"/>
        <w:spacing w:after="0" w:line="256" w:lineRule="auto"/>
        <w:rPr>
          <w:sz w:val="20"/>
          <w:szCs w:val="20"/>
          <w:color w:val="auto"/>
        </w:rPr>
      </w:pPr>
      <w:r>
        <w:rPr>
          <w:rFonts w:ascii="Times New Roman" w:cs="Times New Roman" w:eastAsia="Times New Roman" w:hAnsi="Times New Roman"/>
          <w:sz w:val="18"/>
          <w:szCs w:val="18"/>
          <w:color w:val="auto"/>
        </w:rPr>
        <w:t>14.1 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A call shall be deemed to have been made at the time when the resolution of the Directors authorising such call was passed.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The joint holders of a Share shall be jointly and severally liable to pay all calls in respect thereof.</w:t>
      </w:r>
    </w:p>
    <w:p>
      <w:pPr>
        <w:spacing w:after="0" w:line="131" w:lineRule="exact"/>
        <w:rPr>
          <w:sz w:val="20"/>
          <w:szCs w:val="20"/>
          <w:color w:val="auto"/>
        </w:rPr>
      </w:pPr>
    </w:p>
    <w:p>
      <w:pPr>
        <w:jc w:val="both"/>
        <w:ind w:left="420" w:right="100" w:hanging="431"/>
        <w:spacing w:after="0" w:line="266" w:lineRule="auto"/>
        <w:rPr>
          <w:sz w:val="20"/>
          <w:szCs w:val="20"/>
          <w:color w:val="auto"/>
        </w:rPr>
      </w:pPr>
      <w:r>
        <w:rPr>
          <w:rFonts w:ascii="Times New Roman" w:cs="Times New Roman" w:eastAsia="Times New Roman" w:hAnsi="Times New Roman"/>
          <w:sz w:val="18"/>
          <w:szCs w:val="18"/>
          <w:color w:val="auto"/>
        </w:rPr>
        <w:t>14.4 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14.5 An amount payable in respect of a Share on issue or allotment or at any fixed date, whether on account of the par value of the Share or premium or</w:t>
      </w:r>
    </w:p>
    <w:p>
      <w:pPr>
        <w:spacing w:after="0" w:line="27" w:lineRule="exact"/>
        <w:rPr>
          <w:sz w:val="20"/>
          <w:szCs w:val="20"/>
          <w:color w:val="auto"/>
        </w:rPr>
      </w:pPr>
    </w:p>
    <w:p>
      <w:pPr>
        <w:ind w:left="420" w:right="460"/>
        <w:spacing w:after="0" w:line="260" w:lineRule="auto"/>
        <w:rPr>
          <w:sz w:val="20"/>
          <w:szCs w:val="20"/>
          <w:color w:val="auto"/>
        </w:rPr>
      </w:pPr>
      <w:r>
        <w:rPr>
          <w:rFonts w:ascii="Times New Roman" w:cs="Times New Roman" w:eastAsia="Times New Roman" w:hAnsi="Times New Roman"/>
          <w:sz w:val="18"/>
          <w:szCs w:val="18"/>
          <w:color w:val="auto"/>
        </w:rPr>
        <w:t>otherwise, shall be deemed to be a call and if it is not paid all the provisions of the Articles shall apply as if that amount had become due and payable by virtue of a call.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14.6 The Directors may issue Shares with different terms as to the amount and times of payment of calls, or the interest to be paid.</w:t>
      </w:r>
    </w:p>
    <w:p>
      <w:pPr>
        <w:spacing w:after="0" w:line="131" w:lineRule="exact"/>
        <w:rPr>
          <w:sz w:val="20"/>
          <w:szCs w:val="20"/>
          <w:color w:val="auto"/>
        </w:rPr>
      </w:pPr>
    </w:p>
    <w:p>
      <w:pPr>
        <w:ind w:left="420" w:right="360" w:hanging="431"/>
        <w:spacing w:after="0" w:line="266" w:lineRule="auto"/>
        <w:rPr>
          <w:sz w:val="20"/>
          <w:szCs w:val="20"/>
          <w:color w:val="auto"/>
        </w:rPr>
      </w:pPr>
      <w:r>
        <w:rPr>
          <w:rFonts w:ascii="Times New Roman" w:cs="Times New Roman" w:eastAsia="Times New Roman" w:hAnsi="Times New Roman"/>
          <w:sz w:val="18"/>
          <w:szCs w:val="18"/>
          <w:color w:val="auto"/>
        </w:rPr>
        <w:t>14.7 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1" w:lineRule="exact"/>
        <w:rPr>
          <w:sz w:val="20"/>
          <w:szCs w:val="20"/>
          <w:color w:val="auto"/>
        </w:rPr>
      </w:pPr>
    </w:p>
    <w:p>
      <w:pPr>
        <w:ind w:left="420" w:hanging="431"/>
        <w:spacing w:after="0" w:line="282" w:lineRule="auto"/>
        <w:rPr>
          <w:sz w:val="20"/>
          <w:szCs w:val="20"/>
          <w:color w:val="auto"/>
        </w:rPr>
      </w:pPr>
      <w:r>
        <w:rPr>
          <w:rFonts w:ascii="Times New Roman" w:cs="Times New Roman" w:eastAsia="Times New Roman" w:hAnsi="Times New Roman"/>
          <w:sz w:val="18"/>
          <w:szCs w:val="18"/>
          <w:color w:val="auto"/>
        </w:rPr>
        <w:t>14.8 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tab/>
        <w:t>Forfeiture of Shares</w:t>
      </w:r>
    </w:p>
    <w:p>
      <w:pPr>
        <w:spacing w:after="0" w:line="135" w:lineRule="exact"/>
        <w:rPr>
          <w:sz w:val="20"/>
          <w:szCs w:val="20"/>
          <w:color w:val="auto"/>
        </w:rPr>
      </w:pPr>
    </w:p>
    <w:p>
      <w:pPr>
        <w:ind w:left="420" w:right="20" w:hanging="431"/>
        <w:spacing w:after="0" w:line="261" w:lineRule="auto"/>
        <w:rPr>
          <w:sz w:val="20"/>
          <w:szCs w:val="20"/>
          <w:color w:val="auto"/>
        </w:rPr>
      </w:pPr>
      <w:r>
        <w:rPr>
          <w:rFonts w:ascii="Times New Roman" w:cs="Times New Roman" w:eastAsia="Times New Roman" w:hAnsi="Times New Roman"/>
          <w:sz w:val="18"/>
          <w:szCs w:val="18"/>
          <w:color w:val="auto"/>
        </w:rPr>
        <w:t>15.1 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85" w:lineRule="exact"/>
        <w:rPr>
          <w:sz w:val="20"/>
          <w:szCs w:val="20"/>
          <w:color w:val="auto"/>
        </w:rPr>
      </w:pPr>
    </w:p>
    <w:p>
      <w:pPr>
        <w:ind w:left="420" w:right="140" w:hanging="431"/>
        <w:spacing w:after="0" w:line="266" w:lineRule="auto"/>
        <w:rPr>
          <w:sz w:val="20"/>
          <w:szCs w:val="20"/>
          <w:color w:val="auto"/>
        </w:rPr>
      </w:pPr>
      <w:r>
        <w:rPr>
          <w:rFonts w:ascii="Times New Roman" w:cs="Times New Roman" w:eastAsia="Times New Roman" w:hAnsi="Times New Roman"/>
          <w:sz w:val="18"/>
          <w:szCs w:val="18"/>
          <w:color w:val="auto"/>
        </w:rPr>
        <w:t>15.2 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81" w:lineRule="exact"/>
        <w:rPr>
          <w:sz w:val="20"/>
          <w:szCs w:val="20"/>
          <w:color w:val="auto"/>
        </w:rPr>
      </w:pPr>
    </w:p>
    <w:p>
      <w:pPr>
        <w:jc w:val="both"/>
        <w:ind w:left="420" w:right="280" w:hanging="431"/>
        <w:spacing w:after="0" w:line="261" w:lineRule="auto"/>
        <w:rPr>
          <w:sz w:val="20"/>
          <w:szCs w:val="20"/>
          <w:color w:val="auto"/>
        </w:rPr>
      </w:pPr>
      <w:r>
        <w:rPr>
          <w:rFonts w:ascii="Times New Roman" w:cs="Times New Roman" w:eastAsia="Times New Roman" w:hAnsi="Times New Roman"/>
          <w:sz w:val="18"/>
          <w:szCs w:val="18"/>
          <w:color w:val="auto"/>
        </w:rPr>
        <w:t>15.3 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85" w:lineRule="exact"/>
        <w:rPr>
          <w:sz w:val="20"/>
          <w:szCs w:val="20"/>
          <w:color w:val="auto"/>
        </w:rPr>
      </w:pPr>
    </w:p>
    <w:p>
      <w:pPr>
        <w:ind w:left="420" w:right="80" w:hanging="431"/>
        <w:spacing w:after="0" w:line="261" w:lineRule="auto"/>
        <w:rPr>
          <w:sz w:val="20"/>
          <w:szCs w:val="20"/>
          <w:color w:val="auto"/>
        </w:rPr>
      </w:pPr>
      <w:r>
        <w:rPr>
          <w:rFonts w:ascii="Times New Roman" w:cs="Times New Roman" w:eastAsia="Times New Roman" w:hAnsi="Times New Roman"/>
          <w:sz w:val="18"/>
          <w:szCs w:val="18"/>
          <w:color w:val="auto"/>
        </w:rPr>
        <w:t>15.4 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85" w:lineRule="exact"/>
        <w:rPr>
          <w:sz w:val="20"/>
          <w:szCs w:val="20"/>
          <w:color w:val="auto"/>
        </w:rPr>
      </w:pPr>
    </w:p>
    <w:p>
      <w:pPr>
        <w:ind w:left="420" w:hanging="431"/>
        <w:spacing w:after="0" w:line="258" w:lineRule="auto"/>
        <w:rPr>
          <w:sz w:val="20"/>
          <w:szCs w:val="20"/>
          <w:color w:val="auto"/>
        </w:rPr>
      </w:pPr>
      <w:r>
        <w:rPr>
          <w:rFonts w:ascii="Times New Roman" w:cs="Times New Roman" w:eastAsia="Times New Roman" w:hAnsi="Times New Roman"/>
          <w:sz w:val="18"/>
          <w:szCs w:val="18"/>
          <w:color w:val="auto"/>
        </w:rPr>
        <w:t>15.5 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1" w:name="page62"/>
    <w:bookmarkEnd w:id="61"/>
    <w:p>
      <w:pPr>
        <w:ind w:left="420" w:right="12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15.6 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tab/>
        <w:t>Transmission of Shares</w:t>
      </w:r>
    </w:p>
    <w:p>
      <w:pPr>
        <w:spacing w:after="0" w:line="135" w:lineRule="exact"/>
        <w:rPr>
          <w:sz w:val="20"/>
          <w:szCs w:val="20"/>
          <w:color w:val="auto"/>
        </w:rPr>
      </w:pPr>
    </w:p>
    <w:p>
      <w:pPr>
        <w:ind w:left="420" w:right="140" w:hanging="431"/>
        <w:spacing w:after="0" w:line="266" w:lineRule="auto"/>
        <w:rPr>
          <w:sz w:val="20"/>
          <w:szCs w:val="20"/>
          <w:color w:val="auto"/>
        </w:rPr>
      </w:pPr>
      <w:r>
        <w:rPr>
          <w:rFonts w:ascii="Times New Roman" w:cs="Times New Roman" w:eastAsia="Times New Roman" w:hAnsi="Times New Roman"/>
          <w:sz w:val="18"/>
          <w:szCs w:val="18"/>
          <w:color w:val="auto"/>
        </w:rPr>
        <w:t>16.1 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1" w:lineRule="exact"/>
        <w:rPr>
          <w:sz w:val="20"/>
          <w:szCs w:val="20"/>
          <w:color w:val="auto"/>
        </w:rPr>
      </w:pPr>
    </w:p>
    <w:p>
      <w:pPr>
        <w:ind w:left="420" w:right="40" w:hanging="431"/>
        <w:spacing w:after="0" w:line="256" w:lineRule="auto"/>
        <w:rPr>
          <w:sz w:val="20"/>
          <w:szCs w:val="20"/>
          <w:color w:val="auto"/>
        </w:rPr>
      </w:pPr>
      <w:r>
        <w:rPr>
          <w:rFonts w:ascii="Times New Roman" w:cs="Times New Roman" w:eastAsia="Times New Roman" w:hAnsi="Times New Roman"/>
          <w:sz w:val="18"/>
          <w:szCs w:val="18"/>
          <w:color w:val="auto"/>
        </w:rPr>
        <w:t>16.2 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93" w:lineRule="exact"/>
        <w:rPr>
          <w:sz w:val="20"/>
          <w:szCs w:val="20"/>
          <w:color w:val="auto"/>
        </w:rPr>
      </w:pPr>
    </w:p>
    <w:p>
      <w:pPr>
        <w:ind w:left="420" w:hanging="431"/>
        <w:spacing w:after="0" w:line="253" w:lineRule="auto"/>
        <w:rPr>
          <w:sz w:val="20"/>
          <w:szCs w:val="20"/>
          <w:color w:val="auto"/>
        </w:rPr>
      </w:pPr>
      <w:r>
        <w:rPr>
          <w:rFonts w:ascii="Times New Roman" w:cs="Times New Roman" w:eastAsia="Times New Roman" w:hAnsi="Times New Roman"/>
          <w:sz w:val="18"/>
          <w:szCs w:val="18"/>
          <w:color w:val="auto"/>
        </w:rPr>
        <w:t>16.3 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tab/>
        <w:t>Class B Ordinary Share Conversion</w:t>
      </w:r>
    </w:p>
    <w:p>
      <w:pPr>
        <w:spacing w:after="0" w:line="133" w:lineRule="exact"/>
        <w:rPr>
          <w:sz w:val="20"/>
          <w:szCs w:val="20"/>
          <w:color w:val="auto"/>
        </w:rPr>
      </w:pPr>
    </w:p>
    <w:p>
      <w:pPr>
        <w:ind w:left="420" w:right="20" w:hanging="431"/>
        <w:spacing w:after="0" w:line="267" w:lineRule="auto"/>
        <w:rPr>
          <w:sz w:val="20"/>
          <w:szCs w:val="20"/>
          <w:color w:val="auto"/>
        </w:rPr>
      </w:pPr>
      <w:r>
        <w:rPr>
          <w:rFonts w:ascii="Times New Roman" w:cs="Times New Roman" w:eastAsia="Times New Roman" w:hAnsi="Times New Roman"/>
          <w:sz w:val="18"/>
          <w:szCs w:val="18"/>
          <w:color w:val="auto"/>
        </w:rPr>
        <w:t xml:space="preserve">17.1 The rights attaching to the Class A Shares and Class B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and the Class A Shares and Class B Shares shall vote together as a single class on all matters (subject to the Variation of Rights of Shares Article and the Appointment and Removal of Directors Article hereof) with the exception that the holder of a Class B Share shall have the Conversion Rights referred to in this Article.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62" w:name="page63"/>
    <w:bookmarkEnd w:id="62"/>
    <w:p>
      <w:pPr>
        <w:ind w:left="420" w:right="260" w:hanging="43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17.2 Class B Shares shall automatically convert (“</w:t>
      </w:r>
      <w:r>
        <w:rPr>
          <w:rFonts w:ascii="Times New Roman" w:cs="Times New Roman" w:eastAsia="Times New Roman" w:hAnsi="Times New Roman"/>
          <w:sz w:val="18"/>
          <w:szCs w:val="18"/>
          <w:b w:val="1"/>
          <w:bCs w:val="1"/>
          <w:color w:val="auto"/>
        </w:rPr>
        <w:t>Class B Share Conversion</w:t>
      </w:r>
      <w:r>
        <w:rPr>
          <w:rFonts w:ascii="Times New Roman" w:cs="Times New Roman" w:eastAsia="Times New Roman" w:hAnsi="Times New Roman"/>
          <w:sz w:val="18"/>
          <w:szCs w:val="18"/>
          <w:color w:val="auto"/>
        </w:rPr>
        <w:t>”) into Class A Shares on a one-for-one basis (the “</w:t>
      </w:r>
      <w:r>
        <w:rPr>
          <w:rFonts w:ascii="Times New Roman" w:cs="Times New Roman" w:eastAsia="Times New Roman" w:hAnsi="Times New Roman"/>
          <w:sz w:val="18"/>
          <w:szCs w:val="18"/>
          <w:b w:val="1"/>
          <w:bCs w:val="1"/>
          <w:color w:val="auto"/>
        </w:rPr>
        <w:t>Initial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Ratio</w:t>
      </w:r>
      <w:r>
        <w:rPr>
          <w:rFonts w:ascii="Times New Roman" w:cs="Times New Roman" w:eastAsia="Times New Roman" w:hAnsi="Times New Roman"/>
          <w:sz w:val="18"/>
          <w:szCs w:val="18"/>
          <w:color w:val="auto"/>
        </w:rPr>
        <w:t>”): concurrently with or immediately following the consummation of a Business Combination.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 Notwithstanding the Initial Conversion Ratio, in the case that additional Class A Shares or any other Equity-linked Securities, are issued or</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deemed issued in excess of the amounts issued in the IPO (including pursuant to the Over-Allotment Option) and related to or in connection with</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closing of a Business Combination, all Class B Shares in issue shall automatically convert into Class A Shares at the time of the closing of a</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Business Combination, the ratio for which the Class B Shares shall convert into Class A Shares will be adjusted so that the number of Class A</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Shares issuable upon conversion of all Class B Shares will equal, in the aggregate, 25 per cent of the sum of: (a) the total number of all Class A</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Shares in issue upon completion of the IPO (including any Class A Shares issued pursuant to the Over-Allotment Option and excluding any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Class A Shares underlying the private placement warrants issued to the Sponsor); plus (b) all Class A Shares and Equity-linked Securities issued or</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deemed issued in connection with a Business Combination, excluding any Shares or Equity-linked Securities issued, or to be issued, to any seller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 Business Combination, any private placement-equivalent warrants issued to the Sponsor or an affiliate of the Sponsor or to Officers and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Directors upon the conversion of working capital loans made to the Company; minus (c) the number of Public Shares redeemed in connection with</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Business Combination, provided that such conversion of Class B Shares into Class A Shares shall never be less than the Initial Conversion Ratio.</w:t>
      </w:r>
    </w:p>
    <w:p>
      <w:pPr>
        <w:spacing w:after="0" w:line="112" w:lineRule="exact"/>
        <w:rPr>
          <w:sz w:val="20"/>
          <w:szCs w:val="20"/>
          <w:color w:val="auto"/>
        </w:rPr>
      </w:pPr>
    </w:p>
    <w:p>
      <w:pPr>
        <w:ind w:left="420" w:hanging="431"/>
        <w:spacing w:after="0" w:line="261" w:lineRule="auto"/>
        <w:rPr>
          <w:sz w:val="20"/>
          <w:szCs w:val="20"/>
          <w:color w:val="auto"/>
        </w:rPr>
      </w:pPr>
      <w:r>
        <w:rPr>
          <w:rFonts w:ascii="Times New Roman" w:cs="Times New Roman" w:eastAsia="Times New Roman" w:hAnsi="Times New Roman"/>
          <w:sz w:val="18"/>
          <w:szCs w:val="18"/>
          <w:color w:val="auto"/>
        </w:rPr>
        <w:t>17.4 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85" w:lineRule="exact"/>
        <w:rPr>
          <w:sz w:val="20"/>
          <w:szCs w:val="20"/>
          <w:color w:val="auto"/>
        </w:rPr>
      </w:pPr>
    </w:p>
    <w:p>
      <w:pPr>
        <w:ind w:left="420" w:right="100" w:hanging="431"/>
        <w:spacing w:after="0" w:line="258" w:lineRule="auto"/>
        <w:rPr>
          <w:sz w:val="20"/>
          <w:szCs w:val="20"/>
          <w:color w:val="auto"/>
        </w:rPr>
      </w:pPr>
      <w:r>
        <w:rPr>
          <w:rFonts w:ascii="Times New Roman" w:cs="Times New Roman" w:eastAsia="Times New Roman" w:hAnsi="Times New Roman"/>
          <w:sz w:val="18"/>
          <w:szCs w:val="18"/>
          <w:color w:val="auto"/>
        </w:rPr>
        <w:t>17.5 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89" w:lineRule="exact"/>
        <w:rPr>
          <w:sz w:val="20"/>
          <w:szCs w:val="20"/>
          <w:color w:val="auto"/>
        </w:rPr>
      </w:pPr>
    </w:p>
    <w:p>
      <w:pPr>
        <w:ind w:left="420" w:right="140" w:hanging="431"/>
        <w:spacing w:after="0" w:line="261" w:lineRule="auto"/>
        <w:rPr>
          <w:sz w:val="20"/>
          <w:szCs w:val="20"/>
          <w:color w:val="auto"/>
        </w:rPr>
      </w:pPr>
      <w:r>
        <w:rPr>
          <w:rFonts w:ascii="Times New Roman" w:cs="Times New Roman" w:eastAsia="Times New Roman" w:hAnsi="Times New Roman"/>
          <w:sz w:val="18"/>
          <w:szCs w:val="18"/>
          <w:color w:val="auto"/>
        </w:rPr>
        <w:t>17.6 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63" w:name="page64"/>
    <w:bookmarkEnd w:id="63"/>
    <w:p>
      <w:pPr>
        <w:ind w:left="420" w:right="60" w:hanging="43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17.7 References in this Article to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89" w:lineRule="exact"/>
        <w:rPr>
          <w:sz w:val="20"/>
          <w:szCs w:val="20"/>
          <w:color w:val="auto"/>
        </w:rPr>
      </w:pPr>
    </w:p>
    <w:p>
      <w:pPr>
        <w:ind w:left="420" w:hanging="431"/>
        <w:spacing w:after="0" w:line="282" w:lineRule="auto"/>
        <w:rPr>
          <w:sz w:val="20"/>
          <w:szCs w:val="20"/>
          <w:color w:val="auto"/>
        </w:rPr>
      </w:pPr>
      <w:r>
        <w:rPr>
          <w:rFonts w:ascii="Times New Roman" w:cs="Times New Roman" w:eastAsia="Times New Roman" w:hAnsi="Times New Roman"/>
          <w:sz w:val="18"/>
          <w:szCs w:val="18"/>
          <w:color w:val="auto"/>
        </w:rPr>
        <w:t>17.8 Notwithstanding anything to the contrary in this Article, in no event may any Class B Share convert into Class A Shares at a ratio that is less than one-for-one.</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tab/>
        <w:t>Amendments of Memorandum and Articles of Association and Alteration of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 The Company may by Ordinary Resolution:</w:t>
      </w:r>
    </w:p>
    <w:p>
      <w:pPr>
        <w:spacing w:after="0" w:line="131" w:lineRule="exact"/>
        <w:rPr>
          <w:sz w:val="20"/>
          <w:szCs w:val="20"/>
          <w:color w:val="auto"/>
        </w:rPr>
      </w:pPr>
    </w:p>
    <w:p>
      <w:pPr>
        <w:ind w:left="960" w:right="22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0"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67" w:lineRule="exact"/>
        <w:rPr>
          <w:sz w:val="20"/>
          <w:szCs w:val="20"/>
          <w:color w:val="auto"/>
        </w:rPr>
      </w:pPr>
    </w:p>
    <w:p>
      <w:pPr>
        <w:ind w:left="420" w:right="340" w:hanging="431"/>
        <w:spacing w:after="0" w:line="282" w:lineRule="auto"/>
        <w:rPr>
          <w:sz w:val="20"/>
          <w:szCs w:val="20"/>
          <w:color w:val="auto"/>
        </w:rPr>
      </w:pPr>
      <w:r>
        <w:rPr>
          <w:rFonts w:ascii="Times New Roman" w:cs="Times New Roman" w:eastAsia="Times New Roman" w:hAnsi="Times New Roman"/>
          <w:sz w:val="18"/>
          <w:szCs w:val="18"/>
          <w:color w:val="auto"/>
        </w:rPr>
        <w:t>18.2 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 Subject to the provisions of the Statute, the provisions of the Articles as regards the matters to be dealt with by Ordinary Resolution and Article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31.4, the Company may by Special Resolution:</w:t>
      </w:r>
    </w:p>
    <w:p>
      <w:pPr>
        <w:spacing w:after="0" w:line="112" w:lineRule="exact"/>
        <w:rPr>
          <w:sz w:val="20"/>
          <w:szCs w:val="20"/>
          <w:color w:val="auto"/>
        </w:rPr>
      </w:pPr>
    </w:p>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40" w:top="266" w:right="559" w:bottom="1440" w:gutter="0" w:footer="0" w:header="0"/>
        </w:sectPr>
      </w:pPr>
    </w:p>
    <w:bookmarkStart w:id="64" w:name="page65"/>
    <w:bookmarkEnd w:id="64"/>
    <w:p>
      <w:pPr>
        <w:ind w:left="964" w:hanging="532"/>
        <w:spacing w:after="0"/>
        <w:tabs>
          <w:tab w:leader="none" w:pos="9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 or add to the Articles;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370"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121" w:lineRule="exact"/>
        <w:rPr>
          <w:rFonts w:ascii="Times New Roman" w:cs="Times New Roman" w:eastAsia="Times New Roman" w:hAnsi="Times New Roman"/>
          <w:sz w:val="18"/>
          <w:szCs w:val="18"/>
          <w:b w:val="1"/>
          <w:bCs w:val="1"/>
          <w:color w:val="auto"/>
        </w:rPr>
      </w:pPr>
    </w:p>
    <w:p>
      <w:pPr>
        <w:ind w:left="444"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20.1 All general meetings other than annual general meetings shall be called extraordinary general meetings.</w:t>
      </w:r>
    </w:p>
    <w:p>
      <w:pPr>
        <w:spacing w:after="0" w:line="131" w:lineRule="exact"/>
        <w:rPr>
          <w:sz w:val="20"/>
          <w:szCs w:val="20"/>
          <w:color w:val="auto"/>
        </w:rPr>
      </w:pPr>
    </w:p>
    <w:p>
      <w:pPr>
        <w:ind w:left="424" w:right="80" w:hanging="431"/>
        <w:spacing w:after="0" w:line="266" w:lineRule="auto"/>
        <w:rPr>
          <w:sz w:val="20"/>
          <w:szCs w:val="20"/>
          <w:color w:val="auto"/>
        </w:rPr>
      </w:pPr>
      <w:r>
        <w:rPr>
          <w:rFonts w:ascii="Times New Roman" w:cs="Times New Roman" w:eastAsia="Times New Roman" w:hAnsi="Times New Roman"/>
          <w:sz w:val="18"/>
          <w:szCs w:val="18"/>
          <w:color w:val="auto"/>
        </w:rPr>
        <w:t>20.2 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81" w:lineRule="exact"/>
        <w:rPr>
          <w:sz w:val="20"/>
          <w:szCs w:val="20"/>
          <w:color w:val="auto"/>
        </w:rPr>
      </w:pPr>
    </w:p>
    <w:p>
      <w:pPr>
        <w:ind w:left="424" w:right="260" w:hanging="431"/>
        <w:spacing w:after="0" w:line="282" w:lineRule="auto"/>
        <w:rPr>
          <w:sz w:val="20"/>
          <w:szCs w:val="20"/>
          <w:color w:val="auto"/>
        </w:rPr>
      </w:pPr>
      <w:r>
        <w:rPr>
          <w:rFonts w:ascii="Times New Roman" w:cs="Times New Roman" w:eastAsia="Times New Roman" w:hAnsi="Times New Roman"/>
          <w:sz w:val="18"/>
          <w:szCs w:val="18"/>
          <w:color w:val="auto"/>
        </w:rPr>
        <w:t>20.3 The Directors, the chief executive officer or the chairman of the board of Directors may call general meetings, and, for the avoidance of doubt, Members shall not have the ability to call general meetings.</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21</w:t>
        <w:tab/>
        <w:t>Notice of General Meetings</w:t>
      </w:r>
    </w:p>
    <w:p>
      <w:pPr>
        <w:spacing w:after="0" w:line="135"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21.1 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89" w:lineRule="exact"/>
        <w:rPr>
          <w:sz w:val="20"/>
          <w:szCs w:val="20"/>
          <w:color w:val="auto"/>
        </w:rPr>
      </w:pPr>
    </w:p>
    <w:p>
      <w:pPr>
        <w:ind w:left="964" w:hanging="532"/>
        <w:spacing w:after="0"/>
        <w:tabs>
          <w:tab w:leader="none" w:pos="9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thereat; and</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70" w:right="499" w:bottom="1440" w:gutter="0" w:footer="0" w:header="0"/>
        </w:sectPr>
      </w:pPr>
    </w:p>
    <w:bookmarkStart w:id="65" w:name="page66"/>
    <w:bookmarkEnd w:id="65"/>
    <w:p>
      <w:pPr>
        <w:jc w:val="both"/>
        <w:ind w:left="420" w:right="6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21.2 The accidental omission to give notice of a general meeting to, or the non receipt of notice of a general meeting by, any person entitled to receive such notice shall not invalidate the proceedings of that general meeting.</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tab/>
        <w:t>Advance Notice for Business</w:t>
      </w:r>
    </w:p>
    <w:p>
      <w:pPr>
        <w:spacing w:after="0" w:line="135" w:lineRule="exact"/>
        <w:rPr>
          <w:sz w:val="20"/>
          <w:szCs w:val="20"/>
          <w:color w:val="auto"/>
        </w:rPr>
      </w:pPr>
    </w:p>
    <w:p>
      <w:pPr>
        <w:jc w:val="both"/>
        <w:ind w:left="420" w:right="60" w:hanging="431"/>
        <w:spacing w:after="0" w:line="266" w:lineRule="auto"/>
        <w:rPr>
          <w:sz w:val="20"/>
          <w:szCs w:val="20"/>
          <w:color w:val="auto"/>
        </w:rPr>
      </w:pPr>
      <w:r>
        <w:rPr>
          <w:rFonts w:ascii="Times New Roman" w:cs="Times New Roman" w:eastAsia="Times New Roman" w:hAnsi="Times New Roman"/>
          <w:sz w:val="18"/>
          <w:szCs w:val="18"/>
          <w:color w:val="auto"/>
        </w:rPr>
        <w:t>22.1 At each annual general meeting, the Members shall appoint the Directors then subject to appointment in accordance with the procedures set forth in the Articles and subject to Applicable Law and the rules of the Designated Stock Exchange or quotation system on which Shares may be then listed or quoted. At any such annual general meeting any other business properly brought before the annual general meeting may be transacted.</w:t>
      </w:r>
    </w:p>
    <w:p>
      <w:pPr>
        <w:spacing w:after="0" w:line="81" w:lineRule="exact"/>
        <w:rPr>
          <w:sz w:val="20"/>
          <w:szCs w:val="20"/>
          <w:color w:val="auto"/>
        </w:rPr>
      </w:pPr>
    </w:p>
    <w:p>
      <w:pPr>
        <w:ind w:left="420" w:hanging="431"/>
        <w:spacing w:after="0" w:line="282" w:lineRule="auto"/>
        <w:rPr>
          <w:sz w:val="20"/>
          <w:szCs w:val="20"/>
          <w:color w:val="auto"/>
        </w:rPr>
      </w:pPr>
      <w:r>
        <w:rPr>
          <w:rFonts w:ascii="Times New Roman" w:cs="Times New Roman" w:eastAsia="Times New Roman" w:hAnsi="Times New Roman"/>
          <w:sz w:val="18"/>
          <w:szCs w:val="18"/>
          <w:color w:val="auto"/>
        </w:rPr>
        <w:t>22.2 To be properly brought before an annual general meeting, business (other than nominations of Directors, which must be made in compliance with, and shall be exclusively governed by, Article 29 (</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must be:</w:t>
      </w:r>
    </w:p>
    <w:p>
      <w:pPr>
        <w:spacing w:after="0" w:line="67" w:lineRule="exact"/>
        <w:rPr>
          <w:sz w:val="20"/>
          <w:szCs w:val="20"/>
          <w:color w:val="auto"/>
        </w:rPr>
      </w:pPr>
    </w:p>
    <w:p>
      <w:pPr>
        <w:ind w:left="960" w:right="100" w:hanging="532"/>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the annual general meeting (or any supplement thereto) given to Members by or at the direction of the Directors in accordance with the Articles;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annual general meeting by or at the direction of the Directors;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annual general meeting by a Member who: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Minimum Member at the time of giving of the notice provided for in this Article and at the time of the annual general meeting;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entitled to vote at such annual general meeting;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notice procedures set forth in this Article.</w:t>
      </w:r>
    </w:p>
    <w:p>
      <w:pPr>
        <w:spacing w:after="0" w:line="131" w:lineRule="exact"/>
        <w:rPr>
          <w:sz w:val="20"/>
          <w:szCs w:val="20"/>
          <w:color w:val="auto"/>
        </w:rPr>
      </w:pPr>
    </w:p>
    <w:p>
      <w:pPr>
        <w:ind w:left="420" w:hanging="431"/>
        <w:spacing w:after="0" w:line="253" w:lineRule="auto"/>
        <w:rPr>
          <w:sz w:val="20"/>
          <w:szCs w:val="20"/>
          <w:color w:val="auto"/>
        </w:rPr>
      </w:pPr>
      <w:r>
        <w:rPr>
          <w:rFonts w:ascii="Times New Roman" w:cs="Times New Roman" w:eastAsia="Times New Roman" w:hAnsi="Times New Roman"/>
          <w:sz w:val="18"/>
          <w:szCs w:val="18"/>
          <w:color w:val="auto"/>
        </w:rPr>
        <w:t>22.3 For any such business to be properly brought before any annual general meeting pursuant to Article 22.2(c), the Member must have given timely notice thereof in writing, either by personal delivery or express or registered mail (postage prepaid), to the Company not earlier than the close of business on the 120th day and not later than the close of business on the 90th day prior to the one-year anniversary of the date of the annual general meeting for the immediately preceding year. However, in the event that the date of the annual general meeting is more than thirty days before or after such anniversary date, in order to be timely, a Member’s notice must be received by the Company not later than the later of: (x) the close of business ninety days prior to the date of such annual general meeting; and (y) if the first public announcement of the date of such advanced or delayed annual general meeting is less than one hundred days prior to such date, ten days following the date of the first public announcement of the annual general meeting date. In no event shall the public announcement of an adjournment or postponement of an annual general meeting, or such adjournment or postponement, commence a new time period or otherwise extend any time period for the giving of a Member’s notice as described herein.</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22.4 Any such notice of other business shall set forth as to each matter the Member proposes to bring before the annual general meeting:</w:t>
      </w:r>
    </w:p>
    <w:p>
      <w:pPr>
        <w:spacing w:after="0" w:line="131" w:lineRule="exact"/>
        <w:rPr>
          <w:sz w:val="20"/>
          <w:szCs w:val="20"/>
          <w:color w:val="auto"/>
        </w:rPr>
      </w:pPr>
    </w:p>
    <w:p>
      <w:pPr>
        <w:ind w:left="960" w:right="40" w:hanging="532"/>
        <w:spacing w:after="0" w:line="261"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general meeting, the reasons for conducting such business at the annual general meeting and the text of any proposal regarding such business (including the text of any resolutions proposed for consideration and, if such business includes a proposal to amend the Articles, the text of the proposed amendment), which shall not exceed 1,000 words;</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Member giving notice and any beneficial owner on whose behalf the proposal is made:</w:t>
      </w:r>
    </w:p>
    <w:p>
      <w:pPr>
        <w:spacing w:after="0" w:line="130"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Member (as it appears in the Register of Members) and such beneficial owner on whose behalf the proposal is made;</w:t>
      </w:r>
    </w:p>
    <w:p>
      <w:pPr>
        <w:spacing w:after="0" w:line="67" w:lineRule="exact"/>
        <w:rPr>
          <w:rFonts w:ascii="Times New Roman" w:cs="Times New Roman" w:eastAsia="Times New Roman" w:hAnsi="Times New Roman"/>
          <w:sz w:val="18"/>
          <w:szCs w:val="18"/>
          <w:color w:val="auto"/>
        </w:rPr>
      </w:pPr>
    </w:p>
    <w:p>
      <w:pPr>
        <w:ind w:left="1420" w:right="220" w:hanging="439"/>
        <w:spacing w:after="0" w:line="282"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which are, directly or indirectly, owned beneficially or of record by any such Member and by such beneficial owner, respectively, or their respective Affiliates (naming such Affiliates), as at the date of such notice;</w:t>
      </w:r>
    </w:p>
    <w:p>
      <w:pPr>
        <w:spacing w:after="0" w:line="67"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without limitation, any swap or other derivative or short positions, profit interests, options, hedging transactions, and securities lending or borrowing arrangement) to which such Member or any such beneficial owner or their respective Affiliates is, directly or indirectly, a party as at the date of such notice: (x) with respect to any Shares; or (y) the effect or intent of which is to mitigate loss to, manage the potential risk or benefit of share price changes (increases or decreases) for, or increase or decrease the voting power of such Member or beneficial owner or any of their Affiliates with respect to Shares or which may have payments based in whole or in part, directly or indirectly, on the value (or change in value) of any Shares (any agreement, arrangement or understanding of a type described in this Article 22.4(b)(iii), a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and</w:t>
      </w:r>
    </w:p>
    <w:p>
      <w:pPr>
        <w:spacing w:after="0" w:line="97"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Member is a holder of record of Shares entitled to vote at such annual general meeting and intends to appear in person or by proxy at the annual general meeting to propose such business;</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direct or indirect material interest by security holdings or otherwise of the Member and of any beneficial owner on whose behalf the proposal is made, or their respective Affiliates, in such business (whether by holdings of securities, or by virtue of being a creditor or contractual counterparty of the Company or of a third party, or otherwise) and all agreements, arrangements and understandings between such Member or any such beneficial owner or their respective Affiliates and any other person or persons (naming such person or persons) in connection with the proposal of such business by such Member;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67" w:name="page68"/>
    <w:bookmarkEnd w:id="67"/>
    <w:p>
      <w:pPr>
        <w:ind w:left="960" w:hanging="532"/>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representation whether the Member or the beneficial owner intends or is part of a Group which intends:</w:t>
      </w:r>
    </w:p>
    <w:p>
      <w:pPr>
        <w:spacing w:after="0" w:line="130" w:lineRule="exact"/>
        <w:rPr>
          <w:rFonts w:ascii="Times New Roman" w:cs="Times New Roman" w:eastAsia="Times New Roman" w:hAnsi="Times New Roman"/>
          <w:sz w:val="18"/>
          <w:szCs w:val="18"/>
          <w:color w:val="auto"/>
        </w:rPr>
      </w:pPr>
    </w:p>
    <w:p>
      <w:pPr>
        <w:ind w:left="1420" w:right="480" w:hanging="439"/>
        <w:spacing w:after="0" w:line="282"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 proxy statement and/or form of proxy to holders of at least the percentage of the Ordinary Shares (or other Shares) required to approve or adopt the proposal; and/or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solicit proxies from Members in support of such proposal;</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by the Member and any beneficial owner on whose behalf the proposal is made to:</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Company in writing of the information set forth in Articles 22.4(b)(ii), (b)(iii) and (c) above as at the record date for the annual general meeting promptly (and, in any event, within five business days) following the later of the record date or the date notice of the record date is first disclosed by public announcement; and</w:t>
      </w:r>
    </w:p>
    <w:p>
      <w:pPr>
        <w:spacing w:after="0" w:line="81"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such information thereafter within two business days of any change in such information and, in any event, as at close of business on the day preceding the meeting date; and</w:t>
      </w:r>
    </w:p>
    <w:p>
      <w:pPr>
        <w:spacing w:after="0" w:line="67" w:lineRule="exact"/>
        <w:rPr>
          <w:rFonts w:ascii="Times New Roman" w:cs="Times New Roman" w:eastAsia="Times New Roman" w:hAnsi="Times New Roman"/>
          <w:sz w:val="18"/>
          <w:szCs w:val="18"/>
          <w:color w:val="auto"/>
        </w:rPr>
      </w:pPr>
    </w:p>
    <w:p>
      <w:pPr>
        <w:jc w:val="both"/>
        <w:ind w:left="960" w:right="420" w:hanging="532"/>
        <w:spacing w:after="0" w:line="289" w:lineRule="auto"/>
        <w:tabs>
          <w:tab w:leader="none" w:pos="9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relating to such Member, any such beneficial owner and their respective Affiliates that would be required to be disclosed in a proxy statement or other filings required to be made in connection with solicitations of proxies for, as applicable, such proposal pursuant to section 14 of the Exchange Act, to the same extent as if the Shares were registered under the Exchange Act.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Notwithstanding anything to the contrary, the notice requirements set forth herein with respect to the proposal of any business pursuant to this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Article, other than nominations for Directors which must be made in compliance with, and shall be exclusively governed by Article 29</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shall be deemed satisfied by a Member if such Member has submitted a proposal to the Company in compliance with</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Rule 14a-8 of the Exchange Act and such Member’s proposal has been included in a proxy statement that has been prepared by the Company to</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solicit proxies for the annual general meeting; provided, that such Member shall have provided the information required by Article 22.4; provided,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further, that the information required by Article 22.4(b) may be satisfied by providing the information to the Company required pursuant to Rule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14a-8(b) of the Exchange 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 Notwithstanding anything in the Articles to the contrary:</w:t>
      </w:r>
    </w:p>
    <w:p>
      <w:pPr>
        <w:spacing w:after="0" w:line="131" w:lineRule="exact"/>
        <w:rPr>
          <w:sz w:val="20"/>
          <w:szCs w:val="20"/>
          <w:color w:val="auto"/>
        </w:rPr>
      </w:pPr>
    </w:p>
    <w:p>
      <w:pPr>
        <w:ind w:left="960" w:hanging="532"/>
        <w:spacing w:after="0" w:line="266"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business brought by a Member (other than the nominations of Directors, which must be made in compliance with, and shall be exclusively governed by Article 29 (</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shall be conducted at any annual general meeting except in accordance with the procedures set forth in this Article;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68" w:name="page69"/>
    <w:bookmarkEnd w:id="68"/>
    <w:p>
      <w:pPr>
        <w:ind w:left="960" w:right="100" w:hanging="532"/>
        <w:spacing w:after="0" w:line="261"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otherwise required by Applicable Law and the rules of any applicable stock exchange or quotation system on which Shares may be then listed or quoted, if a Member intending to bring business before an annual general meeting in accordance with this Article does not:</w:t>
      </w:r>
    </w:p>
    <w:p>
      <w:pPr>
        <w:ind w:left="9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timely provide the notifications contemplated by Article 22.4(e) above; or (y) timely appear in person or by proxy at the annual general meeting to present the proposed business, such business shall not be transacted, notwithstanding that proxies in respect of such business may have been received by the Company or any other person or entity.</w:t>
      </w:r>
    </w:p>
    <w:p>
      <w:pPr>
        <w:spacing w:after="0" w:line="91" w:lineRule="exact"/>
        <w:rPr>
          <w:sz w:val="20"/>
          <w:szCs w:val="20"/>
          <w:color w:val="auto"/>
        </w:rPr>
      </w:pPr>
    </w:p>
    <w:p>
      <w:pPr>
        <w:ind w:left="420" w:hanging="431"/>
        <w:spacing w:after="0" w:line="254" w:lineRule="auto"/>
        <w:rPr>
          <w:sz w:val="20"/>
          <w:szCs w:val="20"/>
          <w:color w:val="auto"/>
        </w:rPr>
      </w:pPr>
      <w:r>
        <w:rPr>
          <w:rFonts w:ascii="Times New Roman" w:cs="Times New Roman" w:eastAsia="Times New Roman" w:hAnsi="Times New Roman"/>
          <w:sz w:val="18"/>
          <w:szCs w:val="18"/>
          <w:color w:val="auto"/>
        </w:rPr>
        <w:t>22.7 Except as otherwise provided by Applicable Law or the Articles, the chairman or co-chairman of any annual general meeting shall have the power and duty to determine whether any business proposed to be brought before an annual general meeting was proposed in accordance with the foregoing procedures (including whether the Member solicited or did not so solicit, as the case may be, proxies in support of such Member’s proposal in compliance with such Member’s representation as required by Article 22.4(d)) and if any business is not proposed in compliance with this Article, to declare that such defective proposal shall be disregarded. The requirements of this Article shall apply to any business to be brought before an annual general meeting by a Member other than nominations of Directors (which must be made in compliance with, and shall be exclusively governed by Article 29 (</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and other than matters properly brought under Rule 14a-8 of the Exchange Act. For purposes of the Articles,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w:t>
      </w:r>
    </w:p>
    <w:p>
      <w:pPr>
        <w:spacing w:after="0" w:line="97" w:lineRule="exact"/>
        <w:rPr>
          <w:sz w:val="20"/>
          <w:szCs w:val="20"/>
          <w:color w:val="auto"/>
        </w:rPr>
      </w:pPr>
    </w:p>
    <w:p>
      <w:pPr>
        <w:ind w:left="960" w:right="44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IPO, notice of the annual general meeting given to Members by or at the direction of the Directors in accordance with the procedures set forth in the Articles;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IPO, disclosure in a press release of the Company reported by the Dow Jones News Service, Associated Press or comparable news service or in a document publicly filed or furnished by the Company with or to the Securities and Exchange Commission pursuant to section 13, 14 or 15(b) of the Exchange 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 Nothing in this Article shall be deemed to affect any rights of:</w:t>
      </w:r>
    </w:p>
    <w:p>
      <w:pPr>
        <w:spacing w:after="0" w:line="131" w:lineRule="exact"/>
        <w:rPr>
          <w:sz w:val="20"/>
          <w:szCs w:val="20"/>
          <w:color w:val="auto"/>
        </w:rPr>
      </w:pPr>
    </w:p>
    <w:p>
      <w:pPr>
        <w:ind w:left="960" w:right="56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to request inclusion of proposals in the Company’s proxy statement pursuant to applicable rules and regulations under the Exchange Act; or</w:t>
      </w:r>
    </w:p>
    <w:p>
      <w:pPr>
        <w:spacing w:after="0" w:line="67"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any class of Preferred Shares, or any other class of Shares authorised to be issued by the Company, to make proposals pursuant to any applicable provisions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69" w:name="page70"/>
    <w:bookmarkEnd w:id="69"/>
    <w:p>
      <w:pPr>
        <w:ind w:left="420" w:right="22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22.9 Notwithstanding the foregoing provisions of this Article, a Member shall also comply with all applicable requirements of the Exchange Act and the rules and regulations thereunder with respect to the matters set forth in this Article, if applicable.</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tab/>
        <w:t>Proceedings at General Meetings</w:t>
      </w:r>
    </w:p>
    <w:p>
      <w:pPr>
        <w:spacing w:after="0" w:line="135" w:lineRule="exact"/>
        <w:rPr>
          <w:sz w:val="20"/>
          <w:szCs w:val="20"/>
          <w:color w:val="auto"/>
        </w:rPr>
      </w:pPr>
    </w:p>
    <w:p>
      <w:pPr>
        <w:ind w:left="420" w:right="420" w:hanging="431"/>
        <w:spacing w:after="0" w:line="312" w:lineRule="auto"/>
        <w:rPr>
          <w:sz w:val="20"/>
          <w:szCs w:val="20"/>
          <w:color w:val="auto"/>
        </w:rPr>
      </w:pPr>
      <w:r>
        <w:rPr>
          <w:rFonts w:ascii="Times New Roman" w:cs="Times New Roman" w:eastAsia="Times New Roman" w:hAnsi="Times New Roman"/>
          <w:sz w:val="17"/>
          <w:szCs w:val="17"/>
          <w:color w:val="auto"/>
        </w:rPr>
        <w:t>23.1 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45" w:lineRule="exact"/>
        <w:rPr>
          <w:sz w:val="20"/>
          <w:szCs w:val="20"/>
          <w:color w:val="auto"/>
        </w:rPr>
      </w:pPr>
    </w:p>
    <w:p>
      <w:pPr>
        <w:ind w:left="420" w:right="100" w:hanging="431"/>
        <w:spacing w:after="0" w:line="266" w:lineRule="auto"/>
        <w:rPr>
          <w:sz w:val="20"/>
          <w:szCs w:val="20"/>
          <w:color w:val="auto"/>
        </w:rPr>
      </w:pPr>
      <w:r>
        <w:rPr>
          <w:rFonts w:ascii="Times New Roman" w:cs="Times New Roman" w:eastAsia="Times New Roman" w:hAnsi="Times New Roman"/>
          <w:sz w:val="18"/>
          <w:szCs w:val="18"/>
          <w:color w:val="auto"/>
        </w:rPr>
        <w:t>23.2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1" w:lineRule="exact"/>
        <w:rPr>
          <w:sz w:val="20"/>
          <w:szCs w:val="20"/>
          <w:color w:val="auto"/>
        </w:rPr>
      </w:pPr>
    </w:p>
    <w:p>
      <w:pPr>
        <w:ind w:left="420" w:right="160" w:hanging="431"/>
        <w:spacing w:after="0" w:line="261" w:lineRule="auto"/>
        <w:rPr>
          <w:sz w:val="20"/>
          <w:szCs w:val="20"/>
          <w:color w:val="auto"/>
        </w:rPr>
      </w:pPr>
      <w:r>
        <w:rPr>
          <w:rFonts w:ascii="Times New Roman" w:cs="Times New Roman" w:eastAsia="Times New Roman" w:hAnsi="Times New Roman"/>
          <w:sz w:val="18"/>
          <w:szCs w:val="18"/>
          <w:color w:val="auto"/>
        </w:rPr>
        <w:t>23.3 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85" w:lineRule="exact"/>
        <w:rPr>
          <w:sz w:val="20"/>
          <w:szCs w:val="20"/>
          <w:color w:val="auto"/>
        </w:rPr>
      </w:pPr>
    </w:p>
    <w:p>
      <w:pPr>
        <w:ind w:left="420" w:hanging="431"/>
        <w:spacing w:after="0" w:line="261" w:lineRule="auto"/>
        <w:rPr>
          <w:sz w:val="20"/>
          <w:szCs w:val="20"/>
          <w:color w:val="auto"/>
        </w:rPr>
      </w:pPr>
      <w:r>
        <w:rPr>
          <w:rFonts w:ascii="Times New Roman" w:cs="Times New Roman" w:eastAsia="Times New Roman" w:hAnsi="Times New Roman"/>
          <w:sz w:val="18"/>
          <w:szCs w:val="18"/>
          <w:color w:val="auto"/>
        </w:rPr>
        <w:t>23.4 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85" w:lineRule="exact"/>
        <w:rPr>
          <w:sz w:val="20"/>
          <w:szCs w:val="20"/>
          <w:color w:val="auto"/>
        </w:rPr>
      </w:pPr>
    </w:p>
    <w:p>
      <w:pPr>
        <w:ind w:left="420" w:right="100" w:hanging="431"/>
        <w:spacing w:after="0" w:line="261" w:lineRule="auto"/>
        <w:rPr>
          <w:sz w:val="20"/>
          <w:szCs w:val="20"/>
          <w:color w:val="auto"/>
        </w:rPr>
      </w:pPr>
      <w:r>
        <w:rPr>
          <w:rFonts w:ascii="Times New Roman" w:cs="Times New Roman" w:eastAsia="Times New Roman" w:hAnsi="Times New Roman"/>
          <w:sz w:val="18"/>
          <w:szCs w:val="18"/>
          <w:color w:val="auto"/>
        </w:rPr>
        <w:t>23.5 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85" w:lineRule="exact"/>
        <w:rPr>
          <w:sz w:val="20"/>
          <w:szCs w:val="20"/>
          <w:color w:val="auto"/>
        </w:rPr>
      </w:pPr>
    </w:p>
    <w:p>
      <w:pPr>
        <w:ind w:left="420" w:right="840" w:hanging="431"/>
        <w:spacing w:after="0" w:line="282" w:lineRule="auto"/>
        <w:rPr>
          <w:sz w:val="20"/>
          <w:szCs w:val="20"/>
          <w:color w:val="auto"/>
        </w:rPr>
      </w:pPr>
      <w:r>
        <w:rPr>
          <w:rFonts w:ascii="Times New Roman" w:cs="Times New Roman" w:eastAsia="Times New Roman" w:hAnsi="Times New Roman"/>
          <w:sz w:val="18"/>
          <w:szCs w:val="18"/>
          <w:color w:val="auto"/>
        </w:rPr>
        <w:t>23.6 If no Director is willing to act as chairman or if no Director is present within fifteen minutes after the time appointed for the meeting to commence, the Members present shall choose one of their number to be chairman of the meeting.</w:t>
      </w:r>
    </w:p>
    <w:p>
      <w:pPr>
        <w:spacing w:after="0" w:line="67" w:lineRule="exact"/>
        <w:rPr>
          <w:sz w:val="20"/>
          <w:szCs w:val="20"/>
          <w:color w:val="auto"/>
        </w:rPr>
      </w:pPr>
    </w:p>
    <w:p>
      <w:pPr>
        <w:ind w:left="420" w:right="120" w:hanging="431"/>
        <w:spacing w:after="0" w:line="266" w:lineRule="auto"/>
        <w:rPr>
          <w:sz w:val="20"/>
          <w:szCs w:val="20"/>
          <w:color w:val="auto"/>
        </w:rPr>
      </w:pPr>
      <w:r>
        <w:rPr>
          <w:rFonts w:ascii="Times New Roman" w:cs="Times New Roman" w:eastAsia="Times New Roman" w:hAnsi="Times New Roman"/>
          <w:sz w:val="18"/>
          <w:szCs w:val="18"/>
          <w:color w:val="auto"/>
        </w:rPr>
        <w:t>23.7 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When a general meeting is adjourned for thirty days or more, notice of the adjourned meeting shall be given as in the case of an original meeting.</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23.9 If, prior to a Business Combination, a notice is issued in respect of a general meeting and the Directors, in their absolute discretion, consider that it</w:t>
      </w:r>
    </w:p>
    <w:p>
      <w:pPr>
        <w:spacing w:after="0" w:line="27" w:lineRule="exact"/>
        <w:rPr>
          <w:sz w:val="20"/>
          <w:szCs w:val="20"/>
          <w:color w:val="auto"/>
        </w:rPr>
      </w:pPr>
    </w:p>
    <w:p>
      <w:pPr>
        <w:ind w:left="420" w:right="60"/>
        <w:spacing w:after="0" w:line="253" w:lineRule="auto"/>
        <w:rPr>
          <w:sz w:val="20"/>
          <w:szCs w:val="20"/>
          <w:color w:val="auto"/>
        </w:rPr>
      </w:pPr>
      <w:r>
        <w:rPr>
          <w:rFonts w:ascii="Times New Roman" w:cs="Times New Roman" w:eastAsia="Times New Roman" w:hAnsi="Times New Roman"/>
          <w:sz w:val="18"/>
          <w:szCs w:val="18"/>
          <w:color w:val="auto"/>
        </w:rPr>
        <w:t>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94" w:lineRule="exact"/>
        <w:rPr>
          <w:sz w:val="20"/>
          <w:szCs w:val="20"/>
          <w:color w:val="auto"/>
        </w:rPr>
      </w:pPr>
    </w:p>
    <w:p>
      <w:pPr>
        <w:ind w:left="420" w:right="60" w:hanging="431"/>
        <w:spacing w:after="0" w:line="266" w:lineRule="auto"/>
        <w:rPr>
          <w:sz w:val="20"/>
          <w:szCs w:val="20"/>
          <w:color w:val="auto"/>
        </w:rPr>
      </w:pPr>
      <w:r>
        <w:rPr>
          <w:rFonts w:ascii="Times New Roman" w:cs="Times New Roman" w:eastAsia="Times New Roman" w:hAnsi="Times New Roman"/>
          <w:sz w:val="18"/>
          <w:szCs w:val="18"/>
          <w:color w:val="auto"/>
        </w:rPr>
        <w:t>23.10 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23.11 A resolution put to the vote of the meeting shall be decided on a poll.</w:t>
      </w:r>
    </w:p>
    <w:p>
      <w:pPr>
        <w:spacing w:after="0" w:line="131" w:lineRule="exact"/>
        <w:rPr>
          <w:sz w:val="20"/>
          <w:szCs w:val="20"/>
          <w:color w:val="auto"/>
        </w:rPr>
      </w:pPr>
    </w:p>
    <w:p>
      <w:pPr>
        <w:ind w:left="420" w:hanging="431"/>
        <w:spacing w:after="0" w:line="282" w:lineRule="auto"/>
        <w:rPr>
          <w:sz w:val="20"/>
          <w:szCs w:val="20"/>
          <w:color w:val="auto"/>
        </w:rPr>
      </w:pPr>
      <w:r>
        <w:rPr>
          <w:rFonts w:ascii="Times New Roman" w:cs="Times New Roman" w:eastAsia="Times New Roman" w:hAnsi="Times New Roman"/>
          <w:sz w:val="18"/>
          <w:szCs w:val="18"/>
          <w:color w:val="auto"/>
        </w:rPr>
        <w:t>23.12 A poll shall be taken as the chairman directs, and the result of the poll shall be deemed to be the resolution of the general meeting at which the poll was demanded.</w:t>
      </w:r>
    </w:p>
    <w:p>
      <w:pPr>
        <w:spacing w:after="0" w:line="67" w:lineRule="exact"/>
        <w:rPr>
          <w:sz w:val="20"/>
          <w:szCs w:val="20"/>
          <w:color w:val="auto"/>
        </w:rPr>
      </w:pPr>
    </w:p>
    <w:p>
      <w:pPr>
        <w:jc w:val="both"/>
        <w:ind w:left="420" w:right="160" w:hanging="431"/>
        <w:spacing w:after="0" w:line="266" w:lineRule="auto"/>
        <w:rPr>
          <w:sz w:val="20"/>
          <w:szCs w:val="20"/>
          <w:color w:val="auto"/>
        </w:rPr>
      </w:pPr>
      <w:r>
        <w:rPr>
          <w:rFonts w:ascii="Times New Roman" w:cs="Times New Roman" w:eastAsia="Times New Roman" w:hAnsi="Times New Roman"/>
          <w:sz w:val="18"/>
          <w:szCs w:val="18"/>
          <w:color w:val="auto"/>
        </w:rPr>
        <w:t>23.13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23.14 In the case of an equality of votes the chairman shall be entitled to a second or casting vote.</w:t>
      </w:r>
    </w:p>
    <w:p>
      <w:pPr>
        <w:spacing w:after="0" w:line="37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tab/>
        <w:t>Votes of Members</w:t>
      </w:r>
    </w:p>
    <w:p>
      <w:pPr>
        <w:spacing w:after="0" w:line="135" w:lineRule="exact"/>
        <w:rPr>
          <w:sz w:val="20"/>
          <w:szCs w:val="20"/>
          <w:color w:val="auto"/>
        </w:rPr>
      </w:pPr>
    </w:p>
    <w:p>
      <w:pPr>
        <w:ind w:left="420" w:right="280" w:hanging="431"/>
        <w:spacing w:after="0" w:line="282" w:lineRule="auto"/>
        <w:rPr>
          <w:sz w:val="20"/>
          <w:szCs w:val="20"/>
          <w:color w:val="auto"/>
        </w:rPr>
      </w:pPr>
      <w:r>
        <w:rPr>
          <w:rFonts w:ascii="Times New Roman" w:cs="Times New Roman" w:eastAsia="Times New Roman" w:hAnsi="Times New Roman"/>
          <w:sz w:val="18"/>
          <w:szCs w:val="18"/>
          <w:color w:val="auto"/>
        </w:rPr>
        <w:t>24.1 Subject to any rights or restrictions attached to any Shares, including as set out at Article 29.1, every Member present in any such manner shall have one vote for every Share of which he is the holder.</w:t>
      </w:r>
    </w:p>
    <w:p>
      <w:pPr>
        <w:spacing w:after="0" w:line="67" w:lineRule="exact"/>
        <w:rPr>
          <w:sz w:val="20"/>
          <w:szCs w:val="20"/>
          <w:color w:val="auto"/>
        </w:rPr>
      </w:pPr>
    </w:p>
    <w:p>
      <w:pPr>
        <w:ind w:left="420" w:right="20" w:hanging="431"/>
        <w:spacing w:after="0" w:line="266" w:lineRule="auto"/>
        <w:rPr>
          <w:sz w:val="20"/>
          <w:szCs w:val="20"/>
          <w:color w:val="auto"/>
        </w:rPr>
      </w:pPr>
      <w:r>
        <w:rPr>
          <w:rFonts w:ascii="Times New Roman" w:cs="Times New Roman" w:eastAsia="Times New Roman" w:hAnsi="Times New Roman"/>
          <w:sz w:val="18"/>
          <w:szCs w:val="18"/>
          <w:color w:val="auto"/>
        </w:rPr>
        <w:t>24.2 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81" w:lineRule="exact"/>
        <w:rPr>
          <w:sz w:val="20"/>
          <w:szCs w:val="20"/>
          <w:color w:val="auto"/>
        </w:rPr>
      </w:pPr>
    </w:p>
    <w:p>
      <w:pPr>
        <w:ind w:left="420" w:right="260" w:hanging="431"/>
        <w:spacing w:after="0" w:line="266" w:lineRule="auto"/>
        <w:rPr>
          <w:sz w:val="20"/>
          <w:szCs w:val="20"/>
          <w:color w:val="auto"/>
        </w:rPr>
      </w:pPr>
      <w:r>
        <w:rPr>
          <w:rFonts w:ascii="Times New Roman" w:cs="Times New Roman" w:eastAsia="Times New Roman" w:hAnsi="Times New Roman"/>
          <w:sz w:val="18"/>
          <w:szCs w:val="18"/>
          <w:color w:val="auto"/>
        </w:rPr>
        <w:t>24.3 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81" w:lineRule="exact"/>
        <w:rPr>
          <w:sz w:val="20"/>
          <w:szCs w:val="20"/>
          <w:color w:val="auto"/>
        </w:rPr>
      </w:pPr>
    </w:p>
    <w:p>
      <w:pPr>
        <w:ind w:left="420" w:right="220" w:hanging="431"/>
        <w:spacing w:after="0" w:line="282" w:lineRule="auto"/>
        <w:rPr>
          <w:sz w:val="20"/>
          <w:szCs w:val="20"/>
          <w:color w:val="auto"/>
        </w:rPr>
      </w:pPr>
      <w:r>
        <w:rPr>
          <w:rFonts w:ascii="Times New Roman" w:cs="Times New Roman" w:eastAsia="Times New Roman" w:hAnsi="Times New Roman"/>
          <w:sz w:val="18"/>
          <w:szCs w:val="18"/>
          <w:color w:val="auto"/>
        </w:rPr>
        <w:t>24.4 No person shall be entitled to vote at any general meeting unless he is registered as a Member on the record date for such meeting nor unless all calls or other monies then payable by him in respect of Shares have been paid.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71" w:name="page72"/>
    <w:bookmarkEnd w:id="71"/>
    <w:p>
      <w:pPr>
        <w:ind w:left="420" w:right="22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24.5 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1" w:lineRule="exact"/>
        <w:rPr>
          <w:sz w:val="20"/>
          <w:szCs w:val="20"/>
          <w:color w:val="auto"/>
        </w:rPr>
      </w:pPr>
    </w:p>
    <w:p>
      <w:pPr>
        <w:ind w:left="420" w:right="40" w:hanging="431"/>
        <w:spacing w:after="0" w:line="261" w:lineRule="auto"/>
        <w:rPr>
          <w:sz w:val="20"/>
          <w:szCs w:val="20"/>
          <w:color w:val="auto"/>
        </w:rPr>
      </w:pPr>
      <w:r>
        <w:rPr>
          <w:rFonts w:ascii="Times New Roman" w:cs="Times New Roman" w:eastAsia="Times New Roman" w:hAnsi="Times New Roman"/>
          <w:sz w:val="18"/>
          <w:szCs w:val="18"/>
          <w:color w:val="auto"/>
        </w:rPr>
        <w:t>24.6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85" w:lineRule="exact"/>
        <w:rPr>
          <w:sz w:val="20"/>
          <w:szCs w:val="20"/>
          <w:color w:val="auto"/>
        </w:rPr>
      </w:pPr>
    </w:p>
    <w:p>
      <w:pPr>
        <w:ind w:left="420" w:right="60" w:hanging="431"/>
        <w:spacing w:after="0" w:line="258" w:lineRule="auto"/>
        <w:rPr>
          <w:sz w:val="20"/>
          <w:szCs w:val="20"/>
          <w:color w:val="auto"/>
        </w:rPr>
      </w:pPr>
      <w:r>
        <w:rPr>
          <w:rFonts w:ascii="Times New Roman" w:cs="Times New Roman" w:eastAsia="Times New Roman" w:hAnsi="Times New Roman"/>
          <w:sz w:val="18"/>
          <w:szCs w:val="18"/>
          <w:color w:val="auto"/>
        </w:rPr>
        <w:t>24.7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25</w:t>
        <w:tab/>
        <w:t>Proxies</w:t>
      </w:r>
    </w:p>
    <w:p>
      <w:pPr>
        <w:spacing w:after="0" w:line="135" w:lineRule="exact"/>
        <w:rPr>
          <w:sz w:val="20"/>
          <w:szCs w:val="20"/>
          <w:color w:val="auto"/>
        </w:rPr>
      </w:pPr>
    </w:p>
    <w:p>
      <w:pPr>
        <w:ind w:left="420" w:hanging="431"/>
        <w:spacing w:after="0" w:line="266" w:lineRule="auto"/>
        <w:rPr>
          <w:sz w:val="20"/>
          <w:szCs w:val="20"/>
          <w:color w:val="auto"/>
        </w:rPr>
      </w:pPr>
      <w:r>
        <w:rPr>
          <w:rFonts w:ascii="Times New Roman" w:cs="Times New Roman" w:eastAsia="Times New Roman" w:hAnsi="Times New Roman"/>
          <w:sz w:val="18"/>
          <w:szCs w:val="18"/>
          <w:color w:val="auto"/>
        </w:rPr>
        <w:t>25.1 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81" w:lineRule="exact"/>
        <w:rPr>
          <w:sz w:val="20"/>
          <w:szCs w:val="20"/>
          <w:color w:val="auto"/>
        </w:rPr>
      </w:pPr>
    </w:p>
    <w:p>
      <w:pPr>
        <w:ind w:left="420" w:right="80" w:hanging="431"/>
        <w:spacing w:after="0" w:line="256" w:lineRule="auto"/>
        <w:rPr>
          <w:sz w:val="20"/>
          <w:szCs w:val="20"/>
          <w:color w:val="auto"/>
        </w:rPr>
      </w:pPr>
      <w:r>
        <w:rPr>
          <w:rFonts w:ascii="Times New Roman" w:cs="Times New Roman" w:eastAsia="Times New Roman" w:hAnsi="Times New Roman"/>
          <w:sz w:val="18"/>
          <w:szCs w:val="18"/>
          <w:color w:val="auto"/>
        </w:rPr>
        <w:t>25.2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93" w:lineRule="exact"/>
        <w:rPr>
          <w:sz w:val="20"/>
          <w:szCs w:val="20"/>
          <w:color w:val="auto"/>
        </w:rPr>
      </w:pPr>
    </w:p>
    <w:p>
      <w:pPr>
        <w:ind w:left="420" w:right="160" w:hanging="431"/>
        <w:spacing w:after="0" w:line="266" w:lineRule="auto"/>
        <w:rPr>
          <w:sz w:val="20"/>
          <w:szCs w:val="20"/>
          <w:color w:val="auto"/>
        </w:rPr>
      </w:pPr>
      <w:r>
        <w:rPr>
          <w:rFonts w:ascii="Times New Roman" w:cs="Times New Roman" w:eastAsia="Times New Roman" w:hAnsi="Times New Roman"/>
          <w:sz w:val="18"/>
          <w:szCs w:val="18"/>
          <w:color w:val="auto"/>
        </w:rPr>
        <w:t>25.3 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2" w:name="page73"/>
    <w:bookmarkEnd w:id="72"/>
    <w:p>
      <w:pPr>
        <w:jc w:val="both"/>
        <w:ind w:left="424" w:right="2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25.4 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1"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25.5 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26</w:t>
        <w:tab/>
        <w:t>Corporate Members</w:t>
      </w:r>
    </w:p>
    <w:p>
      <w:pPr>
        <w:spacing w:after="0" w:line="135" w:lineRule="exact"/>
        <w:rPr>
          <w:sz w:val="20"/>
          <w:szCs w:val="20"/>
          <w:color w:val="auto"/>
        </w:rPr>
      </w:pPr>
    </w:p>
    <w:p>
      <w:pPr>
        <w:jc w:val="both"/>
        <w:ind w:left="424" w:right="140" w:hanging="431"/>
        <w:spacing w:after="0" w:line="261" w:lineRule="auto"/>
        <w:rPr>
          <w:sz w:val="20"/>
          <w:szCs w:val="20"/>
          <w:color w:val="auto"/>
        </w:rPr>
      </w:pPr>
      <w:r>
        <w:rPr>
          <w:rFonts w:ascii="Times New Roman" w:cs="Times New Roman" w:eastAsia="Times New Roman" w:hAnsi="Times New Roman"/>
          <w:sz w:val="18"/>
          <w:szCs w:val="18"/>
          <w:color w:val="auto"/>
        </w:rPr>
        <w:t>26.1 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85" w:lineRule="exact"/>
        <w:rPr>
          <w:sz w:val="20"/>
          <w:szCs w:val="20"/>
          <w:color w:val="auto"/>
        </w:rPr>
      </w:pPr>
    </w:p>
    <w:p>
      <w:pPr>
        <w:ind w:left="424" w:right="100" w:hanging="431"/>
        <w:spacing w:after="0" w:line="258" w:lineRule="auto"/>
        <w:rPr>
          <w:sz w:val="20"/>
          <w:szCs w:val="20"/>
          <w:color w:val="auto"/>
        </w:rPr>
      </w:pPr>
      <w:r>
        <w:rPr>
          <w:rFonts w:ascii="Times New Roman" w:cs="Times New Roman" w:eastAsia="Times New Roman" w:hAnsi="Times New Roman"/>
          <w:sz w:val="18"/>
          <w:szCs w:val="18"/>
          <w:color w:val="auto"/>
        </w:rPr>
        <w:t>26.2 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28" w:lineRule="exact"/>
        <w:rPr>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121" w:lineRule="exact"/>
        <w:rPr>
          <w:rFonts w:ascii="Times New Roman" w:cs="Times New Roman" w:eastAsia="Times New Roman" w:hAnsi="Times New Roman"/>
          <w:sz w:val="18"/>
          <w:szCs w:val="18"/>
          <w:b w:val="1"/>
          <w:bCs w:val="1"/>
          <w:color w:val="auto"/>
        </w:rPr>
      </w:pPr>
    </w:p>
    <w:p>
      <w:pPr>
        <w:ind w:left="444"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35" w:lineRule="exact"/>
        <w:rPr>
          <w:sz w:val="20"/>
          <w:szCs w:val="20"/>
          <w:color w:val="auto"/>
        </w:rPr>
      </w:pPr>
    </w:p>
    <w:p>
      <w:pPr>
        <w:ind w:left="424" w:right="520" w:hanging="431"/>
        <w:spacing w:after="0" w:line="282" w:lineRule="auto"/>
        <w:rPr>
          <w:sz w:val="20"/>
          <w:szCs w:val="20"/>
          <w:color w:val="auto"/>
        </w:rPr>
      </w:pPr>
      <w:r>
        <w:rPr>
          <w:rFonts w:ascii="Times New Roman" w:cs="Times New Roman" w:eastAsia="Times New Roman" w:hAnsi="Times New Roman"/>
          <w:sz w:val="18"/>
          <w:szCs w:val="18"/>
          <w:color w:val="auto"/>
        </w:rPr>
        <w:t>28.1 There shall be a board of Directors consisting of not less than one person provided however that the Company may by Ordinary Resolution increase or reduce the limits in the number of Directors.</w:t>
      </w:r>
    </w:p>
    <w:p>
      <w:pPr>
        <w:spacing w:after="0" w:line="67" w:lineRule="exact"/>
        <w:rPr>
          <w:sz w:val="20"/>
          <w:szCs w:val="20"/>
          <w:color w:val="auto"/>
        </w:rPr>
      </w:pPr>
    </w:p>
    <w:p>
      <w:pPr>
        <w:ind w:left="424" w:right="20" w:hanging="431"/>
        <w:spacing w:after="0" w:line="281" w:lineRule="auto"/>
        <w:rPr>
          <w:sz w:val="20"/>
          <w:szCs w:val="20"/>
          <w:color w:val="auto"/>
        </w:rPr>
      </w:pPr>
      <w:r>
        <w:rPr>
          <w:rFonts w:ascii="Times New Roman" w:cs="Times New Roman" w:eastAsia="Times New Roman" w:hAnsi="Times New Roman"/>
          <w:sz w:val="17"/>
          <w:szCs w:val="17"/>
          <w:color w:val="auto"/>
        </w:rPr>
        <w:t>28.2 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 shall stand appointed for a term expiring at the Company’s second annual general meeting and the Class III Directors shall stand appointed for a term</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73" w:name="page74"/>
    <w:bookmarkEnd w:id="73"/>
    <w:p>
      <w:pPr>
        <w:ind w:left="420"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his successor shall have been appointed and qualified.</w:t>
      </w:r>
    </w:p>
    <w:p>
      <w:pPr>
        <w:spacing w:after="0" w:line="3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29</w:t>
        <w:tab/>
        <w:t>Nomination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29.1 Subject to Article 31.1, nominations of persons for election as Directors may be made at an annual general meeting only by:</w:t>
      </w:r>
    </w:p>
    <w:p>
      <w:pPr>
        <w:spacing w:after="0" w:line="131" w:lineRule="exact"/>
        <w:rPr>
          <w:sz w:val="20"/>
          <w:szCs w:val="20"/>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Member who: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Minimum Member at the time of giving of the notice provided for in this Article and at the time of the annual general meeting;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entitled to vote for the appointments at such annual general meeting; and</w:t>
      </w:r>
    </w:p>
    <w:p>
      <w:pPr>
        <w:spacing w:after="0" w:line="130" w:lineRule="exact"/>
        <w:rPr>
          <w:rFonts w:ascii="Times New Roman" w:cs="Times New Roman" w:eastAsia="Times New Roman" w:hAnsi="Times New Roman"/>
          <w:sz w:val="18"/>
          <w:szCs w:val="18"/>
          <w:color w:val="auto"/>
        </w:rPr>
      </w:pPr>
    </w:p>
    <w:p>
      <w:pPr>
        <w:ind w:left="1420" w:right="220" w:hanging="439"/>
        <w:spacing w:after="0" w:line="266" w:lineRule="auto"/>
        <w:tabs>
          <w:tab w:leader="none" w:pos="14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notice procedures set forth in this Article (notwithstanding anything to the contrary set forth in the Articles, this Article 29.1(b) shall be the exclusive means for a Member to make nominations of persons for election of Directors at an annual general meeting).</w:t>
      </w:r>
    </w:p>
    <w:p>
      <w:pPr>
        <w:spacing w:after="0" w:line="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29.2 Any Member entitled to vote for the elections may nominate a person or persons for election as Directors only if written notice of such Member’s</w:t>
      </w:r>
    </w:p>
    <w:p>
      <w:pPr>
        <w:spacing w:after="0" w:line="27" w:lineRule="exact"/>
        <w:rPr>
          <w:sz w:val="20"/>
          <w:szCs w:val="20"/>
          <w:color w:val="auto"/>
        </w:rPr>
      </w:pPr>
    </w:p>
    <w:p>
      <w:pPr>
        <w:ind w:left="420"/>
        <w:spacing w:after="0" w:line="252" w:lineRule="auto"/>
        <w:rPr>
          <w:sz w:val="20"/>
          <w:szCs w:val="20"/>
          <w:color w:val="auto"/>
        </w:rPr>
      </w:pPr>
      <w:r>
        <w:rPr>
          <w:rFonts w:ascii="Times New Roman" w:cs="Times New Roman" w:eastAsia="Times New Roman" w:hAnsi="Times New Roman"/>
          <w:sz w:val="18"/>
          <w:szCs w:val="18"/>
          <w:color w:val="auto"/>
        </w:rPr>
        <w:t>intent to make such nomination is given in accordance with the procedures set forth in this Article, either by personal delivery or express or registered mail (postage prepaid), to the Company not earlier than the close of business on the 120th day and not later than the close of business on the 90th day prior to the one-year anniversary of the date of the annual general meeting for the immediately preceding year. However, in the event that the date of the annual general meeting is more than thirty days before or after such anniversary date, in order to be timely, a Member’s notice must be received by the Company not later than the later of: (x) the close of business ninety days prior to the date of such annual general meeting; and (y) if the first public announcement of the date of such advanced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4" w:name="page75"/>
    <w:bookmarkEnd w:id="74"/>
    <w:p>
      <w:pPr>
        <w:ind w:left="4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delayed annual general meeting is less than one hundred days prior to such date, ten days following the date of the first public announcement of the annual general meeting date. In no event shall the public announcement of an adjournment or postponement of an annual general meeting, or such adjournment or postponement, commence a new time period or otherwise extend any time period for the giving of a Member’s notice as described herein. Members may nominate a person or persons (as the case may be) for election to the Directors only as provided in this Article and only for such class(es) as are specified in the notice of annual general meeting as being up for election at such annual general meeting.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29.3 Each such notice of a Member’s intent to make a nomination of a Director shall set forth:</w:t>
      </w:r>
    </w:p>
    <w:p>
      <w:pPr>
        <w:spacing w:after="0" w:line="131" w:lineRule="exact"/>
        <w:rPr>
          <w:sz w:val="20"/>
          <w:szCs w:val="20"/>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Member giving notice and any beneficial owner on whose behalf the nomination is made:</w:t>
      </w:r>
    </w:p>
    <w:p>
      <w:pPr>
        <w:spacing w:after="0" w:line="130"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Member (as it appears in the Register of Members) and any such beneficial owner on whose behalf the nomination is made;</w:t>
      </w:r>
    </w:p>
    <w:p>
      <w:pPr>
        <w:spacing w:after="0" w:line="67"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which are, directly or indirectly, owned beneficially and of record by such Member and any such beneficial owner, respectively, or their respective Affiliates (naming such Affiliates), as at the date of such notice;</w:t>
      </w:r>
    </w:p>
    <w:p>
      <w:pPr>
        <w:spacing w:after="0" w:line="67" w:lineRule="exact"/>
        <w:rPr>
          <w:rFonts w:ascii="Times New Roman" w:cs="Times New Roman" w:eastAsia="Times New Roman" w:hAnsi="Times New Roman"/>
          <w:sz w:val="18"/>
          <w:szCs w:val="18"/>
          <w:color w:val="auto"/>
        </w:rPr>
      </w:pPr>
    </w:p>
    <w:p>
      <w:pPr>
        <w:ind w:left="1420" w:right="460" w:hanging="439"/>
        <w:spacing w:after="0" w:line="282" w:lineRule="auto"/>
        <w:tabs>
          <w:tab w:leader="none" w:pos="14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Covered Arrangement to which such Member or beneficial owner, or their respective Affiliates, directly or indirectly, is a party as at the date of such notice;</w:t>
      </w:r>
    </w:p>
    <w:p>
      <w:pPr>
        <w:spacing w:after="0" w:line="67" w:lineRule="exact"/>
        <w:rPr>
          <w:rFonts w:ascii="Times New Roman" w:cs="Times New Roman" w:eastAsia="Times New Roman" w:hAnsi="Times New Roman"/>
          <w:sz w:val="18"/>
          <w:szCs w:val="18"/>
          <w:color w:val="auto"/>
        </w:rPr>
      </w:pPr>
    </w:p>
    <w:p>
      <w:pPr>
        <w:ind w:left="1420" w:right="20" w:hanging="439"/>
        <w:spacing w:after="0" w:line="266" w:lineRule="auto"/>
        <w:tabs>
          <w:tab w:leader="none" w:pos="14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Member and any such beneficial owner that would be required to be disclosed in a proxy statement in connection with a solicitation of proxies for the election of Directors in a contested election pursuant to section 14 of the Exchange Act; and</w:t>
      </w:r>
    </w:p>
    <w:p>
      <w:pPr>
        <w:spacing w:after="0" w:line="81"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Member is a holder of record of Shares entitled to vote at such annual general meeting and intends to appear in person or by proxy at the meeting to nominate the person or persons specified in such Member’s notice;</w:t>
      </w:r>
    </w:p>
    <w:p>
      <w:pPr>
        <w:spacing w:after="0" w:line="67"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Member or any beneficial owner, or their respective Affiliates, and each nominee or any other person or persons (naming such person or persons) pursuant to which the nomination or nominations are to be made by the Member;</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Member or the beneficial owner is or intends to be part of a Group which intends: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75" w:name="page76"/>
    <w:bookmarkEnd w:id="75"/>
    <w:p>
      <w:pPr>
        <w:ind w:left="1400" w:right="500" w:hanging="439"/>
        <w:spacing w:after="0" w:line="282" w:lineRule="auto"/>
        <w:tabs>
          <w:tab w:leader="none" w:pos="140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deliver a proxy statement and/or form of proxy to holders of at least the percentage of the Ordinary Shares (or other Shares) required to elect the Director or Directors nominated; and/or</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solicit proxies from Members in support of such nomination or nominations;</w:t>
      </w:r>
    </w:p>
    <w:p>
      <w:pPr>
        <w:spacing w:after="0" w:line="130"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Member proposes to nominate for election or re-election as a Director:</w:t>
      </w:r>
    </w:p>
    <w:p>
      <w:pPr>
        <w:spacing w:after="0" w:line="130" w:lineRule="exact"/>
        <w:rPr>
          <w:rFonts w:ascii="Times New Roman" w:cs="Times New Roman" w:eastAsia="Times New Roman" w:hAnsi="Times New Roman"/>
          <w:sz w:val="18"/>
          <w:szCs w:val="18"/>
          <w:color w:val="auto"/>
        </w:rPr>
      </w:pPr>
    </w:p>
    <w:p>
      <w:pPr>
        <w:ind w:left="1400" w:right="280" w:hanging="439"/>
        <w:spacing w:after="0" w:line="282" w:lineRule="auto"/>
        <w:tabs>
          <w:tab w:leader="none" w:pos="14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as would have been required to be included in a proxy statement filed in connection with a solicitation of proxies for the election of Directors in a contested election pursuant to section 14 of the Exchange Act;</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Covered Arrangement to which such nominee or any of his Affiliates is a party as at the date of such notice</w:t>
      </w:r>
    </w:p>
    <w:p>
      <w:pPr>
        <w:spacing w:after="0" w:line="130" w:lineRule="exact"/>
        <w:rPr>
          <w:rFonts w:ascii="Times New Roman" w:cs="Times New Roman" w:eastAsia="Times New Roman" w:hAnsi="Times New Roman"/>
          <w:sz w:val="18"/>
          <w:szCs w:val="18"/>
          <w:color w:val="auto"/>
        </w:rPr>
      </w:pPr>
    </w:p>
    <w:p>
      <w:pPr>
        <w:ind w:left="1400" w:right="200" w:hanging="439"/>
        <w:spacing w:after="0" w:line="282" w:lineRule="auto"/>
        <w:tabs>
          <w:tab w:leader="none" w:pos="14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each nominee to being named in the proxy statement as a nominee and to serving as a Director if so elected; and</w:t>
      </w:r>
    </w:p>
    <w:p>
      <w:pPr>
        <w:spacing w:after="0" w:line="67" w:lineRule="exact"/>
        <w:rPr>
          <w:rFonts w:ascii="Times New Roman" w:cs="Times New Roman" w:eastAsia="Times New Roman" w:hAnsi="Times New Roman"/>
          <w:sz w:val="18"/>
          <w:szCs w:val="18"/>
          <w:color w:val="auto"/>
        </w:rPr>
      </w:pPr>
    </w:p>
    <w:p>
      <w:pPr>
        <w:ind w:left="1400" w:hanging="439"/>
        <w:spacing w:after="0" w:line="266" w:lineRule="auto"/>
        <w:tabs>
          <w:tab w:leader="none" w:pos="14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if elected, the nominee intends to tender any advance resignation notice(s) requested by the Directors in connection with subsequent elections, such advance resignation to be contingent upon the nominee’s failure to receive a majority vote and acceptance of such resignation by the Directors; and</w:t>
      </w:r>
    </w:p>
    <w:p>
      <w:pPr>
        <w:spacing w:after="0" w:line="81" w:lineRule="exact"/>
        <w:rPr>
          <w:rFonts w:ascii="Times New Roman" w:cs="Times New Roman" w:eastAsia="Times New Roman" w:hAnsi="Times New Roman"/>
          <w:sz w:val="18"/>
          <w:szCs w:val="18"/>
          <w:color w:val="auto"/>
        </w:rPr>
      </w:pPr>
    </w:p>
    <w:p>
      <w:pPr>
        <w:ind w:left="940" w:right="20" w:hanging="532"/>
        <w:spacing w:after="0" w:line="272" w:lineRule="auto"/>
        <w:tabs>
          <w:tab w:leader="none" w:pos="9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undertaking by the Member of record and each beneficial owner, if any, to (i) notify the Company in writing of the information set forth in Articles 29.3(a)(ii), (a)(iii), (b) and (d) above as at the record date for the annual general meeting promptly (and, in any event, within five business days) following the later of the record date or the date notice of the record date is first disclosed by public announcement and</w:t>
      </w:r>
    </w:p>
    <w:p>
      <w:pPr>
        <w:spacing w:after="0" w:line="1" w:lineRule="exact"/>
        <w:rPr>
          <w:rFonts w:ascii="Times New Roman" w:cs="Times New Roman" w:eastAsia="Times New Roman" w:hAnsi="Times New Roman"/>
          <w:sz w:val="17"/>
          <w:szCs w:val="17"/>
          <w:color w:val="auto"/>
        </w:rPr>
      </w:pPr>
    </w:p>
    <w:p>
      <w:pPr>
        <w:ind w:left="940" w:right="620" w:firstLine="8"/>
        <w:spacing w:after="0" w:line="260" w:lineRule="auto"/>
        <w:tabs>
          <w:tab w:leader="none" w:pos="120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such information thereafter within two business days of any change in such information and, in any event, as at close of business on the day preceding the meeting date.</w:t>
      </w:r>
    </w:p>
    <w:p>
      <w:pPr>
        <w:spacing w:after="0" w:line="87" w:lineRule="exact"/>
        <w:rPr>
          <w:sz w:val="20"/>
          <w:szCs w:val="20"/>
          <w:color w:val="auto"/>
        </w:rPr>
      </w:pPr>
    </w:p>
    <w:p>
      <w:pPr>
        <w:ind w:left="400" w:right="100" w:hanging="431"/>
        <w:spacing w:after="0" w:line="255" w:lineRule="auto"/>
        <w:rPr>
          <w:sz w:val="20"/>
          <w:szCs w:val="20"/>
          <w:color w:val="auto"/>
        </w:rPr>
      </w:pPr>
      <w:r>
        <w:rPr>
          <w:rFonts w:ascii="Times New Roman" w:cs="Times New Roman" w:eastAsia="Times New Roman" w:hAnsi="Times New Roman"/>
          <w:sz w:val="18"/>
          <w:szCs w:val="18"/>
          <w:color w:val="auto"/>
        </w:rPr>
        <w:t>29.4 No person shall be eligible for election as a Director unless nominated in accordance with the procedures set forth in the Articles. Except as otherwise provided by Applicable Law or the Articles, the chairman or co-chairman of any annual general meeting to elect Directors or the Directors may, if the facts warrant, determine that a nomination was not made in compliance with the foregoing procedure or if the Member solicits proxies in support of such Member’s nominee(s) without such Member having made the representation required by Article 29.3(c); and if the chairman, co-chairman or the Directors should so determine, it shall be so declared to the annual general meeting, and the defective nomination shall be disregarded. Notwithstanding anything in the Articles to the contrary, unless otherwise required by Applicable Law or the rules of the Designated Stock Exchange or quotation system on which Shares may be then listed or quoted,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60" w:top="270" w:right="459" w:bottom="1440" w:gutter="0" w:footer="0" w:header="0"/>
        </w:sectPr>
      </w:pPr>
    </w:p>
    <w:bookmarkStart w:id="76" w:name="page77"/>
    <w:bookmarkEnd w:id="7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 Member intending to make a nomination at an annual general meeting in accordance with this Article does not:</w:t>
      </w:r>
    </w:p>
    <w:p>
      <w:pPr>
        <w:spacing w:after="0" w:line="131" w:lineRule="exact"/>
        <w:rPr>
          <w:sz w:val="20"/>
          <w:szCs w:val="20"/>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provide the notifications contemplated by of Article 29.3(e); or</w:t>
      </w:r>
    </w:p>
    <w:p>
      <w:pPr>
        <w:spacing w:after="0" w:line="130" w:lineRule="exact"/>
        <w:rPr>
          <w:rFonts w:ascii="Times New Roman" w:cs="Times New Roman" w:eastAsia="Times New Roman" w:hAnsi="Times New Roman"/>
          <w:sz w:val="18"/>
          <w:szCs w:val="18"/>
          <w:color w:val="auto"/>
        </w:rPr>
      </w:pPr>
    </w:p>
    <w:p>
      <w:pPr>
        <w:ind w:left="960" w:right="62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appear in person or by proxy at the annual general meeting to present the nomination, such nomination shall be disregarded, notwithstanding that proxies in respect of such nomination may have been received by the Company or any other person or entity.</w:t>
      </w:r>
    </w:p>
    <w:p>
      <w:pPr>
        <w:spacing w:after="0" w:line="67" w:lineRule="exact"/>
        <w:rPr>
          <w:sz w:val="20"/>
          <w:szCs w:val="20"/>
          <w:color w:val="auto"/>
        </w:rPr>
      </w:pPr>
    </w:p>
    <w:p>
      <w:pPr>
        <w:ind w:left="420" w:hanging="431"/>
        <w:spacing w:after="0" w:line="258" w:lineRule="auto"/>
        <w:rPr>
          <w:sz w:val="20"/>
          <w:szCs w:val="20"/>
          <w:color w:val="auto"/>
        </w:rPr>
      </w:pPr>
      <w:r>
        <w:rPr>
          <w:rFonts w:ascii="Times New Roman" w:cs="Times New Roman" w:eastAsia="Times New Roman" w:hAnsi="Times New Roman"/>
          <w:sz w:val="18"/>
          <w:szCs w:val="18"/>
          <w:color w:val="auto"/>
        </w:rPr>
        <w:t>29.5 Notwithstanding the foregoing provisions of this Article, any Member intending to make a nomination at an annual general meeting in accordance with this Article, and each related beneficial owner, if any, shall also comply with all requirements of the Exchange Act and the rules and regulations thereunder applicable to the same extent as if the Shares were registered under the Exchange Act with respect to the matters set forth in the Articles; provided, however, that any references in the Articles to the Exchange Act are not intended to and shall not limit the requirements applicable to nominations made or intended to be made in accordance with Article 29.1(b).</w:t>
      </w:r>
    </w:p>
    <w:p>
      <w:pPr>
        <w:spacing w:after="0" w:line="89" w:lineRule="exact"/>
        <w:rPr>
          <w:sz w:val="20"/>
          <w:szCs w:val="20"/>
          <w:color w:val="auto"/>
        </w:rPr>
      </w:pPr>
    </w:p>
    <w:p>
      <w:pPr>
        <w:ind w:left="420" w:right="140" w:hanging="431"/>
        <w:spacing w:after="0" w:line="282" w:lineRule="auto"/>
        <w:rPr>
          <w:sz w:val="20"/>
          <w:szCs w:val="20"/>
          <w:color w:val="auto"/>
        </w:rPr>
      </w:pPr>
      <w:r>
        <w:rPr>
          <w:rFonts w:ascii="Times New Roman" w:cs="Times New Roman" w:eastAsia="Times New Roman" w:hAnsi="Times New Roman"/>
          <w:sz w:val="18"/>
          <w:szCs w:val="18"/>
          <w:color w:val="auto"/>
        </w:rPr>
        <w:t>29.6 Nothing in this Article shall be deemed to affect any rights of the holders of any class of Preferred Shares, or any other class of Shares authorised to be issued by the Company, to appoint Directors pursuant to the terms thereof.</w:t>
      </w:r>
    </w:p>
    <w:p>
      <w:pPr>
        <w:spacing w:after="0" w:line="67" w:lineRule="exact"/>
        <w:rPr>
          <w:sz w:val="20"/>
          <w:szCs w:val="20"/>
          <w:color w:val="auto"/>
        </w:rPr>
      </w:pPr>
    </w:p>
    <w:p>
      <w:pPr>
        <w:ind w:left="420" w:right="80" w:hanging="431"/>
        <w:spacing w:after="0" w:line="258" w:lineRule="auto"/>
        <w:rPr>
          <w:sz w:val="20"/>
          <w:szCs w:val="20"/>
          <w:color w:val="auto"/>
        </w:rPr>
      </w:pPr>
      <w:r>
        <w:rPr>
          <w:rFonts w:ascii="Times New Roman" w:cs="Times New Roman" w:eastAsia="Times New Roman" w:hAnsi="Times New Roman"/>
          <w:sz w:val="18"/>
          <w:szCs w:val="18"/>
          <w:color w:val="auto"/>
        </w:rPr>
        <w:t>29.7 To be eligible to be a nominee for election or re-election as a Director pursuant to Article 29.1(b), a person must deliver (not later than the deadline prescribed for delivery of notice) to the Company a written questionnaire prepared by the Company with respect to the background and qualification of such person and the background of any other person or entity on whose behalf the nomination is being made (which questionnaire shall be provided by the Company upon written request) and a written representation and agreement (in the form provided by the Company upon written request) that such person:</w:t>
      </w:r>
    </w:p>
    <w:p>
      <w:pPr>
        <w:spacing w:after="0" w:line="89" w:lineRule="exact"/>
        <w:rPr>
          <w:sz w:val="20"/>
          <w:szCs w:val="20"/>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w:t>
      </w:r>
    </w:p>
    <w:p>
      <w:pPr>
        <w:spacing w:after="0" w:line="130" w:lineRule="exact"/>
        <w:rPr>
          <w:rFonts w:ascii="Times New Roman" w:cs="Times New Roman" w:eastAsia="Times New Roman" w:hAnsi="Times New Roman"/>
          <w:sz w:val="18"/>
          <w:szCs w:val="18"/>
          <w:color w:val="auto"/>
        </w:rPr>
      </w:pPr>
    </w:p>
    <w:p>
      <w:pPr>
        <w:ind w:left="1420" w:right="300" w:hanging="439"/>
        <w:spacing w:after="0" w:line="266" w:lineRule="auto"/>
        <w:tabs>
          <w:tab w:leader="none" w:pos="14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with, and has not given any commitment or assurance to, any person or entity as to how such person, if elected as a Director, will act or vote on any issue or question (a “</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that has not been disclosed to the Company; or</w:t>
      </w:r>
    </w:p>
    <w:p>
      <w:pPr>
        <w:spacing w:after="0" w:line="81"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Commitment that could limit or interfere with such person’s ability to comply, if elected as a Director, with such person’s duties under Applicable Law;</w:t>
      </w:r>
    </w:p>
    <w:p>
      <w:pPr>
        <w:spacing w:after="0" w:line="67" w:lineRule="exact"/>
        <w:rPr>
          <w:rFonts w:ascii="Times New Roman" w:cs="Times New Roman" w:eastAsia="Times New Roman" w:hAnsi="Times New Roman"/>
          <w:sz w:val="18"/>
          <w:szCs w:val="18"/>
          <w:color w:val="auto"/>
        </w:rPr>
      </w:pPr>
    </w:p>
    <w:p>
      <w:pPr>
        <w:jc w:val="both"/>
        <w:ind w:left="960" w:right="40" w:hanging="532"/>
        <w:spacing w:after="0" w:line="266"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77" w:name="page78"/>
    <w:bookmarkEnd w:id="77"/>
    <w:p>
      <w:pPr>
        <w:ind w:left="960" w:right="140" w:hanging="532"/>
        <w:spacing w:after="0" w:line="266"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such person’s individual capacity and on behalf of any person or entity on whose behalf the nomination is being made, would be in compliance, if elected as a Director, and will comply with, Applicable Law and corporate governance, conflict of interest, confidentiality and share ownership and trading policies and guidelines of the Company that are applicable to Directors generally; and</w:t>
      </w:r>
    </w:p>
    <w:p>
      <w:pPr>
        <w:spacing w:after="0" w:line="81" w:lineRule="exact"/>
        <w:rPr>
          <w:rFonts w:ascii="Times New Roman" w:cs="Times New Roman" w:eastAsia="Times New Roman" w:hAnsi="Times New Roman"/>
          <w:sz w:val="18"/>
          <w:szCs w:val="18"/>
          <w:color w:val="auto"/>
        </w:rPr>
      </w:pPr>
    </w:p>
    <w:p>
      <w:pPr>
        <w:ind w:left="960" w:right="20" w:hanging="532"/>
        <w:spacing w:after="0" w:line="256"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as a Director, will act in the best interests of the Company and not in the interest of any individual constituency. The Nominating and Corporate Governance Committee shall review all such information submitted by the Member with respect to the proposed nominee and determine whether such nominee is eligible to act as a Director. The Company and the Nominating and Corporate Governance Committee may require any proposed nominee to furnish such other information as may reasonably be required by the Company to determine the eligibility of such proposed nominee to serve as an independent Director or that could be material to a reasonable Member’s understanding of the independence, or lack thereof, of such nominee.</w:t>
      </w:r>
    </w:p>
    <w:p>
      <w:pPr>
        <w:spacing w:after="0" w:line="93" w:lineRule="exact"/>
        <w:rPr>
          <w:sz w:val="20"/>
          <w:szCs w:val="20"/>
          <w:color w:val="auto"/>
        </w:rPr>
      </w:pPr>
    </w:p>
    <w:p>
      <w:pPr>
        <w:ind w:left="420" w:right="20" w:hanging="431"/>
        <w:spacing w:after="0" w:line="282" w:lineRule="auto"/>
        <w:rPr>
          <w:sz w:val="20"/>
          <w:szCs w:val="20"/>
          <w:color w:val="auto"/>
        </w:rPr>
      </w:pPr>
      <w:r>
        <w:rPr>
          <w:rFonts w:ascii="Times New Roman" w:cs="Times New Roman" w:eastAsia="Times New Roman" w:hAnsi="Times New Roman"/>
          <w:sz w:val="18"/>
          <w:szCs w:val="18"/>
          <w:color w:val="auto"/>
        </w:rPr>
        <w:t>29.8 At the request of the Directors, any person nominated for election as a Director shall furnish to the Company the information that is required to be set forth in a Members’ notice of nomination pursuant to this Article.</w:t>
      </w:r>
    </w:p>
    <w:p>
      <w:pPr>
        <w:spacing w:after="0" w:line="67" w:lineRule="exact"/>
        <w:rPr>
          <w:sz w:val="20"/>
          <w:szCs w:val="20"/>
          <w:color w:val="auto"/>
        </w:rPr>
      </w:pPr>
    </w:p>
    <w:p>
      <w:pPr>
        <w:ind w:left="420" w:right="20" w:hanging="431"/>
        <w:spacing w:after="0" w:line="261" w:lineRule="auto"/>
        <w:rPr>
          <w:sz w:val="20"/>
          <w:szCs w:val="20"/>
          <w:color w:val="auto"/>
        </w:rPr>
      </w:pPr>
      <w:r>
        <w:rPr>
          <w:rFonts w:ascii="Times New Roman" w:cs="Times New Roman" w:eastAsia="Times New Roman" w:hAnsi="Times New Roman"/>
          <w:sz w:val="18"/>
          <w:szCs w:val="18"/>
          <w:color w:val="auto"/>
        </w:rPr>
        <w:t>29.9 Any Member proposing to nominate a person or persons for election as Director shall be responsible for, and bear the costs associated with, soliciting votes from any other voting Member and distributing materials to such Members prior to the annual general meeting in accordance with the Articles and applicable rules of the Securities and Exchange Commission. A Member shall include any person or persons such Member intends to nominate for election as Director in its own proxy statement and proxy card.</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30</w:t>
        <w:tab/>
        <w:t>Powers of Directors</w:t>
      </w:r>
    </w:p>
    <w:p>
      <w:pPr>
        <w:spacing w:after="0" w:line="135" w:lineRule="exact"/>
        <w:rPr>
          <w:sz w:val="20"/>
          <w:szCs w:val="20"/>
          <w:color w:val="auto"/>
        </w:rPr>
      </w:pPr>
    </w:p>
    <w:p>
      <w:pPr>
        <w:jc w:val="both"/>
        <w:ind w:left="420" w:right="80" w:hanging="431"/>
        <w:spacing w:after="0" w:line="281" w:lineRule="auto"/>
        <w:rPr>
          <w:sz w:val="20"/>
          <w:szCs w:val="20"/>
          <w:color w:val="auto"/>
        </w:rPr>
      </w:pPr>
      <w:r>
        <w:rPr>
          <w:rFonts w:ascii="Times New Roman" w:cs="Times New Roman" w:eastAsia="Times New Roman" w:hAnsi="Times New Roman"/>
          <w:sz w:val="17"/>
          <w:szCs w:val="17"/>
          <w:color w:val="auto"/>
        </w:rPr>
        <w:t>30.1 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70" w:lineRule="exact"/>
        <w:rPr>
          <w:sz w:val="20"/>
          <w:szCs w:val="20"/>
          <w:color w:val="auto"/>
        </w:rPr>
      </w:pPr>
    </w:p>
    <w:p>
      <w:pPr>
        <w:ind w:left="420" w:right="20" w:hanging="431"/>
        <w:spacing w:after="0" w:line="266" w:lineRule="auto"/>
        <w:rPr>
          <w:sz w:val="20"/>
          <w:szCs w:val="20"/>
          <w:color w:val="auto"/>
        </w:rPr>
      </w:pPr>
      <w:r>
        <w:rPr>
          <w:rFonts w:ascii="Times New Roman" w:cs="Times New Roman" w:eastAsia="Times New Roman" w:hAnsi="Times New Roman"/>
          <w:sz w:val="18"/>
          <w:szCs w:val="18"/>
          <w:color w:val="auto"/>
        </w:rPr>
        <w:t>30.2 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30.3 The Directors on behalf of the Company may pay a gratuity or pension or allowance on retirement to any Director who has held any other salaried</w:t>
      </w:r>
    </w:p>
    <w:p>
      <w:pPr>
        <w:spacing w:after="0" w:line="27" w:lineRule="exact"/>
        <w:rPr>
          <w:sz w:val="20"/>
          <w:szCs w:val="20"/>
          <w:color w:val="auto"/>
        </w:rPr>
      </w:pPr>
    </w:p>
    <w:p>
      <w:pPr>
        <w:ind w:left="420" w:right="420"/>
        <w:spacing w:after="0" w:line="260" w:lineRule="auto"/>
        <w:rPr>
          <w:sz w:val="20"/>
          <w:szCs w:val="20"/>
          <w:color w:val="auto"/>
        </w:rPr>
      </w:pPr>
      <w:r>
        <w:rPr>
          <w:rFonts w:ascii="Times New Roman" w:cs="Times New Roman" w:eastAsia="Times New Roman" w:hAnsi="Times New Roman"/>
          <w:sz w:val="18"/>
          <w:szCs w:val="18"/>
          <w:color w:val="auto"/>
        </w:rPr>
        <w:t>office or place of profit with the Company or to his widow or dependants and may make contributions to any fund and pay premiums for the purchase or provision of any such gratuity, pension or allowance.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78" w:name="page79"/>
    <w:bookmarkEnd w:id="78"/>
    <w:p>
      <w:pPr>
        <w:ind w:left="424" w:right="16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30.4 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31</w:t>
        <w:tab/>
        <w:t>Appointment and Removal of Directors</w:t>
      </w:r>
    </w:p>
    <w:p>
      <w:pPr>
        <w:spacing w:after="0" w:line="135" w:lineRule="exact"/>
        <w:rPr>
          <w:sz w:val="20"/>
          <w:szCs w:val="20"/>
          <w:color w:val="auto"/>
        </w:rPr>
      </w:pPr>
    </w:p>
    <w:p>
      <w:pPr>
        <w:jc w:val="both"/>
        <w:ind w:left="424" w:right="20" w:hanging="431"/>
        <w:spacing w:after="0" w:line="266" w:lineRule="auto"/>
        <w:rPr>
          <w:sz w:val="20"/>
          <w:szCs w:val="20"/>
          <w:color w:val="auto"/>
        </w:rPr>
      </w:pPr>
      <w:r>
        <w:rPr>
          <w:rFonts w:ascii="Times New Roman" w:cs="Times New Roman" w:eastAsia="Times New Roman" w:hAnsi="Times New Roman"/>
          <w:sz w:val="18"/>
          <w:szCs w:val="18"/>
          <w:color w:val="auto"/>
        </w:rPr>
        <w:t>31.1 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81"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31.2 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67" w:lineRule="exact"/>
        <w:rPr>
          <w:sz w:val="20"/>
          <w:szCs w:val="20"/>
          <w:color w:val="auto"/>
        </w:rPr>
      </w:pPr>
    </w:p>
    <w:p>
      <w:pPr>
        <w:ind w:left="424" w:right="160" w:hanging="431"/>
        <w:spacing w:after="0" w:line="282" w:lineRule="auto"/>
        <w:rPr>
          <w:sz w:val="20"/>
          <w:szCs w:val="20"/>
          <w:color w:val="auto"/>
        </w:rPr>
      </w:pPr>
      <w:r>
        <w:rPr>
          <w:rFonts w:ascii="Times New Roman" w:cs="Times New Roman" w:eastAsia="Times New Roman" w:hAnsi="Times New Roman"/>
          <w:sz w:val="18"/>
          <w:szCs w:val="18"/>
          <w:color w:val="auto"/>
        </w:rPr>
        <w:t>31.3 After the closing of a Business Combination, the Company may by Ordinary Resolution appoint any person to be a Director or may by Ordinary Resolution remove any Director.</w:t>
      </w:r>
    </w:p>
    <w:p>
      <w:pPr>
        <w:spacing w:after="0" w:line="67" w:lineRule="exact"/>
        <w:rPr>
          <w:sz w:val="20"/>
          <w:szCs w:val="20"/>
          <w:color w:val="auto"/>
        </w:rPr>
      </w:pPr>
    </w:p>
    <w:p>
      <w:pPr>
        <w:ind w:left="424" w:right="160" w:hanging="431"/>
        <w:spacing w:after="0" w:line="266" w:lineRule="auto"/>
        <w:rPr>
          <w:sz w:val="20"/>
          <w:szCs w:val="20"/>
          <w:color w:val="auto"/>
        </w:rPr>
      </w:pPr>
      <w:r>
        <w:rPr>
          <w:rFonts w:ascii="Times New Roman" w:cs="Times New Roman" w:eastAsia="Times New Roman" w:hAnsi="Times New Roman"/>
          <w:sz w:val="18"/>
          <w:szCs w:val="18"/>
          <w:color w:val="auto"/>
        </w:rPr>
        <w:t>31.4 Prior to the closing of a Business Combination, Article 31.1 may only be amended by a Special Resolution passed by at least 90 per cent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320" w:lineRule="exact"/>
        <w:rPr>
          <w:sz w:val="20"/>
          <w:szCs w:val="20"/>
          <w:color w:val="auto"/>
        </w:rPr>
      </w:pPr>
    </w:p>
    <w:p>
      <w:pPr>
        <w:ind w:left="424" w:hanging="424"/>
        <w:spacing w:after="0"/>
        <w:tabs>
          <w:tab w:leader="none" w:pos="42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130"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79" w:name="page80"/>
    <w:bookmarkEnd w:id="79"/>
    <w:p>
      <w:pPr>
        <w:ind w:left="960" w:right="220" w:hanging="532"/>
        <w:spacing w:after="0" w:line="266"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of the other Directors (being not less than two in number) determine that he should be removed as a Director for Cause (and not otherwise), either by a resolution passed by all of the other Directors at a meeting of the Directors duly convened and held in accordance with the Articles or by a resolution in writing signed by all of the other Directors.</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33</w:t>
        <w:tab/>
        <w:t>Proceedings of Directors</w:t>
      </w:r>
    </w:p>
    <w:p>
      <w:pPr>
        <w:spacing w:after="0" w:line="135" w:lineRule="exact"/>
        <w:rPr>
          <w:sz w:val="20"/>
          <w:szCs w:val="20"/>
          <w:color w:val="auto"/>
        </w:rPr>
      </w:pPr>
    </w:p>
    <w:p>
      <w:pPr>
        <w:ind w:left="420" w:right="580" w:hanging="431"/>
        <w:spacing w:after="0" w:line="282" w:lineRule="auto"/>
        <w:rPr>
          <w:sz w:val="20"/>
          <w:szCs w:val="20"/>
          <w:color w:val="auto"/>
        </w:rPr>
      </w:pPr>
      <w:r>
        <w:rPr>
          <w:rFonts w:ascii="Times New Roman" w:cs="Times New Roman" w:eastAsia="Times New Roman" w:hAnsi="Times New Roman"/>
          <w:sz w:val="18"/>
          <w:szCs w:val="18"/>
          <w:color w:val="auto"/>
        </w:rPr>
        <w:t>33.1 The quorum for the transaction of the business of the Directors may be fixed by the Directors, and unless so fixed shall be a majority of the Directors then in office.</w:t>
      </w:r>
    </w:p>
    <w:p>
      <w:pPr>
        <w:spacing w:after="0" w:line="67" w:lineRule="exact"/>
        <w:rPr>
          <w:sz w:val="20"/>
          <w:szCs w:val="20"/>
          <w:color w:val="auto"/>
        </w:rPr>
      </w:pPr>
    </w:p>
    <w:p>
      <w:pPr>
        <w:ind w:left="420" w:right="220" w:hanging="431"/>
        <w:spacing w:after="0" w:line="282" w:lineRule="auto"/>
        <w:rPr>
          <w:sz w:val="20"/>
          <w:szCs w:val="20"/>
          <w:color w:val="auto"/>
        </w:rPr>
      </w:pPr>
      <w:r>
        <w:rPr>
          <w:rFonts w:ascii="Times New Roman" w:cs="Times New Roman" w:eastAsia="Times New Roman" w:hAnsi="Times New Roman"/>
          <w:sz w:val="18"/>
          <w:szCs w:val="18"/>
          <w:color w:val="auto"/>
        </w:rPr>
        <w:t>33.2 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67" w:lineRule="exact"/>
        <w:rPr>
          <w:sz w:val="20"/>
          <w:szCs w:val="20"/>
          <w:color w:val="auto"/>
        </w:rPr>
      </w:pPr>
    </w:p>
    <w:p>
      <w:pPr>
        <w:ind w:left="420" w:hanging="431"/>
        <w:spacing w:after="0" w:line="261" w:lineRule="auto"/>
        <w:rPr>
          <w:sz w:val="20"/>
          <w:szCs w:val="20"/>
          <w:color w:val="auto"/>
        </w:rPr>
      </w:pPr>
      <w:r>
        <w:rPr>
          <w:rFonts w:ascii="Times New Roman" w:cs="Times New Roman" w:eastAsia="Times New Roman" w:hAnsi="Times New Roman"/>
          <w:sz w:val="18"/>
          <w:szCs w:val="18"/>
          <w:color w:val="auto"/>
        </w:rPr>
        <w:t>33.3 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33.4 A resolution in writing (in one or more counterparts) signed by all the Directors or all the members of a committee of the Directors or, in the case</w:t>
      </w:r>
    </w:p>
    <w:p>
      <w:pPr>
        <w:spacing w:after="0" w:line="27" w:lineRule="exact"/>
        <w:rPr>
          <w:sz w:val="20"/>
          <w:szCs w:val="20"/>
          <w:color w:val="auto"/>
        </w:rPr>
      </w:pPr>
    </w:p>
    <w:p>
      <w:pPr>
        <w:ind w:left="420" w:right="100"/>
        <w:spacing w:after="0" w:line="255" w:lineRule="auto"/>
        <w:rPr>
          <w:sz w:val="20"/>
          <w:szCs w:val="20"/>
          <w:color w:val="auto"/>
        </w:rPr>
      </w:pPr>
      <w:r>
        <w:rPr>
          <w:rFonts w:ascii="Times New Roman" w:cs="Times New Roman" w:eastAsia="Times New Roman" w:hAnsi="Times New Roman"/>
          <w:sz w:val="18"/>
          <w:szCs w:val="18"/>
          <w:color w:val="auto"/>
        </w:rPr>
        <w:t>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91" w:lineRule="exact"/>
        <w:rPr>
          <w:sz w:val="20"/>
          <w:szCs w:val="20"/>
          <w:color w:val="auto"/>
        </w:rPr>
      </w:pPr>
    </w:p>
    <w:p>
      <w:pPr>
        <w:ind w:left="420" w:hanging="431"/>
        <w:spacing w:after="0" w:line="261" w:lineRule="auto"/>
        <w:rPr>
          <w:sz w:val="20"/>
          <w:szCs w:val="20"/>
          <w:color w:val="auto"/>
        </w:rPr>
      </w:pPr>
      <w:r>
        <w:rPr>
          <w:rFonts w:ascii="Times New Roman" w:cs="Times New Roman" w:eastAsia="Times New Roman" w:hAnsi="Times New Roman"/>
          <w:sz w:val="18"/>
          <w:szCs w:val="18"/>
          <w:color w:val="auto"/>
        </w:rPr>
        <w:t xml:space="preserve">33.5 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85" w:lineRule="exact"/>
        <w:rPr>
          <w:sz w:val="20"/>
          <w:szCs w:val="20"/>
          <w:color w:val="auto"/>
        </w:rPr>
      </w:pPr>
    </w:p>
    <w:p>
      <w:pPr>
        <w:ind w:left="420" w:right="80" w:hanging="431"/>
        <w:spacing w:after="0" w:line="261" w:lineRule="auto"/>
        <w:rPr>
          <w:sz w:val="20"/>
          <w:szCs w:val="20"/>
          <w:color w:val="auto"/>
        </w:rPr>
      </w:pPr>
      <w:r>
        <w:rPr>
          <w:rFonts w:ascii="Times New Roman" w:cs="Times New Roman" w:eastAsia="Times New Roman" w:hAnsi="Times New Roman"/>
          <w:sz w:val="18"/>
          <w:szCs w:val="18"/>
          <w:color w:val="auto"/>
        </w:rPr>
        <w:t>33.6 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85" w:lineRule="exact"/>
        <w:rPr>
          <w:sz w:val="20"/>
          <w:szCs w:val="20"/>
          <w:color w:val="auto"/>
        </w:rPr>
      </w:pPr>
    </w:p>
    <w:p>
      <w:pPr>
        <w:ind w:left="420" w:right="120" w:hanging="431"/>
        <w:spacing w:after="0" w:line="266" w:lineRule="auto"/>
        <w:rPr>
          <w:sz w:val="20"/>
          <w:szCs w:val="20"/>
          <w:color w:val="auto"/>
        </w:rPr>
      </w:pPr>
      <w:r>
        <w:rPr>
          <w:rFonts w:ascii="Times New Roman" w:cs="Times New Roman" w:eastAsia="Times New Roman" w:hAnsi="Times New Roman"/>
          <w:sz w:val="18"/>
          <w:szCs w:val="18"/>
          <w:color w:val="auto"/>
        </w:rPr>
        <w:t>33.7 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80" w:name="page81"/>
    <w:bookmarkEnd w:id="80"/>
    <w:p>
      <w:pPr>
        <w:ind w:left="424" w:right="80" w:hanging="43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33.8 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85" w:lineRule="exact"/>
        <w:rPr>
          <w:sz w:val="20"/>
          <w:szCs w:val="20"/>
          <w:color w:val="auto"/>
        </w:rPr>
      </w:pPr>
    </w:p>
    <w:p>
      <w:pPr>
        <w:ind w:left="424" w:right="240" w:hanging="431"/>
        <w:spacing w:after="0" w:line="282" w:lineRule="auto"/>
        <w:rPr>
          <w:sz w:val="20"/>
          <w:szCs w:val="20"/>
          <w:color w:val="auto"/>
        </w:rPr>
      </w:pPr>
      <w:r>
        <w:rPr>
          <w:rFonts w:ascii="Times New Roman" w:cs="Times New Roman" w:eastAsia="Times New Roman" w:hAnsi="Times New Roman"/>
          <w:sz w:val="18"/>
          <w:szCs w:val="18"/>
          <w:color w:val="auto"/>
        </w:rPr>
        <w:t>33.9 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306" w:lineRule="exact"/>
        <w:rPr>
          <w:sz w:val="20"/>
          <w:szCs w:val="20"/>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w:t>
      </w:r>
    </w:p>
    <w:p>
      <w:pPr>
        <w:spacing w:after="0" w:line="135" w:lineRule="exact"/>
        <w:rPr>
          <w:sz w:val="20"/>
          <w:szCs w:val="20"/>
          <w:color w:val="auto"/>
        </w:rPr>
      </w:pPr>
    </w:p>
    <w:p>
      <w:pPr>
        <w:ind w:left="424" w:right="420" w:hanging="431"/>
        <w:spacing w:after="0" w:line="282" w:lineRule="auto"/>
        <w:rPr>
          <w:sz w:val="20"/>
          <w:szCs w:val="20"/>
          <w:color w:val="auto"/>
        </w:rPr>
      </w:pPr>
      <w:r>
        <w:rPr>
          <w:rFonts w:ascii="Times New Roman" w:cs="Times New Roman" w:eastAsia="Times New Roman" w:hAnsi="Times New Roman"/>
          <w:sz w:val="18"/>
          <w:szCs w:val="18"/>
          <w:color w:val="auto"/>
        </w:rPr>
        <w:t>35.1 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67" w:lineRule="exact"/>
        <w:rPr>
          <w:sz w:val="20"/>
          <w:szCs w:val="20"/>
          <w:color w:val="auto"/>
        </w:rPr>
      </w:pPr>
    </w:p>
    <w:p>
      <w:pPr>
        <w:ind w:left="424" w:right="560" w:hanging="431"/>
        <w:spacing w:after="0" w:line="282" w:lineRule="auto"/>
        <w:rPr>
          <w:sz w:val="20"/>
          <w:szCs w:val="20"/>
          <w:color w:val="auto"/>
        </w:rPr>
      </w:pPr>
      <w:r>
        <w:rPr>
          <w:rFonts w:ascii="Times New Roman" w:cs="Times New Roman" w:eastAsia="Times New Roman" w:hAnsi="Times New Roman"/>
          <w:sz w:val="18"/>
          <w:szCs w:val="18"/>
          <w:color w:val="auto"/>
        </w:rPr>
        <w:t>35.2 A Director may act by himself or by, through or on behalf of his firm in a professional capacity for the Company and he or his firm shall be entitled to remuneration for professional services as if he were not a Director.</w:t>
      </w:r>
    </w:p>
    <w:p>
      <w:pPr>
        <w:spacing w:after="0" w:line="67" w:lineRule="exact"/>
        <w:rPr>
          <w:sz w:val="20"/>
          <w:szCs w:val="20"/>
          <w:color w:val="auto"/>
        </w:rPr>
      </w:pPr>
    </w:p>
    <w:p>
      <w:pPr>
        <w:ind w:left="424" w:right="160" w:hanging="431"/>
        <w:spacing w:after="0" w:line="266" w:lineRule="auto"/>
        <w:rPr>
          <w:sz w:val="20"/>
          <w:szCs w:val="20"/>
          <w:color w:val="auto"/>
        </w:rPr>
      </w:pPr>
      <w:r>
        <w:rPr>
          <w:rFonts w:ascii="Times New Roman" w:cs="Times New Roman" w:eastAsia="Times New Roman" w:hAnsi="Times New Roman"/>
          <w:sz w:val="18"/>
          <w:szCs w:val="18"/>
          <w:color w:val="auto"/>
        </w:rPr>
        <w:t>35.3 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81" w:lineRule="exact"/>
        <w:rPr>
          <w:sz w:val="20"/>
          <w:szCs w:val="20"/>
          <w:color w:val="auto"/>
        </w:rPr>
      </w:pPr>
    </w:p>
    <w:p>
      <w:pPr>
        <w:ind w:left="424" w:hanging="431"/>
        <w:spacing w:after="0" w:line="255" w:lineRule="auto"/>
        <w:rPr>
          <w:sz w:val="20"/>
          <w:szCs w:val="20"/>
          <w:color w:val="auto"/>
        </w:rPr>
      </w:pPr>
      <w:r>
        <w:rPr>
          <w:rFonts w:ascii="Times New Roman" w:cs="Times New Roman" w:eastAsia="Times New Roman" w:hAnsi="Times New Roman"/>
          <w:sz w:val="18"/>
          <w:szCs w:val="18"/>
          <w:color w:val="auto"/>
        </w:rPr>
        <w:t>35.4 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81" w:name="page82"/>
    <w:bookmarkEnd w:id="81"/>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35.5 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324"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135" w:lineRule="exact"/>
        <w:rPr>
          <w:sz w:val="20"/>
          <w:szCs w:val="20"/>
          <w:color w:val="auto"/>
        </w:rPr>
      </w:pPr>
    </w:p>
    <w:p>
      <w:pPr>
        <w:ind w:left="424" w:right="60" w:hanging="431"/>
        <w:spacing w:after="0" w:line="256" w:lineRule="auto"/>
        <w:rPr>
          <w:sz w:val="20"/>
          <w:szCs w:val="20"/>
          <w:color w:val="auto"/>
        </w:rPr>
      </w:pPr>
      <w:r>
        <w:rPr>
          <w:rFonts w:ascii="Times New Roman" w:cs="Times New Roman" w:eastAsia="Times New Roman" w:hAnsi="Times New Roman"/>
          <w:sz w:val="18"/>
          <w:szCs w:val="18"/>
          <w:color w:val="auto"/>
        </w:rPr>
        <w:t>37.1 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93"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37.2 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9" w:lineRule="exact"/>
        <w:rPr>
          <w:sz w:val="20"/>
          <w:szCs w:val="20"/>
          <w:color w:val="auto"/>
        </w:rPr>
      </w:pPr>
    </w:p>
    <w:p>
      <w:pPr>
        <w:ind w:left="424" w:right="140" w:hanging="431"/>
        <w:spacing w:after="0" w:line="255" w:lineRule="auto"/>
        <w:rPr>
          <w:sz w:val="20"/>
          <w:szCs w:val="20"/>
          <w:color w:val="auto"/>
        </w:rPr>
      </w:pPr>
      <w:r>
        <w:rPr>
          <w:rFonts w:ascii="Times New Roman" w:cs="Times New Roman" w:eastAsia="Times New Roman" w:hAnsi="Times New Roman"/>
          <w:sz w:val="18"/>
          <w:szCs w:val="18"/>
          <w:color w:val="auto"/>
        </w:rPr>
        <w:t>37.3 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4"/>
          </w:cols>
          <w:pgMar w:left="436" w:top="270" w:right="519" w:bottom="1440" w:gutter="0" w:footer="0" w:header="0"/>
        </w:sectPr>
      </w:pPr>
    </w:p>
    <w:bookmarkStart w:id="82" w:name="page83"/>
    <w:bookmarkEnd w:id="82"/>
    <w:p>
      <w:pPr>
        <w:ind w:left="424" w:right="12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37.4 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67" w:lineRule="exact"/>
        <w:rPr>
          <w:sz w:val="20"/>
          <w:szCs w:val="20"/>
          <w:color w:val="auto"/>
        </w:rPr>
      </w:pPr>
    </w:p>
    <w:p>
      <w:pPr>
        <w:ind w:left="424" w:right="100" w:hanging="431"/>
        <w:spacing w:after="0" w:line="256" w:lineRule="auto"/>
        <w:rPr>
          <w:sz w:val="20"/>
          <w:szCs w:val="20"/>
          <w:color w:val="auto"/>
        </w:rPr>
      </w:pPr>
      <w:r>
        <w:rPr>
          <w:rFonts w:ascii="Times New Roman" w:cs="Times New Roman" w:eastAsia="Times New Roman" w:hAnsi="Times New Roman"/>
          <w:sz w:val="18"/>
          <w:szCs w:val="18"/>
          <w:color w:val="auto"/>
        </w:rPr>
        <w:t>37.5 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93"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37.6 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324"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121" w:lineRule="exact"/>
        <w:rPr>
          <w:rFonts w:ascii="Times New Roman" w:cs="Times New Roman" w:eastAsia="Times New Roman" w:hAnsi="Times New Roman"/>
          <w:sz w:val="18"/>
          <w:szCs w:val="18"/>
          <w:b w:val="1"/>
          <w:bCs w:val="1"/>
          <w:color w:val="auto"/>
        </w:rPr>
      </w:pPr>
    </w:p>
    <w:p>
      <w:pPr>
        <w:ind w:left="444"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135" w:lineRule="exact"/>
        <w:rPr>
          <w:sz w:val="20"/>
          <w:szCs w:val="20"/>
          <w:color w:val="auto"/>
        </w:rPr>
      </w:pPr>
    </w:p>
    <w:p>
      <w:pPr>
        <w:ind w:left="424" w:right="40" w:hanging="431"/>
        <w:spacing w:after="0" w:line="255" w:lineRule="auto"/>
        <w:rPr>
          <w:sz w:val="20"/>
          <w:szCs w:val="20"/>
          <w:color w:val="auto"/>
        </w:rPr>
      </w:pPr>
      <w:r>
        <w:rPr>
          <w:rFonts w:ascii="Times New Roman" w:cs="Times New Roman" w:eastAsia="Times New Roman" w:hAnsi="Times New Roman"/>
          <w:sz w:val="18"/>
          <w:szCs w:val="18"/>
          <w:color w:val="auto"/>
        </w:rPr>
        <w:t>39.1 The remuneration to be paid to the Directors, if any, shall be such remuneration as the Directors shall determine, provided that no cash remuneration shall be paid to any Director by the Company prior to the 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83" w:name="page84"/>
    <w:bookmarkEnd w:id="83"/>
    <w:p>
      <w:pPr>
        <w:ind w:left="420" w:right="2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39.2 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40</w:t>
        <w:tab/>
        <w:t>Seal</w:t>
      </w:r>
    </w:p>
    <w:p>
      <w:pPr>
        <w:spacing w:after="0" w:line="135" w:lineRule="exact"/>
        <w:rPr>
          <w:sz w:val="20"/>
          <w:szCs w:val="20"/>
          <w:color w:val="auto"/>
        </w:rPr>
      </w:pPr>
    </w:p>
    <w:p>
      <w:pPr>
        <w:jc w:val="both"/>
        <w:ind w:left="420" w:right="120" w:hanging="431"/>
        <w:spacing w:after="0" w:line="266" w:lineRule="auto"/>
        <w:rPr>
          <w:sz w:val="20"/>
          <w:szCs w:val="20"/>
          <w:color w:val="auto"/>
        </w:rPr>
      </w:pPr>
      <w:r>
        <w:rPr>
          <w:rFonts w:ascii="Times New Roman" w:cs="Times New Roman" w:eastAsia="Times New Roman" w:hAnsi="Times New Roman"/>
          <w:sz w:val="18"/>
          <w:szCs w:val="18"/>
          <w:color w:val="auto"/>
        </w:rPr>
        <w:t>40.1 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81" w:lineRule="exact"/>
        <w:rPr>
          <w:sz w:val="20"/>
          <w:szCs w:val="20"/>
          <w:color w:val="auto"/>
        </w:rPr>
      </w:pPr>
    </w:p>
    <w:p>
      <w:pPr>
        <w:ind w:left="420" w:hanging="431"/>
        <w:spacing w:after="0" w:line="282" w:lineRule="auto"/>
        <w:rPr>
          <w:sz w:val="20"/>
          <w:szCs w:val="20"/>
          <w:color w:val="auto"/>
        </w:rPr>
      </w:pPr>
      <w:r>
        <w:rPr>
          <w:rFonts w:ascii="Times New Roman" w:cs="Times New Roman" w:eastAsia="Times New Roman" w:hAnsi="Times New Roman"/>
          <w:sz w:val="18"/>
          <w:szCs w:val="18"/>
          <w:color w:val="auto"/>
        </w:rPr>
        <w:t>40.2 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67" w:lineRule="exact"/>
        <w:rPr>
          <w:sz w:val="20"/>
          <w:szCs w:val="20"/>
          <w:color w:val="auto"/>
        </w:rPr>
      </w:pPr>
    </w:p>
    <w:p>
      <w:pPr>
        <w:ind w:left="420" w:right="240" w:hanging="431"/>
        <w:spacing w:after="0" w:line="266" w:lineRule="auto"/>
        <w:rPr>
          <w:sz w:val="20"/>
          <w:szCs w:val="20"/>
          <w:color w:val="auto"/>
        </w:rPr>
      </w:pPr>
      <w:r>
        <w:rPr>
          <w:rFonts w:ascii="Times New Roman" w:cs="Times New Roman" w:eastAsia="Times New Roman" w:hAnsi="Times New Roman"/>
          <w:sz w:val="18"/>
          <w:szCs w:val="18"/>
          <w:color w:val="auto"/>
        </w:rPr>
        <w:t>40.3 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41</w:t>
        <w:tab/>
        <w:t>Dividends, Distributions and Reserve</w:t>
      </w:r>
    </w:p>
    <w:p>
      <w:pPr>
        <w:spacing w:after="0" w:line="135" w:lineRule="exact"/>
        <w:rPr>
          <w:sz w:val="20"/>
          <w:szCs w:val="20"/>
          <w:color w:val="auto"/>
        </w:rPr>
      </w:pPr>
    </w:p>
    <w:p>
      <w:pPr>
        <w:ind w:left="420" w:right="140" w:hanging="431"/>
        <w:spacing w:after="0" w:line="277" w:lineRule="auto"/>
        <w:rPr>
          <w:sz w:val="20"/>
          <w:szCs w:val="20"/>
          <w:color w:val="auto"/>
        </w:rPr>
      </w:pPr>
      <w:r>
        <w:rPr>
          <w:rFonts w:ascii="Times New Roman" w:cs="Times New Roman" w:eastAsia="Times New Roman" w:hAnsi="Times New Roman"/>
          <w:sz w:val="17"/>
          <w:szCs w:val="17"/>
          <w:color w:val="auto"/>
        </w:rPr>
        <w:t>41.1 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73" w:lineRule="exact"/>
        <w:rPr>
          <w:sz w:val="20"/>
          <w:szCs w:val="20"/>
          <w:color w:val="auto"/>
        </w:rPr>
      </w:pPr>
    </w:p>
    <w:p>
      <w:pPr>
        <w:jc w:val="both"/>
        <w:ind w:left="420" w:right="60" w:hanging="431"/>
        <w:spacing w:after="0" w:line="266" w:lineRule="auto"/>
        <w:rPr>
          <w:sz w:val="20"/>
          <w:szCs w:val="20"/>
          <w:color w:val="auto"/>
        </w:rPr>
      </w:pPr>
      <w:r>
        <w:rPr>
          <w:rFonts w:ascii="Times New Roman" w:cs="Times New Roman" w:eastAsia="Times New Roman" w:hAnsi="Times New Roman"/>
          <w:sz w:val="18"/>
          <w:szCs w:val="18"/>
          <w:color w:val="auto"/>
        </w:rPr>
        <w:t>41.2 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1" w:lineRule="exact"/>
        <w:rPr>
          <w:sz w:val="20"/>
          <w:szCs w:val="20"/>
          <w:color w:val="auto"/>
        </w:rPr>
      </w:pPr>
    </w:p>
    <w:p>
      <w:pPr>
        <w:ind w:left="420" w:right="140" w:hanging="431"/>
        <w:spacing w:after="0" w:line="282" w:lineRule="auto"/>
        <w:rPr>
          <w:sz w:val="20"/>
          <w:szCs w:val="20"/>
          <w:color w:val="auto"/>
        </w:rPr>
      </w:pPr>
      <w:r>
        <w:rPr>
          <w:rFonts w:ascii="Times New Roman" w:cs="Times New Roman" w:eastAsia="Times New Roman" w:hAnsi="Times New Roman"/>
          <w:sz w:val="18"/>
          <w:szCs w:val="18"/>
          <w:color w:val="auto"/>
        </w:rPr>
        <w:t>41.3 The Directors may deduct from any Dividend or other distribution payable to any Member all sums of money (if any) then payable by him to the Company on account of calls or otherwise.</w:t>
      </w:r>
    </w:p>
    <w:p>
      <w:pPr>
        <w:spacing w:after="0" w:line="67" w:lineRule="exact"/>
        <w:rPr>
          <w:sz w:val="20"/>
          <w:szCs w:val="20"/>
          <w:color w:val="auto"/>
        </w:rPr>
      </w:pPr>
    </w:p>
    <w:p>
      <w:pPr>
        <w:ind w:left="420" w:hanging="431"/>
        <w:spacing w:after="0" w:line="256" w:lineRule="auto"/>
        <w:rPr>
          <w:sz w:val="20"/>
          <w:szCs w:val="20"/>
          <w:color w:val="auto"/>
        </w:rPr>
      </w:pPr>
      <w:r>
        <w:rPr>
          <w:rFonts w:ascii="Times New Roman" w:cs="Times New Roman" w:eastAsia="Times New Roman" w:hAnsi="Times New Roman"/>
          <w:sz w:val="18"/>
          <w:szCs w:val="18"/>
          <w:color w:val="auto"/>
        </w:rPr>
        <w:t>41.4 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84" w:name="page85"/>
    <w:bookmarkEnd w:id="84"/>
    <w:p>
      <w:pPr>
        <w:ind w:left="424" w:right="18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41.5 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67" w:lineRule="exact"/>
        <w:rPr>
          <w:sz w:val="20"/>
          <w:szCs w:val="20"/>
          <w:color w:val="auto"/>
        </w:rPr>
      </w:pPr>
    </w:p>
    <w:p>
      <w:pPr>
        <w:ind w:left="424" w:right="160" w:hanging="431"/>
        <w:spacing w:after="0" w:line="266" w:lineRule="auto"/>
        <w:rPr>
          <w:sz w:val="20"/>
          <w:szCs w:val="20"/>
          <w:color w:val="auto"/>
        </w:rPr>
      </w:pPr>
      <w:r>
        <w:rPr>
          <w:rFonts w:ascii="Times New Roman" w:cs="Times New Roman" w:eastAsia="Times New Roman" w:hAnsi="Times New Roman"/>
          <w:sz w:val="18"/>
          <w:szCs w:val="18"/>
          <w:color w:val="auto"/>
        </w:rPr>
        <w:t>41.6 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1" w:lineRule="exact"/>
        <w:rPr>
          <w:sz w:val="20"/>
          <w:szCs w:val="20"/>
          <w:color w:val="auto"/>
        </w:rPr>
      </w:pPr>
    </w:p>
    <w:p>
      <w:pPr>
        <w:ind w:left="424" w:right="120" w:hanging="431"/>
        <w:spacing w:after="0" w:line="256" w:lineRule="auto"/>
        <w:rPr>
          <w:sz w:val="20"/>
          <w:szCs w:val="20"/>
          <w:color w:val="auto"/>
        </w:rPr>
      </w:pPr>
      <w:r>
        <w:rPr>
          <w:rFonts w:ascii="Times New Roman" w:cs="Times New Roman" w:eastAsia="Times New Roman" w:hAnsi="Times New Roman"/>
          <w:sz w:val="18"/>
          <w:szCs w:val="18"/>
          <w:color w:val="auto"/>
        </w:rPr>
        <w:t>41.7 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41.8 No Dividend or other distribution shall bear interest against the Company.</w:t>
      </w:r>
    </w:p>
    <w:p>
      <w:pPr>
        <w:spacing w:after="0" w:line="131"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41.9 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28" w:lineRule="exact"/>
        <w:rPr>
          <w:sz w:val="20"/>
          <w:szCs w:val="20"/>
          <w:color w:val="auto"/>
        </w:rPr>
      </w:pPr>
    </w:p>
    <w:p>
      <w:pPr>
        <w:ind w:left="424" w:hanging="424"/>
        <w:spacing w:after="0"/>
        <w:tabs>
          <w:tab w:leader="none" w:pos="424"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85" w:name="page86"/>
    <w:bookmarkEnd w:id="85"/>
    <w:p>
      <w:pPr>
        <w:ind w:left="44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43</w:t>
        <w:tab/>
        <w:t>Books of Account</w:t>
      </w:r>
    </w:p>
    <w:p>
      <w:pPr>
        <w:spacing w:after="0" w:line="135" w:lineRule="exact"/>
        <w:rPr>
          <w:sz w:val="20"/>
          <w:szCs w:val="20"/>
          <w:color w:val="auto"/>
        </w:rPr>
      </w:pPr>
    </w:p>
    <w:p>
      <w:pPr>
        <w:ind w:left="420" w:right="140" w:hanging="431"/>
        <w:spacing w:after="0" w:line="256" w:lineRule="auto"/>
        <w:rPr>
          <w:sz w:val="20"/>
          <w:szCs w:val="20"/>
          <w:color w:val="auto"/>
        </w:rPr>
      </w:pPr>
      <w:r>
        <w:rPr>
          <w:rFonts w:ascii="Times New Roman" w:cs="Times New Roman" w:eastAsia="Times New Roman" w:hAnsi="Times New Roman"/>
          <w:sz w:val="18"/>
          <w:szCs w:val="18"/>
          <w:color w:val="auto"/>
        </w:rPr>
        <w:t>43.1 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3" w:lineRule="exact"/>
        <w:rPr>
          <w:sz w:val="20"/>
          <w:szCs w:val="20"/>
          <w:color w:val="auto"/>
        </w:rPr>
      </w:pPr>
    </w:p>
    <w:p>
      <w:pPr>
        <w:jc w:val="both"/>
        <w:ind w:left="420" w:right="20" w:hanging="431"/>
        <w:spacing w:after="0" w:line="261" w:lineRule="auto"/>
        <w:rPr>
          <w:sz w:val="20"/>
          <w:szCs w:val="20"/>
          <w:color w:val="auto"/>
        </w:rPr>
      </w:pPr>
      <w:r>
        <w:rPr>
          <w:rFonts w:ascii="Times New Roman" w:cs="Times New Roman" w:eastAsia="Times New Roman" w:hAnsi="Times New Roman"/>
          <w:sz w:val="18"/>
          <w:szCs w:val="18"/>
          <w:color w:val="auto"/>
        </w:rPr>
        <w:t>43.2 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85" w:lineRule="exact"/>
        <w:rPr>
          <w:sz w:val="20"/>
          <w:szCs w:val="20"/>
          <w:color w:val="auto"/>
        </w:rPr>
      </w:pPr>
    </w:p>
    <w:p>
      <w:pPr>
        <w:ind w:left="420" w:right="340" w:hanging="431"/>
        <w:spacing w:after="0" w:line="282" w:lineRule="auto"/>
        <w:rPr>
          <w:sz w:val="20"/>
          <w:szCs w:val="20"/>
          <w:color w:val="auto"/>
        </w:rPr>
      </w:pPr>
      <w:r>
        <w:rPr>
          <w:rFonts w:ascii="Times New Roman" w:cs="Times New Roman" w:eastAsia="Times New Roman" w:hAnsi="Times New Roman"/>
          <w:sz w:val="18"/>
          <w:szCs w:val="18"/>
          <w:color w:val="auto"/>
        </w:rPr>
        <w:t>43.3 The Directors may cause to be prepared and to be laid before the Company in general meeting profit and loss accounts, balance sheets, group accounts (if any) and such other reports and accounts as may be required by law.</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44</w:t>
        <w:tab/>
        <w:t>Audit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 The Directors may appoint an Auditor of the Company who shall hold office on such terms as the Directors determine.</w:t>
      </w:r>
    </w:p>
    <w:p>
      <w:pPr>
        <w:spacing w:after="0" w:line="131" w:lineRule="exact"/>
        <w:rPr>
          <w:sz w:val="20"/>
          <w:szCs w:val="20"/>
          <w:color w:val="auto"/>
        </w:rPr>
      </w:pPr>
    </w:p>
    <w:p>
      <w:pPr>
        <w:ind w:left="420" w:hanging="431"/>
        <w:spacing w:after="0" w:line="254" w:lineRule="auto"/>
        <w:rPr>
          <w:sz w:val="20"/>
          <w:szCs w:val="20"/>
          <w:color w:val="auto"/>
        </w:rPr>
      </w:pPr>
      <w:r>
        <w:rPr>
          <w:rFonts w:ascii="Times New Roman" w:cs="Times New Roman" w:eastAsia="Times New Roman" w:hAnsi="Times New Roman"/>
          <w:sz w:val="18"/>
          <w:szCs w:val="18"/>
          <w:color w:val="auto"/>
        </w:rPr>
        <w:t>44.2 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 The Audit Committee shall meet at least once every financial quarter, or more frequently as circumstances dictate.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440" w:top="270" w:right="519" w:bottom="1440" w:gutter="0" w:footer="0" w:header="0"/>
        </w:sectPr>
      </w:pPr>
    </w:p>
    <w:bookmarkStart w:id="86" w:name="page87"/>
    <w:bookmarkEnd w:id="86"/>
    <w:p>
      <w:pPr>
        <w:ind w:left="42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44.3 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44.4 The remuneration of the Auditor shall be fixed by the Audit Committee (if one exists).</w:t>
      </w:r>
    </w:p>
    <w:p>
      <w:pPr>
        <w:spacing w:after="0" w:line="131" w:lineRule="exact"/>
        <w:rPr>
          <w:sz w:val="20"/>
          <w:szCs w:val="20"/>
          <w:color w:val="auto"/>
        </w:rPr>
      </w:pPr>
    </w:p>
    <w:p>
      <w:pPr>
        <w:ind w:left="420" w:right="20" w:hanging="431"/>
        <w:spacing w:after="0" w:line="282" w:lineRule="auto"/>
        <w:rPr>
          <w:sz w:val="20"/>
          <w:szCs w:val="20"/>
          <w:color w:val="auto"/>
        </w:rPr>
      </w:pPr>
      <w:r>
        <w:rPr>
          <w:rFonts w:ascii="Times New Roman" w:cs="Times New Roman" w:eastAsia="Times New Roman" w:hAnsi="Times New Roman"/>
          <w:sz w:val="18"/>
          <w:szCs w:val="18"/>
          <w:color w:val="auto"/>
        </w:rPr>
        <w:t>44.5 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67" w:lineRule="exact"/>
        <w:rPr>
          <w:sz w:val="20"/>
          <w:szCs w:val="20"/>
          <w:color w:val="auto"/>
        </w:rPr>
      </w:pPr>
    </w:p>
    <w:p>
      <w:pPr>
        <w:ind w:left="420" w:right="120" w:hanging="431"/>
        <w:spacing w:after="0" w:line="266" w:lineRule="auto"/>
        <w:rPr>
          <w:sz w:val="20"/>
          <w:szCs w:val="20"/>
          <w:color w:val="auto"/>
        </w:rPr>
      </w:pPr>
      <w:r>
        <w:rPr>
          <w:rFonts w:ascii="Times New Roman" w:cs="Times New Roman" w:eastAsia="Times New Roman" w:hAnsi="Times New Roman"/>
          <w:sz w:val="18"/>
          <w:szCs w:val="18"/>
          <w:color w:val="auto"/>
        </w:rPr>
        <w:t>44.6 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81" w:lineRule="exact"/>
        <w:rPr>
          <w:sz w:val="20"/>
          <w:szCs w:val="20"/>
          <w:color w:val="auto"/>
        </w:rPr>
      </w:pPr>
    </w:p>
    <w:p>
      <w:pPr>
        <w:ind w:left="420" w:right="200" w:hanging="431"/>
        <w:spacing w:after="0" w:line="258" w:lineRule="auto"/>
        <w:rPr>
          <w:sz w:val="20"/>
          <w:szCs w:val="20"/>
          <w:color w:val="auto"/>
        </w:rPr>
      </w:pPr>
      <w:r>
        <w:rPr>
          <w:rFonts w:ascii="Times New Roman" w:cs="Times New Roman" w:eastAsia="Times New Roman" w:hAnsi="Times New Roman"/>
          <w:sz w:val="18"/>
          <w:szCs w:val="18"/>
          <w:color w:val="auto"/>
        </w:rPr>
        <w:t>44.7 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45</w:t>
        <w:tab/>
        <w:t>Notices</w:t>
      </w:r>
    </w:p>
    <w:p>
      <w:pPr>
        <w:spacing w:after="0" w:line="135" w:lineRule="exact"/>
        <w:rPr>
          <w:sz w:val="20"/>
          <w:szCs w:val="20"/>
          <w:color w:val="auto"/>
        </w:rPr>
      </w:pPr>
    </w:p>
    <w:p>
      <w:pPr>
        <w:ind w:left="420" w:right="100" w:hanging="431"/>
        <w:spacing w:after="0" w:line="258" w:lineRule="auto"/>
        <w:rPr>
          <w:sz w:val="20"/>
          <w:szCs w:val="20"/>
          <w:color w:val="auto"/>
        </w:rPr>
      </w:pPr>
      <w:r>
        <w:rPr>
          <w:rFonts w:ascii="Times New Roman" w:cs="Times New Roman" w:eastAsia="Times New Roman" w:hAnsi="Times New Roman"/>
          <w:sz w:val="18"/>
          <w:szCs w:val="18"/>
          <w:color w:val="auto"/>
        </w:rPr>
        <w:t>45.1 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45.2 Where a notice is sent by:</w:t>
      </w:r>
    </w:p>
    <w:p>
      <w:pPr>
        <w:spacing w:after="0" w:line="131" w:lineRule="exact"/>
        <w:rPr>
          <w:sz w:val="20"/>
          <w:szCs w:val="20"/>
          <w:color w:val="auto"/>
        </w:rPr>
      </w:pPr>
    </w:p>
    <w:p>
      <w:pPr>
        <w:ind w:left="960" w:right="240" w:hanging="532"/>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1"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87" w:name="page88"/>
    <w:bookmarkEnd w:id="87"/>
    <w:p>
      <w:pPr>
        <w:ind w:left="960" w:hanging="532"/>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cable, telex or fax; service of the notice shall be deemed to be effected by properly addressing and sending such notice and shall be deemed to have been received on the same day that it was transmitted;</w:t>
      </w:r>
    </w:p>
    <w:p>
      <w:pPr>
        <w:spacing w:after="0" w:line="67"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81"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67" w:lineRule="exact"/>
        <w:rPr>
          <w:sz w:val="20"/>
          <w:szCs w:val="20"/>
          <w:color w:val="auto"/>
        </w:rPr>
      </w:pPr>
    </w:p>
    <w:p>
      <w:pPr>
        <w:ind w:left="420" w:right="120" w:hanging="431"/>
        <w:spacing w:after="0" w:line="258" w:lineRule="auto"/>
        <w:rPr>
          <w:sz w:val="20"/>
          <w:szCs w:val="20"/>
          <w:color w:val="auto"/>
        </w:rPr>
      </w:pPr>
      <w:r>
        <w:rPr>
          <w:rFonts w:ascii="Times New Roman" w:cs="Times New Roman" w:eastAsia="Times New Roman" w:hAnsi="Times New Roman"/>
          <w:sz w:val="18"/>
          <w:szCs w:val="18"/>
          <w:color w:val="auto"/>
        </w:rPr>
        <w:t>45.3 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9" w:lineRule="exact"/>
        <w:rPr>
          <w:sz w:val="20"/>
          <w:szCs w:val="20"/>
          <w:color w:val="auto"/>
        </w:rPr>
      </w:pPr>
    </w:p>
    <w:p>
      <w:pPr>
        <w:ind w:left="420" w:right="320" w:hanging="431"/>
        <w:spacing w:after="0" w:line="258" w:lineRule="auto"/>
        <w:rPr>
          <w:sz w:val="20"/>
          <w:szCs w:val="20"/>
          <w:color w:val="auto"/>
        </w:rPr>
      </w:pPr>
      <w:r>
        <w:rPr>
          <w:rFonts w:ascii="Times New Roman" w:cs="Times New Roman" w:eastAsia="Times New Roman" w:hAnsi="Times New Roman"/>
          <w:sz w:val="18"/>
          <w:szCs w:val="18"/>
          <w:color w:val="auto"/>
        </w:rPr>
        <w:t>45.4 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46</w:t>
        <w:tab/>
        <w:t>Winding Up</w:t>
      </w:r>
    </w:p>
    <w:p>
      <w:pPr>
        <w:spacing w:after="0" w:line="135" w:lineRule="exact"/>
        <w:rPr>
          <w:sz w:val="20"/>
          <w:szCs w:val="20"/>
          <w:color w:val="auto"/>
        </w:rPr>
      </w:pPr>
    </w:p>
    <w:p>
      <w:pPr>
        <w:ind w:left="420" w:right="360" w:hanging="431"/>
        <w:spacing w:after="0" w:line="282" w:lineRule="auto"/>
        <w:rPr>
          <w:sz w:val="20"/>
          <w:szCs w:val="20"/>
          <w:color w:val="auto"/>
        </w:rPr>
      </w:pPr>
      <w:r>
        <w:rPr>
          <w:rFonts w:ascii="Times New Roman" w:cs="Times New Roman" w:eastAsia="Times New Roman" w:hAnsi="Times New Roman"/>
          <w:sz w:val="18"/>
          <w:szCs w:val="18"/>
          <w:color w:val="auto"/>
        </w:rPr>
        <w:t>46.1 If the Company shall be wound up the liquidator shall apply the assets of the Company in satisfaction of creditors’ claims in such manner and order as such liquidator thinks fit. Subject to the rights attaching to any Shares, in a winding up:</w:t>
      </w:r>
    </w:p>
    <w:p>
      <w:pPr>
        <w:spacing w:after="0" w:line="67" w:lineRule="exact"/>
        <w:rPr>
          <w:sz w:val="20"/>
          <w:szCs w:val="20"/>
          <w:color w:val="auto"/>
        </w:rPr>
      </w:pPr>
    </w:p>
    <w:p>
      <w:pPr>
        <w:ind w:left="960" w:right="80" w:hanging="532"/>
        <w:spacing w:after="0" w:line="266"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61"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88" w:name="page89"/>
    <w:bookmarkEnd w:id="88"/>
    <w:p>
      <w:pPr>
        <w:ind w:left="420" w:right="60" w:hanging="43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46.2 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47</w:t>
        <w:tab/>
        <w:t>Indemnity and Insurance</w:t>
      </w:r>
    </w:p>
    <w:p>
      <w:pPr>
        <w:spacing w:after="0" w:line="135" w:lineRule="exact"/>
        <w:rPr>
          <w:sz w:val="20"/>
          <w:szCs w:val="20"/>
          <w:color w:val="auto"/>
        </w:rPr>
      </w:pPr>
    </w:p>
    <w:p>
      <w:pPr>
        <w:ind w:left="420" w:hanging="431"/>
        <w:spacing w:after="0" w:line="254" w:lineRule="auto"/>
        <w:rPr>
          <w:sz w:val="20"/>
          <w:szCs w:val="20"/>
          <w:color w:val="auto"/>
        </w:rPr>
      </w:pPr>
      <w:r>
        <w:rPr>
          <w:rFonts w:ascii="Times New Roman" w:cs="Times New Roman" w:eastAsia="Times New Roman" w:hAnsi="Times New Roman"/>
          <w:sz w:val="18"/>
          <w:szCs w:val="18"/>
          <w:color w:val="auto"/>
        </w:rPr>
        <w:t>47.1 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47.2 The Company shall advance to each Indemnified Person reasonable attorneys’ fees and other costs and expenses incurred in connection with the</w:t>
      </w:r>
    </w:p>
    <w:p>
      <w:pPr>
        <w:spacing w:after="0" w:line="27" w:lineRule="exact"/>
        <w:rPr>
          <w:sz w:val="20"/>
          <w:szCs w:val="20"/>
          <w:color w:val="auto"/>
        </w:rPr>
      </w:pPr>
    </w:p>
    <w:p>
      <w:pPr>
        <w:ind w:left="420"/>
        <w:spacing w:after="0" w:line="252" w:lineRule="auto"/>
        <w:rPr>
          <w:sz w:val="20"/>
          <w:szCs w:val="20"/>
          <w:color w:val="auto"/>
        </w:rPr>
      </w:pPr>
      <w:r>
        <w:rPr>
          <w:rFonts w:ascii="Times New Roman" w:cs="Times New Roman" w:eastAsia="Times New Roman" w:hAnsi="Times New Roman"/>
          <w:sz w:val="18"/>
          <w:szCs w:val="18"/>
          <w:color w:val="auto"/>
        </w:rPr>
        <w:t>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95" w:lineRule="exact"/>
        <w:rPr>
          <w:sz w:val="20"/>
          <w:szCs w:val="20"/>
          <w:color w:val="auto"/>
        </w:rPr>
      </w:pPr>
    </w:p>
    <w:p>
      <w:pPr>
        <w:ind w:left="420" w:right="180" w:hanging="431"/>
        <w:spacing w:after="0" w:line="266" w:lineRule="auto"/>
        <w:rPr>
          <w:sz w:val="20"/>
          <w:szCs w:val="20"/>
          <w:color w:val="auto"/>
        </w:rPr>
      </w:pPr>
      <w:r>
        <w:rPr>
          <w:rFonts w:ascii="Times New Roman" w:cs="Times New Roman" w:eastAsia="Times New Roman" w:hAnsi="Times New Roman"/>
          <w:sz w:val="18"/>
          <w:szCs w:val="18"/>
          <w:color w:val="auto"/>
        </w:rPr>
        <w:t>47.3 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89" w:name="page90"/>
    <w:bookmarkEnd w:id="89"/>
    <w:p>
      <w:pPr>
        <w:ind w:left="424" w:hanging="424"/>
        <w:spacing w:after="0"/>
        <w:tabs>
          <w:tab w:leader="none" w:pos="42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Year</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135" w:lineRule="exact"/>
        <w:rPr>
          <w:sz w:val="20"/>
          <w:szCs w:val="20"/>
          <w:color w:val="auto"/>
        </w:rPr>
      </w:pPr>
    </w:p>
    <w:p>
      <w:pPr>
        <w:ind w:left="424" w:right="40" w:hanging="431"/>
        <w:spacing w:after="0" w:line="258" w:lineRule="auto"/>
        <w:rPr>
          <w:sz w:val="20"/>
          <w:szCs w:val="20"/>
          <w:color w:val="auto"/>
        </w:rPr>
      </w:pPr>
      <w:r>
        <w:rPr>
          <w:rFonts w:ascii="Times New Roman" w:cs="Times New Roman" w:eastAsia="Times New Roman" w:hAnsi="Times New Roman"/>
          <w:sz w:val="18"/>
          <w:szCs w:val="18"/>
          <w:color w:val="auto"/>
        </w:rPr>
        <w:t>49.1 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 For the purposes of a Special Resolution to be passed pursuant to this Article, a holder of Class B Shares shall have ten votes for every Class B Share of which he is the holder and a holder of Class A Shares shall have one vote for every Class A Share of which he is the holder.</w:t>
      </w:r>
    </w:p>
    <w:p>
      <w:pPr>
        <w:spacing w:after="0" w:line="89" w:lineRule="exact"/>
        <w:rPr>
          <w:sz w:val="20"/>
          <w:szCs w:val="20"/>
          <w:color w:val="auto"/>
        </w:rPr>
      </w:pPr>
    </w:p>
    <w:p>
      <w:pPr>
        <w:ind w:left="424" w:right="160" w:hanging="431"/>
        <w:spacing w:after="0" w:line="282" w:lineRule="auto"/>
        <w:rPr>
          <w:sz w:val="20"/>
          <w:szCs w:val="20"/>
          <w:color w:val="auto"/>
        </w:rPr>
      </w:pPr>
      <w:r>
        <w:rPr>
          <w:rFonts w:ascii="Times New Roman" w:cs="Times New Roman" w:eastAsia="Times New Roman" w:hAnsi="Times New Roman"/>
          <w:sz w:val="18"/>
          <w:szCs w:val="18"/>
          <w:color w:val="auto"/>
        </w:rPr>
        <w:t>49.2 Prior to the closing a Business Combination, Article 49.1 may only be amended by a Special Resolution which shall include the affirmative vote of a simple majority of the Class B Shares.</w:t>
      </w:r>
    </w:p>
    <w:p>
      <w:pPr>
        <w:spacing w:after="0" w:line="306" w:lineRule="exact"/>
        <w:rPr>
          <w:sz w:val="20"/>
          <w:szCs w:val="20"/>
          <w:color w:val="auto"/>
        </w:rPr>
      </w:pPr>
    </w:p>
    <w:p>
      <w:pPr>
        <w:ind w:left="424" w:hanging="424"/>
        <w:spacing w:after="0"/>
        <w:tabs>
          <w:tab w:leader="none" w:pos="42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35" w:lineRule="exact"/>
        <w:rPr>
          <w:sz w:val="20"/>
          <w:szCs w:val="20"/>
          <w:color w:val="auto"/>
        </w:rPr>
      </w:pPr>
    </w:p>
    <w:p>
      <w:pPr>
        <w:jc w:val="both"/>
        <w:ind w:left="424" w:right="100" w:hanging="431"/>
        <w:spacing w:after="0" w:line="266" w:lineRule="auto"/>
        <w:rPr>
          <w:sz w:val="20"/>
          <w:szCs w:val="20"/>
          <w:color w:val="auto"/>
        </w:rPr>
      </w:pPr>
      <w:r>
        <w:rPr>
          <w:rFonts w:ascii="Times New Roman" w:cs="Times New Roman" w:eastAsia="Times New Roman" w:hAnsi="Times New Roman"/>
          <w:sz w:val="18"/>
          <w:szCs w:val="18"/>
          <w:color w:val="auto"/>
        </w:rPr>
        <w:t>51.1 Notwithstanding any other provision of the Articles, this Article shall apply during the period commencing upon the adoption of the Articles and terminating upon the first to occur of the consummation of a Business Combination and the full distribution of the Trust Account pursuant to this Article. In the event of a conflict between this Article and any other Articles, the provisions of this Article shall prevail.</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51.2 Prior to the consummation of a Business Combination, the Company shall either:</w:t>
      </w:r>
    </w:p>
    <w:p>
      <w:pPr>
        <w:spacing w:after="0" w:line="131" w:lineRule="exact"/>
        <w:rPr>
          <w:sz w:val="20"/>
          <w:szCs w:val="20"/>
          <w:color w:val="auto"/>
        </w:rPr>
      </w:pPr>
    </w:p>
    <w:p>
      <w:pPr>
        <w:ind w:left="964" w:hanging="532"/>
        <w:spacing w:after="0"/>
        <w:tabs>
          <w:tab w:leader="none" w:pos="9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such Business Combination to its Members for approval; or</w:t>
      </w:r>
    </w:p>
    <w:p>
      <w:pPr>
        <w:spacing w:after="0" w:line="130"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Members with the opportunity to have their Shares repurchased by means of a tender offer for a per-Share repurchase price payable in cash, equal to the aggregate amount then on deposit in the Trust Account, calculated as of two business days prior to the consummation of such Business Combination, including interest earned on the Trust Account (net of taxes paid or payable, if any), divided by the number of then issued Public Shares, provided that the Company shall not repurchase Public Shares in an amount that would cause the Company’s net tangible assets to be less than US$5,000,001.</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66" w:right="479" w:bottom="1440" w:gutter="0" w:footer="0" w:header="0"/>
        </w:sectPr>
      </w:pPr>
    </w:p>
    <w:bookmarkStart w:id="90" w:name="page91"/>
    <w:bookmarkEnd w:id="90"/>
    <w:p>
      <w:pPr>
        <w:ind w:left="420" w:right="100" w:hanging="43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51.3 If the Company initiates any tender offer in accordance with Rule 13e-4 and Regulation 14E of the Exchange Act in connection with a proposed Business Combination, it shall file tender offer documents with the Securities and Exchange Commission prior to completing such Business Combination which contain substantially the same financial and other information about such Business Combination and the redemption rights as is required under Regulation 14A of the Exchange Act. If, alternatively, the Company holds a general meeting to approve a proposed Business Combination, the Company will conduct any redemptions in conjunction with a proxy solicitation pursuant to Regulation 14A of the Exchange Act, and not pursuant to the tender offer rules, and file proxy materials with the Securities and Exchange Commission.</w:t>
      </w:r>
    </w:p>
    <w:p>
      <w:pPr>
        <w:spacing w:after="0" w:line="93" w:lineRule="exact"/>
        <w:rPr>
          <w:sz w:val="20"/>
          <w:szCs w:val="20"/>
          <w:color w:val="auto"/>
        </w:rPr>
      </w:pPr>
    </w:p>
    <w:p>
      <w:pPr>
        <w:ind w:left="420" w:right="640" w:hanging="431"/>
        <w:spacing w:after="0" w:line="282" w:lineRule="auto"/>
        <w:rPr>
          <w:sz w:val="20"/>
          <w:szCs w:val="20"/>
          <w:color w:val="auto"/>
        </w:rPr>
      </w:pPr>
      <w:r>
        <w:rPr>
          <w:rFonts w:ascii="Times New Roman" w:cs="Times New Roman" w:eastAsia="Times New Roman" w:hAnsi="Times New Roman"/>
          <w:sz w:val="18"/>
          <w:szCs w:val="18"/>
          <w:color w:val="auto"/>
        </w:rPr>
        <w:t>51.4 At a general meeting called for the purposes of approving a Business Combination pursuant to this Article, in the event that such Business Combination is approved by Ordinary Resolution, the Company shall be authorised to consummate such Business Combination.</w:t>
      </w:r>
    </w:p>
    <w:p>
      <w:pPr>
        <w:spacing w:after="0" w:line="67" w:lineRule="exact"/>
        <w:rPr>
          <w:sz w:val="20"/>
          <w:szCs w:val="20"/>
          <w:color w:val="auto"/>
        </w:rPr>
      </w:pPr>
    </w:p>
    <w:p>
      <w:pPr>
        <w:ind w:left="420" w:hanging="431"/>
        <w:spacing w:after="0" w:line="253" w:lineRule="auto"/>
        <w:rPr>
          <w:sz w:val="20"/>
          <w:szCs w:val="20"/>
          <w:color w:val="auto"/>
        </w:rPr>
      </w:pPr>
      <w:r>
        <w:rPr>
          <w:rFonts w:ascii="Times New Roman" w:cs="Times New Roman" w:eastAsia="Times New Roman" w:hAnsi="Times New Roman"/>
          <w:sz w:val="18"/>
          <w:szCs w:val="18"/>
          <w:color w:val="auto"/>
        </w:rPr>
        <w:t>51.5 Any Member holding Public Shares who is not the Sponsor, a Founder, Officer or Director may, in connection with any vote on a Business Combination, elect to have their Public Shares redeemed for cash (the “</w:t>
      </w:r>
      <w:r>
        <w:rPr>
          <w:rFonts w:ascii="Times New Roman" w:cs="Times New Roman" w:eastAsia="Times New Roman" w:hAnsi="Times New Roman"/>
          <w:sz w:val="18"/>
          <w:szCs w:val="18"/>
          <w:b w:val="1"/>
          <w:bCs w:val="1"/>
          <w:color w:val="auto"/>
        </w:rPr>
        <w:t>IPO Redemption</w:t>
      </w:r>
      <w:r>
        <w:rPr>
          <w:rFonts w:ascii="Times New Roman" w:cs="Times New Roman" w:eastAsia="Times New Roman" w:hAnsi="Times New Roman"/>
          <w:sz w:val="18"/>
          <w:szCs w:val="18"/>
          <w:color w:val="auto"/>
        </w:rPr>
        <w:t>”), provided that no such Member acting together with any Affiliate of his or any other person with whom he is acting in concert or as a partnership, limited partnership, syndicate, or other group for the purposes of acquiring, holding, or disposing of Shares may exercise this redemption right with respect to more than 20 per cent of the Public Shares in the aggregate without the prior consent of the Company. If so demanded, the Company shall pay any such redeeming Member, regardless of whether he is voting for or against such proposed Business Combination, a per-Share redemption price payable in cash, equal to the aggregate amount then on deposit in the Trust Account calculated as of two business days prior to the consummation of the Business Combination, including interest earned on the Trust Account and not previously released to the Company to pay its taxes, divided by the number of then issued Public Shares (such redemption price being referred to herein as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The Company shall not redeem Public Shares in an amount that would cause the Company’s net tangible assets to be less than US$5,000,001 (the “</w:t>
      </w:r>
      <w:r>
        <w:rPr>
          <w:rFonts w:ascii="Times New Roman" w:cs="Times New Roman" w:eastAsia="Times New Roman" w:hAnsi="Times New Roman"/>
          <w:sz w:val="18"/>
          <w:szCs w:val="18"/>
          <w:b w:val="1"/>
          <w:bCs w:val="1"/>
          <w:color w:val="auto"/>
        </w:rPr>
        <w:t>Redemption Limitation</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420" w:right="360" w:hanging="431"/>
        <w:spacing w:after="0" w:line="282" w:lineRule="auto"/>
        <w:rPr>
          <w:sz w:val="20"/>
          <w:szCs w:val="20"/>
          <w:color w:val="auto"/>
        </w:rPr>
      </w:pPr>
      <w:r>
        <w:rPr>
          <w:rFonts w:ascii="Times New Roman" w:cs="Times New Roman" w:eastAsia="Times New Roman" w:hAnsi="Times New Roman"/>
          <w:sz w:val="18"/>
          <w:szCs w:val="18"/>
          <w:color w:val="auto"/>
        </w:rPr>
        <w:t>51.6 A Member may not withdraw a Redemption Notice once submitted to the Company unless the Directors determine (in their sole discretion) to permit the withdrawal of such redemption request (which they may do in whole or in part).</w:t>
      </w:r>
    </w:p>
    <w:p>
      <w:pPr>
        <w:spacing w:after="0" w:line="67" w:lineRule="exact"/>
        <w:rPr>
          <w:sz w:val="20"/>
          <w:szCs w:val="20"/>
          <w:color w:val="auto"/>
        </w:rPr>
      </w:pPr>
    </w:p>
    <w:p>
      <w:pPr>
        <w:ind w:left="420" w:right="100" w:hanging="431"/>
        <w:spacing w:after="0" w:line="282" w:lineRule="auto"/>
        <w:rPr>
          <w:sz w:val="20"/>
          <w:szCs w:val="20"/>
          <w:color w:val="auto"/>
        </w:rPr>
      </w:pPr>
      <w:r>
        <w:rPr>
          <w:rFonts w:ascii="Times New Roman" w:cs="Times New Roman" w:eastAsia="Times New Roman" w:hAnsi="Times New Roman"/>
          <w:sz w:val="18"/>
          <w:szCs w:val="18"/>
          <w:color w:val="auto"/>
        </w:rPr>
        <w:t>51.7 In the event that the Company does not consummate a Business Combination by 24 months from the consummation of the IPO, or such later time as the Members may approve in accordance with the Articles, the Company shall:</w:t>
      </w:r>
    </w:p>
    <w:p>
      <w:pPr>
        <w:spacing w:after="0" w:line="67" w:lineRule="exact"/>
        <w:rPr>
          <w:sz w:val="20"/>
          <w:szCs w:val="20"/>
          <w:color w:val="auto"/>
        </w:rPr>
      </w:pPr>
    </w:p>
    <w:p>
      <w:pPr>
        <w:ind w:left="960" w:hanging="532"/>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w:t>
      </w:r>
    </w:p>
    <w:p>
      <w:pPr>
        <w:spacing w:after="0" w:line="130" w:lineRule="exact"/>
        <w:rPr>
          <w:rFonts w:ascii="Times New Roman" w:cs="Times New Roman" w:eastAsia="Times New Roman" w:hAnsi="Times New Roman"/>
          <w:sz w:val="18"/>
          <w:szCs w:val="18"/>
          <w:color w:val="auto"/>
        </w:rPr>
      </w:pPr>
    </w:p>
    <w:p>
      <w:pPr>
        <w:ind w:left="960" w:right="140" w:hanging="532"/>
        <w:spacing w:after="0" w:line="258"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(less taxes payable and up to US$100,000 of interest to pay dissolution expenses), divided by the number of then Public Shares in issue, which redemption will completely extinguish public Members’ rights as Members (including the right to receive further liquidation distributions, if any);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91" w:name="page92"/>
    <w:bookmarkEnd w:id="91"/>
    <w:p>
      <w:pPr>
        <w:ind w:left="960" w:right="420" w:hanging="532"/>
        <w:spacing w:after="0" w:line="282"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promptly as reasonably possible following such redemption, subject to the approval of the Company’s remaining Members and the Directors, liquidate and dissolve,</w:t>
      </w:r>
    </w:p>
    <w:p>
      <w:pPr>
        <w:spacing w:after="0" w:line="54"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subject in the case of (b) and (c) above to its obligations under Cayman Islands law to provide for claims of creditors and in all cases subject to the other requirements of Applicable Law.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51.8 In the event that any amendment is made to the Articles:</w:t>
      </w:r>
    </w:p>
    <w:p>
      <w:pPr>
        <w:spacing w:after="0" w:line="131" w:lineRule="exact"/>
        <w:rPr>
          <w:sz w:val="20"/>
          <w:szCs w:val="20"/>
          <w:color w:val="auto"/>
        </w:rPr>
      </w:pPr>
    </w:p>
    <w:p>
      <w:pPr>
        <w:ind w:left="960" w:right="460" w:hanging="532"/>
        <w:spacing w:after="0" w:line="266"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a Business Combination or to redeem 100 per cent of the Public Shares if the Company has not consummated a Business Combination within 24 months from the consummation of the IPO, or such later time as the Members may approve in accordance with the Articles; or</w:t>
      </w:r>
    </w:p>
    <w:p>
      <w:pPr>
        <w:spacing w:after="0" w:line="81" w:lineRule="exact"/>
        <w:rPr>
          <w:rFonts w:ascii="Times New Roman" w:cs="Times New Roman" w:eastAsia="Times New Roman" w:hAnsi="Times New Roman"/>
          <w:sz w:val="18"/>
          <w:szCs w:val="18"/>
          <w:color w:val="auto"/>
        </w:rPr>
      </w:pPr>
    </w:p>
    <w:p>
      <w:pPr>
        <w:ind w:left="960" w:right="240" w:hanging="532"/>
        <w:spacing w:after="0" w:line="256"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material provisions relating to Members’ rights or pre-Business Combination activity, each holder of Public Shares who is not the Sponsor, a Founder, Officer or Director shall be provided with the opportunity to redeem their Public Shares upon the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Public Shares. The Company’s ability to provide such redemption in this Article is subject to the Redemption Limitation.</w:t>
      </w:r>
    </w:p>
    <w:p>
      <w:pPr>
        <w:spacing w:after="0" w:line="93" w:lineRule="exact"/>
        <w:rPr>
          <w:sz w:val="20"/>
          <w:szCs w:val="20"/>
          <w:color w:val="auto"/>
        </w:rPr>
      </w:pPr>
    </w:p>
    <w:p>
      <w:pPr>
        <w:ind w:left="420" w:hanging="431"/>
        <w:spacing w:after="0" w:line="266" w:lineRule="auto"/>
        <w:rPr>
          <w:sz w:val="20"/>
          <w:szCs w:val="20"/>
          <w:color w:val="auto"/>
        </w:rPr>
      </w:pPr>
      <w:r>
        <w:rPr>
          <w:rFonts w:ascii="Times New Roman" w:cs="Times New Roman" w:eastAsia="Times New Roman" w:hAnsi="Times New Roman"/>
          <w:sz w:val="18"/>
          <w:szCs w:val="18"/>
          <w:color w:val="auto"/>
        </w:rPr>
        <w:t>51.9 A holder of Public Shares shall be entitled to receive distributions from the Trust Account only in the event of an IPO Redemption, a repurchase of Shares by means of a tender offer pursuant to this Article, or a distribution of the Trust Account pursuant to this Article. In no other circumstance shall a holder of Public Shares have any right or interest of any kind in the Trust Account.</w:t>
      </w:r>
    </w:p>
    <w:p>
      <w:pPr>
        <w:spacing w:after="0" w:line="81" w:lineRule="exact"/>
        <w:rPr>
          <w:sz w:val="20"/>
          <w:szCs w:val="20"/>
          <w:color w:val="auto"/>
        </w:rPr>
      </w:pPr>
    </w:p>
    <w:p>
      <w:pPr>
        <w:ind w:left="420" w:right="100" w:hanging="431"/>
        <w:spacing w:after="0" w:line="282" w:lineRule="auto"/>
        <w:rPr>
          <w:sz w:val="20"/>
          <w:szCs w:val="20"/>
          <w:color w:val="auto"/>
        </w:rPr>
      </w:pPr>
      <w:r>
        <w:rPr>
          <w:rFonts w:ascii="Times New Roman" w:cs="Times New Roman" w:eastAsia="Times New Roman" w:hAnsi="Times New Roman"/>
          <w:sz w:val="18"/>
          <w:szCs w:val="18"/>
          <w:color w:val="auto"/>
        </w:rPr>
        <w:t>51.10 After the issue of Public Shares, and prior to the consummation of a Business Combination, the Company shall not issue additional Shares or any other securities that would entitle the holders thereof to:</w:t>
      </w:r>
    </w:p>
    <w:p>
      <w:pPr>
        <w:spacing w:after="0" w:line="67" w:lineRule="exact"/>
        <w:rPr>
          <w:sz w:val="20"/>
          <w:szCs w:val="20"/>
          <w:color w:val="auto"/>
        </w:rPr>
      </w:pPr>
    </w:p>
    <w:p>
      <w:pPr>
        <w:ind w:left="960" w:hanging="532"/>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funds from the Trust Account;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as a class with Public Shares on a Business Combination.</w:t>
      </w:r>
    </w:p>
    <w:p>
      <w:pPr>
        <w:spacing w:after="0" w:line="131" w:lineRule="exact"/>
        <w:rPr>
          <w:sz w:val="20"/>
          <w:szCs w:val="20"/>
          <w:color w:val="auto"/>
        </w:rPr>
      </w:pPr>
    </w:p>
    <w:p>
      <w:pPr>
        <w:ind w:left="420" w:right="160" w:hanging="431"/>
        <w:spacing w:after="0" w:line="282" w:lineRule="auto"/>
        <w:rPr>
          <w:sz w:val="20"/>
          <w:szCs w:val="20"/>
          <w:color w:val="auto"/>
        </w:rPr>
      </w:pPr>
      <w:r>
        <w:rPr>
          <w:rFonts w:ascii="Times New Roman" w:cs="Times New Roman" w:eastAsia="Times New Roman" w:hAnsi="Times New Roman"/>
          <w:sz w:val="18"/>
          <w:szCs w:val="18"/>
          <w:color w:val="auto"/>
        </w:rPr>
        <w:t>51.11 A Director may vote in respect of a Business Combination in which such Director has a conflict of interest with respect to the evaluation of such Business Combination. Such Director must disclose such interest or conflict to the other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92" w:name="page93"/>
    <w:bookmarkEnd w:id="92"/>
    <w:p>
      <w:pPr>
        <w:ind w:left="424" w:right="60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51.12 The Company shall not enter into an initial Business Combination with another blank cheque company or a similar company with nominal operations.</w:t>
      </w:r>
    </w:p>
    <w:p>
      <w:pPr>
        <w:spacing w:after="0" w:line="306" w:lineRule="exact"/>
        <w:rPr>
          <w:sz w:val="20"/>
          <w:szCs w:val="20"/>
          <w:color w:val="auto"/>
        </w:rPr>
      </w:pPr>
    </w:p>
    <w:p>
      <w:pPr>
        <w:ind w:left="424" w:hanging="424"/>
        <w:spacing w:after="0"/>
        <w:tabs>
          <w:tab w:leader="none" w:pos="42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Tax Filings</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131" w:lineRule="exact"/>
        <w:rPr>
          <w:sz w:val="20"/>
          <w:szCs w:val="20"/>
          <w:color w:val="auto"/>
        </w:rPr>
      </w:pPr>
    </w:p>
    <w:p>
      <w:pPr>
        <w:ind w:left="424" w:hanging="431"/>
        <w:spacing w:after="0" w:line="254" w:lineRule="auto"/>
        <w:rPr>
          <w:sz w:val="20"/>
          <w:szCs w:val="20"/>
          <w:color w:val="auto"/>
        </w:rPr>
      </w:pPr>
      <w:r>
        <w:rPr>
          <w:rFonts w:ascii="Times New Roman" w:cs="Times New Roman" w:eastAsia="Times New Roman" w:hAnsi="Times New Roman"/>
          <w:sz w:val="18"/>
          <w:szCs w:val="18"/>
          <w:color w:val="auto"/>
        </w:rPr>
        <w:t>53.1 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98" w:lineRule="exact"/>
        <w:rPr>
          <w:sz w:val="20"/>
          <w:szCs w:val="20"/>
          <w:color w:val="auto"/>
        </w:rPr>
      </w:pPr>
    </w:p>
    <w:p>
      <w:pPr>
        <w:ind w:left="424" w:right="80" w:hanging="431"/>
        <w:spacing w:after="0" w:line="266" w:lineRule="auto"/>
        <w:rPr>
          <w:sz w:val="20"/>
          <w:szCs w:val="20"/>
          <w:color w:val="auto"/>
        </w:rPr>
      </w:pPr>
      <w:r>
        <w:rPr>
          <w:rFonts w:ascii="Times New Roman" w:cs="Times New Roman" w:eastAsia="Times New Roman" w:hAnsi="Times New Roman"/>
          <w:sz w:val="18"/>
          <w:szCs w:val="18"/>
          <w:color w:val="auto"/>
        </w:rPr>
        <w:t>53.2 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81" w:lineRule="exact"/>
        <w:rPr>
          <w:sz w:val="20"/>
          <w:szCs w:val="20"/>
          <w:color w:val="auto"/>
        </w:rPr>
      </w:pPr>
    </w:p>
    <w:p>
      <w:pPr>
        <w:ind w:left="424" w:right="200" w:hanging="431"/>
        <w:spacing w:after="0" w:line="261" w:lineRule="auto"/>
        <w:rPr>
          <w:sz w:val="20"/>
          <w:szCs w:val="20"/>
          <w:color w:val="auto"/>
        </w:rPr>
      </w:pPr>
      <w:r>
        <w:rPr>
          <w:rFonts w:ascii="Times New Roman" w:cs="Times New Roman" w:eastAsia="Times New Roman" w:hAnsi="Times New Roman"/>
          <w:sz w:val="18"/>
          <w:szCs w:val="18"/>
          <w:color w:val="auto"/>
        </w:rPr>
        <w:t>53.3 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70" w:right="4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THIS WARRANT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September 22, 2020, is by and between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corporation, as warrant agent (in such capacity,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also referred to herein as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7"/>
          <w:szCs w:val="17"/>
          <w:color w:val="auto"/>
        </w:rPr>
        <w:t>WHEREAS, the Company is engaged in an initial public offering (the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 of units of the Company’s equity securities, each such unit comprised of one Class A ordinary share of the Company, par value $0.0001 per share (“</w:t>
      </w:r>
      <w:r>
        <w:rPr>
          <w:rFonts w:ascii="Times New Roman" w:cs="Times New Roman" w:eastAsia="Times New Roman" w:hAnsi="Times New Roman"/>
          <w:sz w:val="17"/>
          <w:szCs w:val="17"/>
          <w:b w:val="1"/>
          <w:bCs w:val="1"/>
          <w:i w:val="1"/>
          <w:iCs w:val="1"/>
          <w:color w:val="auto"/>
        </w:rPr>
        <w:t>Ordinary Shares</w:t>
      </w:r>
      <w:r>
        <w:rPr>
          <w:rFonts w:ascii="Times New Roman" w:cs="Times New Roman" w:eastAsia="Times New Roman" w:hAnsi="Times New Roman"/>
          <w:sz w:val="17"/>
          <w:szCs w:val="17"/>
          <w:color w:val="auto"/>
        </w:rPr>
        <w:t>”) and one-half of one redeemable Public Warrant (as defined below) (the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and, in connection therewith, has determined to issue and deliver up to 10,000,000 warrants (or up to 11,500,000 warrants if the Over-allotment Option (as defined below) is exercised in full) to public investors in the Offering (the “</w:t>
      </w:r>
      <w:r>
        <w:rPr>
          <w:rFonts w:ascii="Times New Roman" w:cs="Times New Roman" w:eastAsia="Times New Roman" w:hAnsi="Times New Roman"/>
          <w:sz w:val="17"/>
          <w:szCs w:val="17"/>
          <w:b w:val="1"/>
          <w:bCs w:val="1"/>
          <w:i w:val="1"/>
          <w:iCs w:val="1"/>
          <w:color w:val="auto"/>
        </w:rPr>
        <w:t>Public Warrants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entered into that certain Private Placement Warrants Purchase Agreement with VPC Impact Acquisition Holdings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pursuant to which the Sponsor agreed to purchase an aggregate of 6,000,000 private placement warrants (or up to 6,600,000 private placement warrants if the Over-allotment Option is exercised in full) simultaneously with the closing of the Offering (and the closing of the Over-allotment Option, if applicable)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xml:space="preserve">”), each bearing the legend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at a purchase price of $1.00 per Private Placement Warrant;</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in order to finance the Company’s transaction costs in connection with an intended initial Business Combination (as defined below), the Sponsor or an affiliate of the Sponsor or the Company’s officers and directors may, but are not obligated to, loan to the Company funds as the Company may require, of which up to $1,500,000 of such loans may be convertible into up to an additional 1,500,000 warrants at a price of $1.00 per warrant, which will be identical to the Private Placement Warrants (the “</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and, together with the Private Placement Warrants and the Public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each Warrant entitles the holder thereof to purchase one Ordinary Share at a price of $11.50 per share, subject to adjustment as described herein;</w:t>
      </w:r>
    </w:p>
    <w:p>
      <w:pPr>
        <w:spacing w:after="0" w:line="158"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 has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 registration statement on Form S-1, File No. 333-248619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a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Units, the Public Warrants and the Ordinary Shares included in the Units;</w:t>
      </w:r>
    </w:p>
    <w:p>
      <w:pPr>
        <w:spacing w:after="0" w:line="17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ind w:right="560" w:firstLine="440"/>
        <w:spacing w:after="0" w:line="312" w:lineRule="auto"/>
        <w:rPr>
          <w:sz w:val="20"/>
          <w:szCs w:val="20"/>
          <w:color w:val="auto"/>
        </w:rPr>
      </w:pPr>
      <w:r>
        <w:rPr>
          <w:rFonts w:ascii="Times New Roman" w:cs="Times New Roman" w:eastAsia="Times New Roman" w:hAnsi="Times New Roman"/>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320" w:firstLine="436"/>
        <w:spacing w:after="0" w:line="266" w:lineRule="auto"/>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xml:space="preserve">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Form of Warrant.</w:t>
      </w:r>
      <w:r>
        <w:rPr>
          <w:rFonts w:ascii="Times New Roman" w:cs="Times New Roman" w:eastAsia="Times New Roman" w:hAnsi="Times New Roman"/>
          <w:sz w:val="17"/>
          <w:szCs w:val="17"/>
          <w:color w:val="auto"/>
        </w:rPr>
        <w:t xml:space="preserve"> Each Warrant shall be issued in registered form only, and, if a physical certificate is issued, shall be in substantially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the provisions of which are incorporated herein and shall be signed by, or bear the facsimile signature of, the Chairman of 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President, Chief Executive Officer, Chief Financial Officer, Secretary or other principal officer of the</w:t>
      </w:r>
    </w:p>
    <w:p>
      <w:pPr>
        <w:sectPr>
          <w:pgSz w:w="11900" w:h="16838" w:orient="portrait"/>
          <w:cols w:equalWidth="0" w:num="1">
            <w:col w:w="11020"/>
          </w:cols>
          <w:pgMar w:left="440" w:top="117" w:right="439" w:bottom="1440" w:gutter="0" w:footer="0" w:header="0"/>
        </w:sectPr>
      </w:pPr>
    </w:p>
    <w:bookmarkStart w:id="94" w:name="page95"/>
    <w:bookmarkEnd w:id="94"/>
    <w:p>
      <w:pPr>
        <w:ind w:right="1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Public Warrants shall initially be represented by one or more book-entry certificates (each, a “</w:t>
      </w:r>
      <w:r>
        <w:rPr>
          <w:rFonts w:ascii="Times New Roman" w:cs="Times New Roman" w:eastAsia="Times New Roman" w:hAnsi="Times New Roman"/>
          <w:sz w:val="17"/>
          <w:szCs w:val="17"/>
          <w:b w:val="1"/>
          <w:bCs w:val="1"/>
          <w:i w:val="1"/>
          <w:iCs w:val="1"/>
          <w:color w:val="auto"/>
        </w:rPr>
        <w:t>Book-Entry Warrant Certificate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xml:space="preserve"> If a physical certificate is issued, unless and until countersigned by the Warrant Agent pursuant to this Agreement, a Warrant certificate shall be invalid and of no effect and may not be exercised by the holder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xml:space="preserve"> The Warrant Agent shall maintain books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Book-Entry Warrant Certificates deposited with The Depository Trust Company (the “</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and registered in the name of Cede &amp; Co., a nominee of the Depositary. Ownership of beneficial interests in the Public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t>
      </w:r>
      <w:r>
        <w:rPr>
          <w:rFonts w:ascii="Times New Roman" w:cs="Times New Roman" w:eastAsia="Times New Roman" w:hAnsi="Times New Roman"/>
          <w:sz w:val="18"/>
          <w:szCs w:val="18"/>
          <w:b w:val="1"/>
          <w:bCs w:val="1"/>
          <w:i w:val="1"/>
          <w:iCs w:val="1"/>
          <w:color w:val="auto"/>
        </w:rPr>
        <w:t>Definitive Warrant Certificate</w:t>
      </w:r>
      <w:r>
        <w:rPr>
          <w:rFonts w:ascii="Times New Roman" w:cs="Times New Roman" w:eastAsia="Times New Roman" w:hAnsi="Times New Roman"/>
          <w:sz w:val="18"/>
          <w:szCs w:val="18"/>
          <w:color w:val="auto"/>
        </w:rPr>
        <w:t xml:space="preserve">”). Such Definitive Warrant Certificate shall be in the form annexed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appropriate insertions, modifications and omissions, as provided above.</w:t>
      </w:r>
    </w:p>
    <w:p>
      <w:pPr>
        <w:spacing w:after="0" w:line="187" w:lineRule="exact"/>
        <w:rPr>
          <w:sz w:val="20"/>
          <w:szCs w:val="20"/>
          <w:color w:val="auto"/>
        </w:rPr>
      </w:pPr>
    </w:p>
    <w:p>
      <w:pPr>
        <w:ind w:right="16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xml:space="preserve"> Prior to due presentment for registration of transfer of any Warrant, the Company and the Warrant Agent may deem and treat the person in whose name such Warrant is registered in the Warrant Register (the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a Definitive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xml:space="preserve"> The Ordinary Shares and Public Warrants comprising the Units shall begin separate trading on the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day following the date of the Prospectus or, if such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day is not on a day, other than a Saturday, Sunday or federal holiday, on which banks in New York City are generally open for normal business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then on the immediately succeeding Business Day following such date, or earlier (the “</w:t>
      </w:r>
      <w:r>
        <w:rPr>
          <w:rFonts w:ascii="Times New Roman" w:cs="Times New Roman" w:eastAsia="Times New Roman" w:hAnsi="Times New Roman"/>
          <w:sz w:val="18"/>
          <w:szCs w:val="18"/>
          <w:b w:val="1"/>
          <w:bCs w:val="1"/>
          <w:i w:val="1"/>
          <w:iCs w:val="1"/>
          <w:color w:val="auto"/>
        </w:rPr>
        <w:t>Detachment Date</w:t>
      </w:r>
      <w:r>
        <w:rPr>
          <w:rFonts w:ascii="Times New Roman" w:cs="Times New Roman" w:eastAsia="Times New Roman" w:hAnsi="Times New Roman"/>
          <w:sz w:val="18"/>
          <w:szCs w:val="18"/>
          <w:color w:val="auto"/>
        </w:rPr>
        <w:t>”) with the consent of UBS Securities LLC, as representative of the several underwriters, but in no event shall the Ordinary Shares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received by the Company from the exercise by the underwriters of their right to purchase additional Units in the Offering (the “</w:t>
      </w:r>
      <w:r>
        <w:rPr>
          <w:rFonts w:ascii="Times New Roman" w:cs="Times New Roman" w:eastAsia="Times New Roman" w:hAnsi="Times New Roman"/>
          <w:sz w:val="18"/>
          <w:szCs w:val="18"/>
          <w:b w:val="1"/>
          <w:bCs w:val="1"/>
          <w:i w:val="1"/>
          <w:iCs w:val="1"/>
          <w:color w:val="auto"/>
        </w:rPr>
        <w:t>Over-allotment Option</w:t>
      </w:r>
      <w:r>
        <w:rPr>
          <w:rFonts w:ascii="Times New Roman" w:cs="Times New Roman" w:eastAsia="Times New Roman" w:hAnsi="Times New Roman"/>
          <w:sz w:val="18"/>
          <w:szCs w:val="18"/>
          <w:color w:val="auto"/>
        </w:rPr>
        <w:t>”), if the Over-allotment Option is exercised prior to the filing of the Current Report on Form 8-K, and (B) the Company issues a press release and files with the Commission a Current Report on Form 8-K announcing when such separate trading shall begin.</w:t>
      </w:r>
    </w:p>
    <w:p>
      <w:pPr>
        <w:spacing w:after="0" w:line="188"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Warrants Other Than as Part of Units</w:t>
      </w:r>
      <w:r>
        <w:rPr>
          <w:rFonts w:ascii="Times New Roman" w:cs="Times New Roman" w:eastAsia="Times New Roman" w:hAnsi="Times New Roman"/>
          <w:sz w:val="18"/>
          <w:szCs w:val="18"/>
          <w:color w:val="auto"/>
        </w:rPr>
        <w:t>. The Company shall not issue fractional Warrants other than as part of the Units, each of which is comprised of one Ordinary Share and one-half of one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Private Placement Warrants and Working Capital Warrants.</w:t>
      </w:r>
      <w:r>
        <w:rPr>
          <w:rFonts w:ascii="Times New Roman" w:cs="Times New Roman" w:eastAsia="Times New Roman" w:hAnsi="Times New Roman"/>
          <w:sz w:val="18"/>
          <w:szCs w:val="18"/>
          <w:color w:val="auto"/>
        </w:rPr>
        <w:t xml:space="preserve"> The Private Placement Warrants and the Working Capital Warrants shall be identical to the Public Warrants, except that so long as they are held by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Sponsor or any of its Permitted Transferees (as defined below), as applicable, the Private Placement Warrants and the Working Capital Warrants:</w:t>
      </w:r>
    </w:p>
    <w:p>
      <w:pPr>
        <w:spacing w:after="0" w:line="27" w:lineRule="exact"/>
        <w:rPr>
          <w:sz w:val="20"/>
          <w:szCs w:val="20"/>
          <w:color w:val="auto"/>
        </w:rPr>
      </w:pPr>
    </w:p>
    <w:p>
      <w:pPr>
        <w:ind w:left="4" w:right="140" w:hanging="4"/>
        <w:spacing w:after="0" w:line="250" w:lineRule="auto"/>
        <w:tabs>
          <w:tab w:leader="none" w:pos="2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redeemable by the Company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(ii) may not (including the Ordinary Shares issued upon exercise of the Private Placement Warrants and the Working Capital Warrants) be transferred, assigned or sold until the date that is thirty (30) days after the completion by the Company of an initial Business Combination (as defined below); and (iii) may be exercised for cash or on a cashless basis, pursuant to </w:t>
      </w:r>
      <w:r>
        <w:rPr>
          <w:rFonts w:ascii="Times New Roman" w:cs="Times New Roman" w:eastAsia="Times New Roman" w:hAnsi="Times New Roman"/>
          <w:sz w:val="18"/>
          <w:szCs w:val="18"/>
          <w:u w:val="single" w:color="auto"/>
          <w:color w:val="auto"/>
        </w:rPr>
        <w:t>subsection</w:t>
      </w:r>
    </w:p>
    <w:p>
      <w:pPr>
        <w:spacing w:after="0" w:line="1" w:lineRule="exact"/>
        <w:rPr>
          <w:rFonts w:ascii="Times New Roman" w:cs="Times New Roman" w:eastAsia="Times New Roman" w:hAnsi="Times New Roman"/>
          <w:sz w:val="18"/>
          <w:szCs w:val="18"/>
          <w:color w:val="auto"/>
        </w:rPr>
      </w:pPr>
    </w:p>
    <w:p>
      <w:pPr>
        <w:ind w:left="4"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3.3.1(c)</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case of (ii), the Private Placement Warrants and the Working Capital Warrants and any Ordinary Shares held by the Sponsor or any of its Permitted Transferees, as applicable, and issued upon exercise of the Private Placement Warrants and the Working Capital Warrants may be transferred by the holders thereof:</w:t>
      </w:r>
    </w:p>
    <w:p>
      <w:pPr>
        <w:spacing w:after="0" w:line="185" w:lineRule="exact"/>
        <w:rPr>
          <w:rFonts w:ascii="Times New Roman" w:cs="Times New Roman" w:eastAsia="Times New Roman" w:hAnsi="Times New Roman"/>
          <w:sz w:val="18"/>
          <w:szCs w:val="18"/>
          <w:color w:val="auto"/>
        </w:rPr>
      </w:pPr>
    </w:p>
    <w:p>
      <w:pPr>
        <w:ind w:left="4" w:right="680" w:firstLine="1428"/>
        <w:spacing w:after="0" w:line="282" w:lineRule="auto"/>
        <w:tabs>
          <w:tab w:leader="none" w:pos="168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officers or directors, any affiliate or family member of any of the Company’s officers or directors, any members or partners of the Sponsor or their affiliates, any affiliates of the Sponsor, or any employees of such affiliates;</w:t>
      </w:r>
    </w:p>
    <w:p>
      <w:pPr>
        <w:spacing w:after="0" w:line="161"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6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gift to a member of such individual’s immediate family or to a trust, the beneficiary of which is a member of such individual’s immediate family, an affiliate of such individual or to a charitable organization;</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virtue of the laws of descent and distribution upon death of such person;</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pursuant to a qualified domestic relations order;</w:t>
      </w:r>
    </w:p>
    <w:p>
      <w:pPr>
        <w:spacing w:after="0" w:line="225" w:lineRule="exact"/>
        <w:rPr>
          <w:rFonts w:ascii="Times New Roman" w:cs="Times New Roman" w:eastAsia="Times New Roman" w:hAnsi="Times New Roman"/>
          <w:sz w:val="18"/>
          <w:szCs w:val="18"/>
          <w:color w:val="auto"/>
        </w:rPr>
      </w:pPr>
    </w:p>
    <w:p>
      <w:pPr>
        <w:ind w:left="4" w:right="180" w:firstLine="1428"/>
        <w:spacing w:after="0" w:line="266" w:lineRule="auto"/>
        <w:tabs>
          <w:tab w:leader="none" w:pos="168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private sales or transfers made in connection with any forward purchase agreement or similar arrangement or in connection with the consummation of an initial Business Combination at prices no greater than the price at which the Ordinary Shares or Warrants were originally purchased;</w:t>
      </w:r>
    </w:p>
    <w:p>
      <w:pPr>
        <w:spacing w:after="0" w:line="175" w:lineRule="exact"/>
        <w:rPr>
          <w:rFonts w:ascii="Times New Roman" w:cs="Times New Roman" w:eastAsia="Times New Roman" w:hAnsi="Times New Roman"/>
          <w:sz w:val="18"/>
          <w:szCs w:val="18"/>
          <w:color w:val="auto"/>
        </w:rPr>
      </w:pPr>
    </w:p>
    <w:p>
      <w:pPr>
        <w:ind w:left="1664" w:hanging="232"/>
        <w:spacing w:after="0"/>
        <w:tabs>
          <w:tab w:leader="none" w:pos="16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laws of the Cayman Islands or the limited liability company agreement of the Sponsor upon dissolution of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w:t>
      </w:r>
    </w:p>
    <w:p>
      <w:pPr>
        <w:spacing w:after="0" w:line="206"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Company’s liquidation prior to the consummation of a Business Combination; and</w:t>
      </w:r>
    </w:p>
    <w:p>
      <w:pPr>
        <w:spacing w:after="0" w:line="225"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6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subsequent to the consummation of an initial Business Combination, the Company completes a liquidation, merger, share exchange or other similar transaction which results in all of its shareholders having the right to exchange their Ordinary Shares for cash, securities or other property;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case of clauses (a) through (f), these transferees (the “</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enter into a written agreement with the Company agreeing to be bound by the transfer restrictions in this Agreement and the other restrictions contained in the letter agreement, dated as of the date hereof, by and among the Company, the Sponsor and the Company’s officers and directors.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Working Capital Warrants.</w:t>
      </w:r>
      <w:r>
        <w:rPr>
          <w:rFonts w:ascii="Times New Roman" w:cs="Times New Roman" w:eastAsia="Times New Roman" w:hAnsi="Times New Roman"/>
          <w:sz w:val="18"/>
          <w:szCs w:val="18"/>
          <w:color w:val="auto"/>
        </w:rPr>
        <w:t xml:space="preserve"> Each of the Working Capital Warrants shall be identical to the Private Placement Warrants.</w:t>
      </w:r>
    </w:p>
    <w:p>
      <w:pPr>
        <w:spacing w:after="0" w:line="225" w:lineRule="exact"/>
        <w:rPr>
          <w:sz w:val="20"/>
          <w:szCs w:val="20"/>
          <w:color w:val="auto"/>
        </w:rPr>
      </w:pPr>
    </w:p>
    <w:p>
      <w:pPr>
        <w:ind w:left="624" w:hanging="184"/>
        <w:spacing w:after="0"/>
        <w:tabs>
          <w:tab w:leader="none" w:pos="6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Warrant Price.</w:t>
      </w:r>
      <w:r>
        <w:rPr>
          <w:rFonts w:ascii="Times New Roman" w:cs="Times New Roman" w:eastAsia="Times New Roman" w:hAnsi="Times New Roman"/>
          <w:sz w:val="17"/>
          <w:szCs w:val="17"/>
          <w:color w:val="auto"/>
        </w:rPr>
        <w:t xml:space="preserve"> Each Warrant shall entitle the Registered Holder thereof, subject to the provisions of such Warrant and of this Agreement, to purchase from the Company the number of Ordinary Shares stated therein, at the price of $11.50 per share, subject to the adjustments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and in the last sentence of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The term “Warrant Price” as used in this Agreement shall mean the price per share (including in cash or by payment of Warrants pursuant to a “cashless exercise,” to the extent permitted hereunder) described in the prior sentence at which the Ordinary Shares may be purchased at the time a Warrant is exercised. The Company in its sole discretion may lower the Warrant Price at any time prior to the Expiration Date (as defined below) for a period of not less than fifteen (15) Business Days (unless otherwise required by the Commission, any national securities exchange on which the Warrants are listed or applicable law), provided, that the Company shall provide at least five</w:t>
      </w:r>
    </w:p>
    <w:p>
      <w:pPr>
        <w:spacing w:after="0" w:line="2" w:lineRule="exact"/>
        <w:rPr>
          <w:sz w:val="20"/>
          <w:szCs w:val="20"/>
          <w:color w:val="auto"/>
        </w:rPr>
      </w:pPr>
    </w:p>
    <w:p>
      <w:pPr>
        <w:ind w:left="4" w:right="340" w:hanging="4"/>
        <w:spacing w:after="0" w:line="260" w:lineRule="auto"/>
        <w:tabs>
          <w:tab w:leader="none" w:pos="2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such reduction to Registered Holders of the Warrants and, provided further that any such reduction shall be identical among all of the Warrants.</w:t>
      </w:r>
    </w:p>
    <w:p>
      <w:pPr>
        <w:spacing w:after="0" w:line="177" w:lineRule="exact"/>
        <w:rPr>
          <w:sz w:val="20"/>
          <w:szCs w:val="20"/>
          <w:color w:val="auto"/>
        </w:rPr>
      </w:pPr>
    </w:p>
    <w:p>
      <w:pPr>
        <w:ind w:left="4" w:firstLine="991"/>
        <w:spacing w:after="0" w:line="29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Duration of Warrants.</w:t>
      </w:r>
      <w:r>
        <w:rPr>
          <w:rFonts w:ascii="Times New Roman" w:cs="Times New Roman" w:eastAsia="Times New Roman" w:hAnsi="Times New Roman"/>
          <w:sz w:val="17"/>
          <w:szCs w:val="17"/>
          <w:color w:val="auto"/>
        </w:rPr>
        <w:t xml:space="preserve"> A Warrant may be exercised only during the period (the “</w:t>
      </w:r>
      <w:r>
        <w:rPr>
          <w:rFonts w:ascii="Times New Roman" w:cs="Times New Roman" w:eastAsia="Times New Roman" w:hAnsi="Times New Roman"/>
          <w:sz w:val="17"/>
          <w:szCs w:val="17"/>
          <w:b w:val="1"/>
          <w:bCs w:val="1"/>
          <w:i w:val="1"/>
          <w:iCs w:val="1"/>
          <w:color w:val="auto"/>
        </w:rPr>
        <w:t>Exercise Period</w:t>
      </w:r>
      <w:r>
        <w:rPr>
          <w:rFonts w:ascii="Times New Roman" w:cs="Times New Roman" w:eastAsia="Times New Roman" w:hAnsi="Times New Roman"/>
          <w:sz w:val="17"/>
          <w:szCs w:val="17"/>
          <w:color w:val="auto"/>
        </w:rPr>
        <w:t>”) commencing on the later of: (i) the date that is thirty (30) days after the first date on which the Company completes a merger, share exchange, asset acquisition, share purchase, reorganization or similar business combination, involving the Company and one or more businesses (a “</w:t>
      </w:r>
      <w:r>
        <w:rPr>
          <w:rFonts w:ascii="Times New Roman" w:cs="Times New Roman" w:eastAsia="Times New Roman" w:hAnsi="Times New Roman"/>
          <w:sz w:val="17"/>
          <w:szCs w:val="17"/>
          <w:b w:val="1"/>
          <w:bCs w:val="1"/>
          <w:i w:val="1"/>
          <w:iCs w:val="1"/>
          <w:color w:val="auto"/>
        </w:rPr>
        <w:t>Business Combination</w:t>
      </w:r>
      <w:r>
        <w:rPr>
          <w:rFonts w:ascii="Times New Roman" w:cs="Times New Roman" w:eastAsia="Times New Roman" w:hAnsi="Times New Roman"/>
          <w:sz w:val="17"/>
          <w:szCs w:val="17"/>
          <w:color w:val="auto"/>
        </w:rPr>
        <w:t>”), and (ii) the date that is</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96" w:name="page97"/>
    <w:bookmarkEnd w:id="96"/>
    <w:p>
      <w:pPr>
        <w:ind w:left="4" w:right="2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twelve (12) months from the date of the closing of the Offering, and terminating on the earliest to occur of: (x) 5:00 p.m., New York City time on the date that is five (5) years after the date on which the Company completes its initial Business Combination, (y) the liquidation of the Company, and</w:t>
      </w:r>
    </w:p>
    <w:p>
      <w:pPr>
        <w:spacing w:after="0" w:line="1" w:lineRule="exact"/>
        <w:rPr>
          <w:sz w:val="20"/>
          <w:szCs w:val="20"/>
          <w:color w:val="auto"/>
        </w:rPr>
      </w:pPr>
    </w:p>
    <w:p>
      <w:pPr>
        <w:ind w:left="4" w:hanging="4"/>
        <w:spacing w:after="0" w:line="268" w:lineRule="auto"/>
        <w:tabs>
          <w:tab w:leader="none" w:pos="24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with respect to the Private Placement Warrants and the Working Capital Warrants, 5:00 p.m., New York City time on the Redemption Date (as defined below) as provided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hereof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exercise of any Warrant shall be subject to the satisfaction of any applicable conditions, as set forth in </w:t>
      </w:r>
      <w:r>
        <w:rPr>
          <w:rFonts w:ascii="Times New Roman" w:cs="Times New Roman" w:eastAsia="Times New Roman" w:hAnsi="Times New Roman"/>
          <w:sz w:val="17"/>
          <w:szCs w:val="17"/>
          <w:u w:val="single" w:color="auto"/>
          <w:color w:val="auto"/>
        </w:rPr>
        <w:t>subsection 3.3.2</w:t>
      </w:r>
      <w:r>
        <w:rPr>
          <w:rFonts w:ascii="Times New Roman" w:cs="Times New Roman" w:eastAsia="Times New Roman" w:hAnsi="Times New Roman"/>
          <w:sz w:val="17"/>
          <w:szCs w:val="17"/>
          <w:color w:val="auto"/>
        </w:rPr>
        <w:t xml:space="preserve"> below, with respect to an effective registration statement. Except with respect to the right to receive the Redemption Price (as defined below) (other than with respect to a Private Placement Warrant or a Working Capital Warrant) in the event of a redemption (as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hereof), each outstanding Warrant (other than a Private Placement Warrant or a Working Capital Warrant in the event of a redemption)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1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Book-Entry Warrant Certificate, the Warrants to be exercised (the “</w:t>
      </w:r>
      <w:r>
        <w:rPr>
          <w:rFonts w:ascii="Times New Roman" w:cs="Times New Roman" w:eastAsia="Times New Roman" w:hAnsi="Times New Roman"/>
          <w:sz w:val="18"/>
          <w:szCs w:val="18"/>
          <w:b w:val="1"/>
          <w:bCs w:val="1"/>
          <w:i w:val="1"/>
          <w:iCs w:val="1"/>
          <w:color w:val="auto"/>
        </w:rPr>
        <w:t>Book-Entry Warrants</w:t>
      </w:r>
      <w:r>
        <w:rPr>
          <w:rFonts w:ascii="Times New Roman" w:cs="Times New Roman" w:eastAsia="Times New Roman" w:hAnsi="Times New Roman"/>
          <w:sz w:val="18"/>
          <w:szCs w:val="18"/>
          <w:color w:val="auto"/>
        </w:rPr>
        <w:t>”) on the records of the Depositary to an account of the Warrant Agent at the Depositary designated for such purposes in writing by the Warrant Agent to the Depositary from time to time, (ii) an election to purchase (“</w:t>
      </w:r>
      <w:r>
        <w:rPr>
          <w:rFonts w:ascii="Times New Roman" w:cs="Times New Roman" w:eastAsia="Times New Roman" w:hAnsi="Times New Roman"/>
          <w:sz w:val="18"/>
          <w:szCs w:val="18"/>
          <w:b w:val="1"/>
          <w:bCs w:val="1"/>
          <w:i w:val="1"/>
          <w:iCs w:val="1"/>
          <w:color w:val="auto"/>
        </w:rPr>
        <w:t>Election to Purchase</w:t>
      </w:r>
      <w:r>
        <w:rPr>
          <w:rFonts w:ascii="Times New Roman" w:cs="Times New Roman" w:eastAsia="Times New Roman" w:hAnsi="Times New Roman"/>
          <w:sz w:val="18"/>
          <w:szCs w:val="18"/>
          <w:color w:val="auto"/>
        </w:rPr>
        <w:t>”) Ordinary Shares pursuant to the exercise of a Warrant, properly completed and executed by the Registered Holder on the reverse of the Definitive Warrant Certificate or, in the case of a Book-Entry Warrant Certificate, properly delivered by the Participant in accordance with the Depositary’s procedures, and (iii) payment in full of the Warrant Price for each Ordinary Share as to which the Warrant is exercised and any and all applicable taxes due in connection with the exercise of the Warrant, the exchange of the Warrant for the Ordinary Shares and the issuance of such Ordinary Shares, as follows:</w:t>
      </w:r>
    </w:p>
    <w:p>
      <w:pPr>
        <w:spacing w:after="0" w:line="188" w:lineRule="exact"/>
        <w:rPr>
          <w:sz w:val="20"/>
          <w:szCs w:val="20"/>
          <w:color w:val="auto"/>
        </w:rPr>
      </w:pPr>
    </w:p>
    <w:p>
      <w:pPr>
        <w:ind w:left="4" w:right="20" w:firstLine="1428"/>
        <w:spacing w:after="0" w:line="282" w:lineRule="auto"/>
        <w:tabs>
          <w:tab w:leader="none" w:pos="168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lawful money of the United States, in good certified check or good bank draft payable to the Warrant Agent or by wire transfer of immediately available funds;</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40" w:firstLine="1428"/>
        <w:spacing w:after="0" w:line="269" w:lineRule="auto"/>
        <w:tabs>
          <w:tab w:leader="none" w:pos="1681"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Private Placement Warrant or Working Capital Warrant, so long as such Private Placement Warrant or Working Capital Warrant is held by the Sponsor or its Permitted Transferees, by surrendering the Warrants for that number of Ordinary Shares equal to the quotient obtained by dividing (x) the product of the number of Ordinary Shares underlying the Warrants, multiplied by the excess of the “Sponsor Exercise Fair Market Value,” as defined in this </w:t>
      </w:r>
      <w:r>
        <w:rPr>
          <w:rFonts w:ascii="Times New Roman" w:cs="Times New Roman" w:eastAsia="Times New Roman" w:hAnsi="Times New Roman"/>
          <w:sz w:val="17"/>
          <w:szCs w:val="17"/>
          <w:u w:val="single" w:color="auto"/>
          <w:color w:val="auto"/>
        </w:rPr>
        <w:t>subsection 3.3.1(c)</w:t>
      </w:r>
      <w:r>
        <w:rPr>
          <w:rFonts w:ascii="Times New Roman" w:cs="Times New Roman" w:eastAsia="Times New Roman" w:hAnsi="Times New Roman"/>
          <w:sz w:val="17"/>
          <w:szCs w:val="17"/>
          <w:color w:val="auto"/>
        </w:rPr>
        <w:t xml:space="preserve">, over the Warrant Price by (y) the Fair Market Value. Solely for purposes of this </w:t>
      </w:r>
      <w:r>
        <w:rPr>
          <w:rFonts w:ascii="Times New Roman" w:cs="Times New Roman" w:eastAsia="Times New Roman" w:hAnsi="Times New Roman"/>
          <w:sz w:val="17"/>
          <w:szCs w:val="17"/>
          <w:u w:val="single" w:color="auto"/>
          <w:color w:val="auto"/>
        </w:rPr>
        <w:t>subsection 3.3.1(c)</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Sponsor Exercise Fair Market Value</w:t>
      </w:r>
      <w:r>
        <w:rPr>
          <w:rFonts w:ascii="Times New Roman" w:cs="Times New Roman" w:eastAsia="Times New Roman" w:hAnsi="Times New Roman"/>
          <w:sz w:val="17"/>
          <w:szCs w:val="17"/>
          <w:color w:val="auto"/>
        </w:rPr>
        <w:t>” shall mean the average reported closing price of the Ordinary Shares for the ten</w:t>
      </w:r>
    </w:p>
    <w:p>
      <w:pPr>
        <w:spacing w:after="0" w:line="2"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ending on the third trading day prior to the date on which notice of exercise of the Warrant is sent to the Warrant Agent;</w:t>
      </w:r>
    </w:p>
    <w:p>
      <w:pPr>
        <w:spacing w:after="0" w:line="206"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with respect to a Make-Whole Exercise; or</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4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Ordinary Shares on Exercise</w:t>
      </w:r>
      <w:r>
        <w:rPr>
          <w:rFonts w:ascii="Times New Roman" w:cs="Times New Roman" w:eastAsia="Times New Roman" w:hAnsi="Times New Roman"/>
          <w:sz w:val="18"/>
          <w:szCs w:val="18"/>
          <w:color w:val="auto"/>
        </w:rPr>
        <w:t xml:space="preserve">. As soon as practicable after the exercise of any Warrant and the clearance of the funds in payment of the Warrant Price (if payment is pursuant to </w:t>
      </w:r>
      <w:r>
        <w:rPr>
          <w:rFonts w:ascii="Times New Roman" w:cs="Times New Roman" w:eastAsia="Times New Roman" w:hAnsi="Times New Roman"/>
          <w:sz w:val="18"/>
          <w:szCs w:val="18"/>
          <w:u w:val="single" w:color="auto"/>
          <w:color w:val="auto"/>
        </w:rPr>
        <w:t>subsection 3.3.1(a))</w:t>
      </w:r>
      <w:r>
        <w:rPr>
          <w:rFonts w:ascii="Times New Roman" w:cs="Times New Roman" w:eastAsia="Times New Roman" w:hAnsi="Times New Roman"/>
          <w:sz w:val="18"/>
          <w:szCs w:val="18"/>
          <w:color w:val="auto"/>
        </w:rPr>
        <w:t>, the Company shall issue to the Registered Holder of such Warrant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7" w:name="page98"/>
    <w:bookmarkEnd w:id="9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 current, subject to the Company’s satisfying its obligations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No Warrant shall be exercisable and the Company shall not be obligated to issue Ordinary Shares upon exercise of a Warrant unless the Ordinary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In no event will the Company be required to net cash settle the Warrant exercise. The Company may require holders of Public Warrants to settle the Warrant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192" w:lineRule="exact"/>
        <w:rPr>
          <w:sz w:val="20"/>
          <w:szCs w:val="20"/>
          <w:color w:val="auto"/>
        </w:rPr>
      </w:pPr>
    </w:p>
    <w:p>
      <w:pPr>
        <w:ind w:left="4" w:right="18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Ordinary Shares issued upon the proper exercise of a Warrant in conformity with this Agreement shall be validly issued, fully paid and non-assessable.</w:t>
      </w:r>
    </w:p>
    <w:p>
      <w:pPr>
        <w:spacing w:after="0" w:line="162" w:lineRule="exact"/>
        <w:rPr>
          <w:sz w:val="20"/>
          <w:szCs w:val="20"/>
          <w:color w:val="auto"/>
        </w:rPr>
      </w:pPr>
    </w:p>
    <w:p>
      <w:pPr>
        <w:ind w:left="4" w:right="1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xml:space="preserve"> Each person in whose name any book-entry position or certificate, as applicable, for Ordinary Shares is issued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Ordinary Shares at the close of business on the next succeeding date on which the share transfer books or book-entry system are open.</w:t>
      </w:r>
    </w:p>
    <w:p>
      <w:pPr>
        <w:spacing w:after="0" w:line="187" w:lineRule="exact"/>
        <w:rPr>
          <w:sz w:val="20"/>
          <w:szCs w:val="20"/>
          <w:color w:val="auto"/>
        </w:rPr>
      </w:pPr>
    </w:p>
    <w:p>
      <w:pPr>
        <w:ind w:left="4" w:right="60" w:firstLine="1432"/>
        <w:spacing w:after="0" w:line="268" w:lineRule="auto"/>
        <w:rPr>
          <w:sz w:val="20"/>
          <w:szCs w:val="20"/>
          <w:color w:val="auto"/>
        </w:rPr>
      </w:pPr>
      <w:r>
        <w:rPr>
          <w:rFonts w:ascii="Times New Roman" w:cs="Times New Roman" w:eastAsia="Times New Roman" w:hAnsi="Times New Roman"/>
          <w:sz w:val="17"/>
          <w:szCs w:val="17"/>
          <w:color w:val="auto"/>
        </w:rPr>
        <w:t xml:space="preserve">3.3.5 </w:t>
      </w:r>
      <w:r>
        <w:rPr>
          <w:rFonts w:ascii="Times New Roman" w:cs="Times New Roman" w:eastAsia="Times New Roman" w:hAnsi="Times New Roman"/>
          <w:sz w:val="17"/>
          <w:szCs w:val="17"/>
          <w:u w:val="single" w:color="auto"/>
          <w:color w:val="auto"/>
        </w:rPr>
        <w:t>Maximum Percentage</w:t>
      </w:r>
      <w:r>
        <w:rPr>
          <w:rFonts w:ascii="Times New Roman" w:cs="Times New Roman" w:eastAsia="Times New Roman" w:hAnsi="Times New Roman"/>
          <w:sz w:val="17"/>
          <w:szCs w:val="17"/>
          <w:color w:val="auto"/>
        </w:rPr>
        <w:t xml:space="preserve">. A holder of a Warrant may notify the Company in writing in the event it elects to be subject to the provisions contained in this </w:t>
      </w:r>
      <w:r>
        <w:rPr>
          <w:rFonts w:ascii="Times New Roman" w:cs="Times New Roman" w:eastAsia="Times New Roman" w:hAnsi="Times New Roman"/>
          <w:sz w:val="17"/>
          <w:szCs w:val="17"/>
          <w:u w:val="single" w:color="auto"/>
          <w:color w:val="auto"/>
        </w:rPr>
        <w:t>subsection 3.3.5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no holder of a Warrant shall be subject to this </w:t>
      </w:r>
      <w:r>
        <w:rPr>
          <w:rFonts w:ascii="Times New Roman" w:cs="Times New Roman" w:eastAsia="Times New Roman" w:hAnsi="Times New Roman"/>
          <w:sz w:val="17"/>
          <w:szCs w:val="17"/>
          <w:u w:val="single" w:color="auto"/>
          <w:color w:val="auto"/>
        </w:rPr>
        <w:t>subsection 3.3.5</w:t>
      </w:r>
      <w:r>
        <w:rPr>
          <w:rFonts w:ascii="Times New Roman" w:cs="Times New Roman" w:eastAsia="Times New Roman" w:hAnsi="Times New Roman"/>
          <w:sz w:val="17"/>
          <w:szCs w:val="17"/>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specify)(the “</w:t>
      </w:r>
      <w:r>
        <w:rPr>
          <w:rFonts w:ascii="Times New Roman" w:cs="Times New Roman" w:eastAsia="Times New Roman" w:hAnsi="Times New Roman"/>
          <w:sz w:val="17"/>
          <w:szCs w:val="17"/>
          <w:b w:val="1"/>
          <w:bCs w:val="1"/>
          <w:i w:val="1"/>
          <w:iCs w:val="1"/>
          <w:color w:val="auto"/>
        </w:rPr>
        <w:t>Maximum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Percentage</w:t>
      </w:r>
      <w:r>
        <w:rPr>
          <w:rFonts w:ascii="Times New Roman" w:cs="Times New Roman" w:eastAsia="Times New Roman" w:hAnsi="Times New Roman"/>
          <w:sz w:val="17"/>
          <w:szCs w:val="17"/>
          <w:color w:val="auto"/>
        </w:rPr>
        <w:t>”) of the Ordinary Shares outstanding immediately after giving effect to such exercise. For purposes of the foregoing sentence, the aggregate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w:t>
      </w:r>
    </w:p>
    <w:p>
      <w:pPr>
        <w:ind w:left="4" w:right="20" w:hanging="4"/>
        <w:spacing w:after="0" w:line="250" w:lineRule="auto"/>
        <w:tabs>
          <w:tab w:leader="none" w:pos="2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Ordinary Shares outstanding. For any reason at any time, upon the written request of the holder of the Warrant, the Company shall, within two</w:t>
      </w:r>
    </w:p>
    <w:p>
      <w:pPr>
        <w:spacing w:after="0" w:line="3"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increase shall not be effective until the sixty-first (61st) day after such notice is delivered to the Company.</w:t>
      </w:r>
    </w:p>
    <w:p>
      <w:pPr>
        <w:spacing w:after="0" w:line="186"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Share Capitalizations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Split-Ups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below, the number of outstanding Ordinary Shares is increased by a share capitalization payable in Ordinary Shares, or by a</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8" w:name="page99"/>
    <w:bookmarkEnd w:id="9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split-up of Ordinary Shares or other similar event, then, on the effective date of such share capitalization, split-up or similar event, the number of Ordinary Shares issuable on exercise of each Warrant shall be increased in proportion to such increase in the outstanding Ordinary Shares. A rights offering made to all or substantially all holders of the Ordinary Shares entitling holders to purchase Ordinary Shares at a price less than the “Historical Fair Market Value” (as defined below) shall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(1) minus the quotient of (x) the price per Ordinary Share paid in such rights offering divided by (y) the Historical Fair Market Value. For purposes of this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(i)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(ii) “</w:t>
      </w:r>
      <w:r>
        <w:rPr>
          <w:rFonts w:ascii="Times New Roman" w:cs="Times New Roman" w:eastAsia="Times New Roman" w:hAnsi="Times New Roman"/>
          <w:sz w:val="18"/>
          <w:szCs w:val="18"/>
          <w:b w:val="1"/>
          <w:bCs w:val="1"/>
          <w:i w:val="1"/>
          <w:iCs w:val="1"/>
          <w:color w:val="auto"/>
        </w:rPr>
        <w:t>Historical Fair Market Value</w:t>
      </w:r>
      <w:r>
        <w:rPr>
          <w:rFonts w:ascii="Times New Roman" w:cs="Times New Roman" w:eastAsia="Times New Roman" w:hAnsi="Times New Roman"/>
          <w:sz w:val="18"/>
          <w:szCs w:val="18"/>
          <w:color w:val="auto"/>
        </w:rPr>
        <w:t>” means the volume weighted average price of the Ordinary Shares as reported during the ten (10) trading day period ending on the trading day prior to the first date on which the Ordinary Shares trade on the applicable exchange or in the applicable market, regular way, without the right to receive such rights. No Ordinary Shares shall be issued at less than their par value.</w:t>
      </w:r>
    </w:p>
    <w:p>
      <w:pPr>
        <w:spacing w:after="0" w:line="190" w:lineRule="exact"/>
        <w:rPr>
          <w:sz w:val="20"/>
          <w:szCs w:val="20"/>
          <w:color w:val="auto"/>
        </w:rPr>
      </w:pPr>
    </w:p>
    <w:p>
      <w:pPr>
        <w:ind w:left="4" w:firstLine="1432"/>
        <w:spacing w:after="0" w:line="267"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Extraordinary Dividends</w:t>
      </w:r>
      <w:r>
        <w:rPr>
          <w:rFonts w:ascii="Times New Roman" w:cs="Times New Roman" w:eastAsia="Times New Roman" w:hAnsi="Times New Roman"/>
          <w:sz w:val="17"/>
          <w:szCs w:val="17"/>
          <w:color w:val="auto"/>
        </w:rPr>
        <w:t xml:space="preserve">. If the Company, at any time while the Warrants are outstanding and unexpired, shall pay a dividend or make a distribution in cash, securities or other assets to all or substantially all of the holders of Ordinary Shares on account of such Ordinary Shares (or other of the Company’s share capital into which the Warrants are convertible), other than (a) as described in </w:t>
      </w:r>
      <w:r>
        <w:rPr>
          <w:rFonts w:ascii="Times New Roman" w:cs="Times New Roman" w:eastAsia="Times New Roman" w:hAnsi="Times New Roman"/>
          <w:sz w:val="17"/>
          <w:szCs w:val="17"/>
          <w:u w:val="single" w:color="auto"/>
          <w:color w:val="auto"/>
        </w:rPr>
        <w:t>subsection 4.1.1</w:t>
      </w:r>
      <w:r>
        <w:rPr>
          <w:rFonts w:ascii="Times New Roman" w:cs="Times New Roman" w:eastAsia="Times New Roman" w:hAnsi="Times New Roman"/>
          <w:sz w:val="17"/>
          <w:szCs w:val="17"/>
          <w:color w:val="auto"/>
        </w:rPr>
        <w:t xml:space="preserve"> above, (b) Ordinary Cash Dividends (as defined below), (c) to satisfy the redemption rights of the holders of Ordinary Shares in connection with a proposed initial Business Combination, (d) to satisfy the redemption rights of the holders of Ordinary Shares in connection with a shareholder vote to amend the Company’s amended and restated memorandum and articles of association (as amended from time to time, the “</w:t>
      </w:r>
      <w:r>
        <w:rPr>
          <w:rFonts w:ascii="Times New Roman" w:cs="Times New Roman" w:eastAsia="Times New Roman" w:hAnsi="Times New Roman"/>
          <w:sz w:val="17"/>
          <w:szCs w:val="17"/>
          <w:b w:val="1"/>
          <w:bCs w:val="1"/>
          <w:i w:val="1"/>
          <w:iCs w:val="1"/>
          <w:color w:val="auto"/>
        </w:rPr>
        <w:t>Charter</w:t>
      </w:r>
      <w:r>
        <w:rPr>
          <w:rFonts w:ascii="Times New Roman" w:cs="Times New Roman" w:eastAsia="Times New Roman" w:hAnsi="Times New Roman"/>
          <w:sz w:val="17"/>
          <w:szCs w:val="17"/>
          <w:color w:val="auto"/>
        </w:rPr>
        <w:t>”) (A) to modify the substance or timing of the Company’s obligation to allow redemption in connection with the Company’s initial business combination or to redeem 100% of the Ordinary Shares included in the Units sold in the Offering (the “</w:t>
      </w:r>
      <w:r>
        <w:rPr>
          <w:rFonts w:ascii="Times New Roman" w:cs="Times New Roman" w:eastAsia="Times New Roman" w:hAnsi="Times New Roman"/>
          <w:sz w:val="17"/>
          <w:szCs w:val="17"/>
          <w:b w:val="1"/>
          <w:bCs w:val="1"/>
          <w:i w:val="1"/>
          <w:iCs w:val="1"/>
          <w:color w:val="auto"/>
        </w:rPr>
        <w:t>Public Shares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if the Company does not complete the Business Combination within the period set forth in the Charter or (B) with respect to any other material provisions relating to shareholders’ rights or pre-initial Business Combination activity or</w:t>
      </w:r>
    </w:p>
    <w:p>
      <w:pPr>
        <w:spacing w:after="0" w:line="5" w:lineRule="exact"/>
        <w:rPr>
          <w:sz w:val="20"/>
          <w:szCs w:val="20"/>
          <w:color w:val="auto"/>
        </w:rPr>
      </w:pPr>
    </w:p>
    <w:p>
      <w:pPr>
        <w:ind w:left="4" w:hanging="4"/>
        <w:spacing w:after="0" w:line="251" w:lineRule="auto"/>
        <w:tabs>
          <w:tab w:leader="none" w:pos="2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Times New Roman" w:cs="Times New Roman" w:eastAsia="Times New Roman" w:hAnsi="Times New Roman"/>
          <w:sz w:val="18"/>
          <w:szCs w:val="18"/>
          <w:b w:val="1"/>
          <w:bCs w:val="1"/>
          <w:i w:val="1"/>
          <w:iCs w:val="1"/>
          <w:color w:val="auto"/>
        </w:rPr>
        <w:t>Extraordinary Dividend</w:t>
      </w:r>
      <w:r>
        <w:rPr>
          <w:rFonts w:ascii="Times New Roman" w:cs="Times New Roman" w:eastAsia="Times New Roman" w:hAnsi="Times New Roman"/>
          <w:sz w:val="18"/>
          <w:szCs w:val="18"/>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For purposes of this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Ordinary Cash Dividends</w:t>
      </w:r>
      <w:r>
        <w:rPr>
          <w:rFonts w:ascii="Times New Roman" w:cs="Times New Roman" w:eastAsia="Times New Roman" w:hAnsi="Times New Roman"/>
          <w:sz w:val="18"/>
          <w:szCs w:val="18"/>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(as adjusted to appropriately reflect any of the events referred to in other subsections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excluding cash dividends or cash distributions that resulted in an adjustment to the Warrant Price or to the number of Ordinary Shares issuable on exercise of each Warrant) does not exceed $0.50 (being 5% of the offering price of the Units in the Offering)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Ordinary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w:t>
      </w:r>
    </w:p>
    <w:p>
      <w:pPr>
        <w:spacing w:after="0" w:line="190"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hereof,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shall be decreased in proportion to such decrease in outstanding Ordinary Shares.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 in Warrant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4.3.1 Whenever the number of Ordinary Shares purchasable upon the exercise of the Warrants is adjusted, as provided in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9" w:name="page100"/>
    <w:bookmarkEnd w:id="99"/>
    <w:p>
      <w:pPr>
        <w:ind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4.3.2 If (x) the Company issues additional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and, in the case of any such issuance to the initial shareholders (as defined in the Prospectus) or their affiliates, without taking into account any Class B Ordinary Shares (as defined below) held by such shareholders or their affiliates, as applicable, prior to such issuance (the “</w:t>
      </w:r>
      <w:r>
        <w:rPr>
          <w:rFonts w:ascii="Times New Roman" w:cs="Times New Roman" w:eastAsia="Times New Roman" w:hAnsi="Times New Roman"/>
          <w:sz w:val="18"/>
          <w:szCs w:val="18"/>
          <w:b w:val="1"/>
          <w:bCs w:val="1"/>
          <w:i w:val="1"/>
          <w:iCs w:val="1"/>
          <w:color w:val="auto"/>
        </w:rPr>
        <w:t>Newly Issued Price</w:t>
      </w:r>
      <w:r>
        <w:rPr>
          <w:rFonts w:ascii="Times New Roman" w:cs="Times New Roman" w:eastAsia="Times New Roman" w:hAnsi="Times New Roman"/>
          <w:sz w:val="18"/>
          <w:szCs w:val="18"/>
          <w:color w:val="auto"/>
        </w:rPr>
        <w:t>”)), (y) the aggregate gross proceeds from such issuances represent more than 60% of the total equity proceeds, and interest thereon, available for funding the initial Business Combination on the date of the consummation of our initial business combination (net of redemptions), and (z) the volume weighted average trading price of the Ordinary Shares during the 10 trading day period starting on the trading day prior to the day on which the Company consummates the Business Combination (such price, the “</w:t>
      </w:r>
      <w:r>
        <w:rPr>
          <w:rFonts w:ascii="Times New Roman" w:cs="Times New Roman" w:eastAsia="Times New Roman" w:hAnsi="Times New Roman"/>
          <w:sz w:val="18"/>
          <w:szCs w:val="18"/>
          <w:b w:val="1"/>
          <w:bCs w:val="1"/>
          <w:i w:val="1"/>
          <w:iCs w:val="1"/>
          <w:color w:val="auto"/>
        </w:rPr>
        <w:t>Market Value</w:t>
      </w:r>
      <w:r>
        <w:rPr>
          <w:rFonts w:ascii="Times New Roman" w:cs="Times New Roman" w:eastAsia="Times New Roman" w:hAnsi="Times New Roman"/>
          <w:sz w:val="18"/>
          <w:szCs w:val="18"/>
          <w:color w:val="auto"/>
        </w:rPr>
        <w:t xml:space="preserve">”) is below $9.20 per share, the Warrant Price shall be adjusted (to the nearest cent) to be equal to 115% of the higher of the Market Value and the Newly Issued Price, the $18.00 per share redemption trigger price described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below shall be adjusted (to the nearest cent) to be equal to 180% of the higher of the Market Value and the Newly Issued Price and the $10.00 per share redemption trigger price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adjusted (to the nearest cent) to be equal to the higher of the Market Value and the Newly Issued Price.</w:t>
      </w:r>
    </w:p>
    <w:p>
      <w:pPr>
        <w:spacing w:after="0" w:line="190"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Replacement of Securities upon Reorganization, etc</w:t>
      </w:r>
      <w:r>
        <w:rPr>
          <w:rFonts w:ascii="Times New Roman" w:cs="Times New Roman" w:eastAsia="Times New Roman" w:hAnsi="Times New Roman"/>
          <w:sz w:val="17"/>
          <w:szCs w:val="17"/>
          <w:color w:val="auto"/>
        </w:rPr>
        <w:t xml:space="preserve">. In case of any reclassification or reorganization of the outstanding Ordinary Shares (other than a change under </w:t>
      </w:r>
      <w:r>
        <w:rPr>
          <w:rFonts w:ascii="Times New Roman" w:cs="Times New Roman" w:eastAsia="Times New Roman" w:hAnsi="Times New Roman"/>
          <w:sz w:val="17"/>
          <w:szCs w:val="17"/>
          <w:u w:val="single" w:color="auto"/>
          <w:color w:val="auto"/>
        </w:rPr>
        <w:t>subsections 4.1.1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hereof or that solely affects the par value of such Ordinary Shares), or in the case of any merger or consolidation of the Company with or into another entity or conversion of the Company as another entity (other than a consolidation or merger in which the Company is the continuing corporation and is not a subsidiary of another entity whose shareholders did not own all or substantially all of the Ordinary Shares of the Company in substantially the same proportions immediately before such transaction and that does not result in any reclassification or reorganization of the outstanding Ordinary Shares),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 w:cs="Times New Roman" w:eastAsia="Times New Roman" w:hAnsi="Times New Roman"/>
          <w:sz w:val="17"/>
          <w:szCs w:val="17"/>
          <w:b w:val="1"/>
          <w:bCs w:val="1"/>
          <w:i w:val="1"/>
          <w:iCs w:val="1"/>
          <w:color w:val="auto"/>
        </w:rPr>
        <w:t>Alternative Issuance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if the holders of the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Ordinary Shares in such consolidation or merger that affirmatively make such election, and (ii) if a tender, exchange or redemption offer shall have been made to and accepted by the holders of the Ordinary Shares (other than a tender, exchange or redemption offer made by the Company in connection with redemption rights held by shareholders of the Company as provided for in the Charter or as a result of the redemption of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w:t>
      </w:r>
    </w:p>
    <w:p>
      <w:pPr>
        <w:spacing w:after="0" w:line="20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13d-3 under the Exchange Act (or any successor rule)) more than 65% of the outstanding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adjustments (from and after the consummation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0" w:name="page101"/>
    <w:bookmarkEnd w:id="100"/>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tender or exchange offer) as nearly equivalent as possible to the adjustments provided for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less than 70% of the consideration receivable by the holders of the Ordinary Shares in the applicable event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(but in no event less than zero) of (i) the Warrant Price in effect prior to such reduction minus (ii) (A) the Per Share Consideration (as defined below) minus (B) the Black-Scholes Warrant Value (as defined below). The “</w:t>
      </w:r>
      <w:r>
        <w:rPr>
          <w:rFonts w:ascii="Times New Roman" w:cs="Times New Roman" w:eastAsia="Times New Roman" w:hAnsi="Times New Roman"/>
          <w:sz w:val="18"/>
          <w:szCs w:val="18"/>
          <w:b w:val="1"/>
          <w:bCs w:val="1"/>
          <w:i w:val="1"/>
          <w:iCs w:val="1"/>
          <w:color w:val="auto"/>
        </w:rPr>
        <w:t>Black-Scholes Warrant Value</w:t>
      </w:r>
      <w:r>
        <w:rPr>
          <w:rFonts w:ascii="Times New Roman" w:cs="Times New Roman" w:eastAsia="Times New Roman" w:hAnsi="Times New Roman"/>
          <w:sz w:val="18"/>
          <w:szCs w:val="18"/>
          <w:color w:val="auto"/>
        </w:rPr>
        <w:t>” means the value of a Warrant immediately prior to the consummation of the applicable event based on the Black-Scholes Warrant Model for a Capped American Call on Bloomberg Financial Markets (“</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For purposes of calculating such amount,</w:t>
      </w:r>
    </w:p>
    <w:p>
      <w:pPr>
        <w:spacing w:after="0" w:line="6" w:lineRule="exact"/>
        <w:rPr>
          <w:sz w:val="20"/>
          <w:szCs w:val="20"/>
          <w:color w:val="auto"/>
        </w:rPr>
      </w:pPr>
    </w:p>
    <w:p>
      <w:pPr>
        <w:ind w:left="4" w:right="20" w:hanging="4"/>
        <w:spacing w:after="0" w:line="251"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shall be taken into account, (2) the price of each Ordinary Share shall be the volume weighted average price of the Ordinary Shares as reported during the ten (10) 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Times New Roman" w:cs="Times New Roman" w:eastAsia="Times New Roman" w:hAnsi="Times New Roman"/>
          <w:sz w:val="18"/>
          <w:szCs w:val="18"/>
          <w:b w:val="1"/>
          <w:bCs w:val="1"/>
          <w:i w:val="1"/>
          <w:iCs w:val="1"/>
          <w:color w:val="auto"/>
        </w:rPr>
        <w:t>Per Share Consideration</w:t>
      </w:r>
      <w:r>
        <w:rPr>
          <w:rFonts w:ascii="Times New Roman" w:cs="Times New Roman" w:eastAsia="Times New Roman" w:hAnsi="Times New Roman"/>
          <w:sz w:val="18"/>
          <w:szCs w:val="18"/>
          <w:color w:val="auto"/>
        </w:rPr>
        <w:t xml:space="preserve">” means (i) if the consideration paid to holders of the Ordinary Shares consists exclusively of cash, the amount of such cash per Ordinary Share, and (ii) in all other cases, the volume weighted average price of the Ordinary Shares as reported during the ten (10) trading day period ending on the trading day prior to the effective date of the applicable event. If any reclassification or reorganization also results in a change in Ordinary Shares covered by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then such adjustment shall be made pursuant to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9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Upon every adjustment of the Warrant Price or the number of Ordinary Shares issuable upon exercise of a Warrant, the Company shall give written notice thereof to the Warrant Agent, which notice shall state the Warrant Price resulting from such adjustment and the increase or decrease, if any, in the number of Ordinary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89" w:lineRule="exact"/>
        <w:rPr>
          <w:sz w:val="20"/>
          <w:szCs w:val="20"/>
          <w:color w:val="auto"/>
        </w:rPr>
      </w:pPr>
    </w:p>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Notwithstanding any provision contained in this Agreement to the contrary, the Company shall not issue fractional Ordinary Shares upon the exercise of Warrants. If, by reason of any adjustment made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180"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The form of Warrant need not be changed because of any adjustment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Warrants issued after such adjustment may state the same Warrant Price and the same number of Ordinary Shares as is stated in the Warrants initially issued pursuant to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case any event shall occur affecting the Company as to which none of the provisions of preceding subsections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strictly applicable, but which would require an adjustment to the terms of the Warrants in order to (i) avoid an adverse impact on the Warrants and (ii) effectuate the intent and purpose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if they determine that an adjustment is necessary, the terms of such adjustment. The Company shall adjust the terms of the Warrants in a manner that is consistent with any adjustment recommended in such opinion.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01" w:name="page102"/>
    <w:bookmarkEnd w:id="101"/>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4.9 </w:t>
      </w: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xml:space="preserve"> For the avoidance of doubt, no adjustment shall be made to the terms of the Warrants solely as a result of an adjustment to the conversion ratio of the Company’s Class B ordinary shares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into Ordinary Shares or the conversion of the Class B Ordinary Shares into Ordinary Shares, in each case, pursuant to the Charter.</w:t>
      </w:r>
    </w:p>
    <w:p>
      <w:pPr>
        <w:spacing w:after="0" w:line="176" w:lineRule="exact"/>
        <w:rPr>
          <w:sz w:val="20"/>
          <w:szCs w:val="20"/>
          <w:color w:val="auto"/>
        </w:rPr>
      </w:pPr>
    </w:p>
    <w:p>
      <w:pPr>
        <w:ind w:left="620" w:hanging="184"/>
        <w:spacing w:after="0"/>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xml:space="preserve">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Times New Roman" w:cs="Times New Roman" w:eastAsia="Times New Roman" w:hAnsi="Times New Roman"/>
          <w:sz w:val="18"/>
          <w:szCs w:val="18"/>
          <w:u w:val="single" w:color="auto"/>
          <w:color w:val="auto"/>
        </w:rPr>
        <w:t>provided further, however,</w:t>
      </w:r>
      <w:r>
        <w:rPr>
          <w:rFonts w:ascii="Times New Roman" w:cs="Times New Roman" w:eastAsia="Times New Roman" w:hAnsi="Times New Roman"/>
          <w:sz w:val="18"/>
          <w:szCs w:val="18"/>
          <w:color w:val="auto"/>
        </w:rPr>
        <w:t xml:space="preserve"> that in the event that a Warrant surrendered for transfer bears a restrictive legend (as in the case of the Private Placement Warrants and the Working Capital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88"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Company, whenever required by the Warrant Agent, shall supply the Warrant Agent with Warrants duly executed on behalf of the Company for such purpose.</w:t>
      </w:r>
    </w:p>
    <w:p>
      <w:pPr>
        <w:spacing w:after="0" w:line="176"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have no effect on any transfer of Warrants on and after the Detachment Date.</w:t>
      </w:r>
    </w:p>
    <w:p>
      <w:pPr>
        <w:spacing w:after="0" w:line="180" w:lineRule="exact"/>
        <w:rPr>
          <w:sz w:val="20"/>
          <w:szCs w:val="20"/>
          <w:color w:val="auto"/>
        </w:rPr>
      </w:pPr>
    </w:p>
    <w:p>
      <w:pPr>
        <w:ind w:left="620" w:hanging="184"/>
        <w:spacing w:after="0"/>
        <w:tabs>
          <w:tab w:leader="none" w:pos="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 of Warrants for Cash.</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at a Redemption Price (as defined below) of $0.01 per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Reference Value equals or exceeds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(b) there is an effective registration statement covering the Ordinary Shares issuable upon exercise of the Warrants, and a current prospectus relating thereto, available throughout the 30-day Redemption Period (as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Redemption of Warrants for Ordinary Shares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at a Redemption Price of $0.10 per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Reference Value equals or exceeds $10.00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(ii) if the Reference Value is less than $18.00 per share (subject to adjustment in compliance with Section 4 hereof), the Private Placement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02" w:name="page103"/>
    <w:bookmarkEnd w:id="10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Warrants and Working Capital Warrants are also concurrently called for redemption on the same terms as the outstanding Public Warrants. During the 30-day Redemption Period in connection with a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Registered Holders of the Warrants may elect to exercise their Warrants on a “cashless basis” and receive a number of Ordinary Shares determined by reference to the table below, based on the Redemption Date (calculated for purposes of the table as the period to expiration of the Warrants) and the “Redemption Fair Market Value” (as such term is defined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Make-Whole Exercise</w:t>
      </w:r>
      <w:r>
        <w:rPr>
          <w:rFonts w:ascii="Times New Roman" w:cs="Times New Roman" w:eastAsia="Times New Roman" w:hAnsi="Times New Roman"/>
          <w:sz w:val="18"/>
          <w:szCs w:val="18"/>
          <w:color w:val="auto"/>
        </w:rPr>
        <w:t xml:space="preserve">”). Solely for purposes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Redemption Fair Market Value</w:t>
      </w:r>
      <w:r>
        <w:rPr>
          <w:rFonts w:ascii="Times New Roman" w:cs="Times New Roman" w:eastAsia="Times New Roman" w:hAnsi="Times New Roman"/>
          <w:sz w:val="18"/>
          <w:szCs w:val="18"/>
          <w:color w:val="auto"/>
        </w:rPr>
        <w:t xml:space="preserve">” shall mean the volume weighted average price of the Ordinary Shares for the ten (10) trading days immediately following the date on which notice of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is sent to the Registered Holders. In connection with any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Company shall provide the Registered Holders with the Redemption Fair Market Value no later than one (1) Business Day after the ten (10) trading day period described above ends.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1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 Fair Market Value of Ordinary Shares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10.00</w:t>
            </w:r>
          </w:p>
        </w:tc>
        <w:tc>
          <w:tcPr>
            <w:tcW w:w="18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2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12.00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13.00</w:t>
            </w:r>
          </w:p>
        </w:tc>
        <w:tc>
          <w:tcPr>
            <w:tcW w:w="16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16.00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17.00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³</w:t>
            </w:r>
            <w:r>
              <w:rPr>
                <w:rFonts w:ascii="Times New Roman" w:cs="Times New Roman" w:eastAsia="Times New Roman" w:hAnsi="Times New Roman"/>
                <w:sz w:val="14"/>
                <w:szCs w:val="14"/>
                <w:b w:val="1"/>
                <w:bCs w:val="1"/>
                <w:color w:val="auto"/>
                <w:w w:val="98"/>
              </w:rPr>
              <w:t>$18.00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0.281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0.277</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0.358</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0.272</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0.357</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0.268</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0.287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0.333</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0.263</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0.258</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0.330</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0.252</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0.246</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0.269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0.325</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0.239</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0.205</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0.232</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0.196</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0.224</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0.316</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0.185</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0.214</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0.313</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0.204</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0.193</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0.146</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0.179</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0.164</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0.111</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0.146</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0.282</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0.125</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0.272</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0.065</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0.099</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0.259</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0.034</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0.065</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0.104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0.243</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Ordinary Shares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above shall be adjusted as of any date on which the number of shares issuable upon exercise of a Warrant or the Exercise Price is adjusted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If the number of shares issuable upon exercise of a Warrant is adjusted pursuant to Section 4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Section 4.4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Section 4.1.2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Ordinary Shares per Warrant (subject to adjustment).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03" w:name="page104"/>
    <w:bookmarkEnd w:id="10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Date Fixed for, and Notice of, Redemption; Redemption Price; Reference Value</w:t>
      </w:r>
      <w:r>
        <w:rPr>
          <w:rFonts w:ascii="Times New Roman" w:cs="Times New Roman" w:eastAsia="Times New Roman" w:hAnsi="Times New Roman"/>
          <w:sz w:val="18"/>
          <w:szCs w:val="18"/>
          <w:color w:val="auto"/>
        </w:rPr>
        <w:t>. In the event that the Company elects to redeem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Warrants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Company shall fix a date for the redemption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Notice of redemption shall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mailed by first class mail, postage prepaid, by the Company not less than thirty (30) days prior to the Redemption Date (such period,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Period</w:t>
      </w:r>
      <w:r>
        <w:rPr>
          <w:rFonts w:ascii="Times New Roman" w:cs="Times New Roman" w:eastAsia="Times New Roman" w:hAnsi="Times New Roman"/>
          <w:sz w:val="18"/>
          <w:szCs w:val="18"/>
          <w:color w:val="auto"/>
        </w:rPr>
        <w:t>”) to the Registered Holders of the Warrants to be redeemed at their last addresses as they shall appear on the registration books.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Any notice mailed in the manner herein provided shall be conclusively presumed to have been duly given whether or not the Registered Holder received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notice. As used in this Agreement, (a)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shall mean the price per Warrant at which any Warrants are redeemed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u w:val="single" w:color="auto"/>
          <w:color w:val="auto"/>
        </w:rPr>
        <w:t>Sections 6.1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6.2</w:t>
      </w:r>
      <w:r>
        <w:rPr>
          <w:rFonts w:ascii="Times New Roman" w:cs="Times New Roman" w:eastAsia="Times New Roman" w:hAnsi="Times New Roman"/>
          <w:sz w:val="17"/>
          <w:szCs w:val="17"/>
          <w:color w:val="auto"/>
        </w:rPr>
        <w:t xml:space="preserve"> and (b) “</w:t>
      </w:r>
      <w:r>
        <w:rPr>
          <w:rFonts w:ascii="Times New Roman" w:cs="Times New Roman" w:eastAsia="Times New Roman" w:hAnsi="Times New Roman"/>
          <w:sz w:val="17"/>
          <w:szCs w:val="17"/>
          <w:b w:val="1"/>
          <w:bCs w:val="1"/>
          <w:i w:val="1"/>
          <w:iCs w:val="1"/>
          <w:color w:val="auto"/>
        </w:rPr>
        <w:t>Reference Value</w:t>
      </w:r>
      <w:r>
        <w:rPr>
          <w:rFonts w:ascii="Times New Roman" w:cs="Times New Roman" w:eastAsia="Times New Roman" w:hAnsi="Times New Roman"/>
          <w:sz w:val="17"/>
          <w:szCs w:val="17"/>
          <w:color w:val="auto"/>
        </w:rPr>
        <w:t>” shall mean the last reported sales price of the Ordinary Shares for any twenty (20) trading days within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thirty (30) trading-day period ending on the third trading day prior to the date on which notice of the redemption is given.</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for cash (or on a “cashless basis” in accordance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at any time after notice of redemption shall have been given by the Company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prior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Redemption Date. On and after the Redemption Date, the record holder of the Warrants shall have no further rights except to receive, upon surrender</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Warrants, the Redemption Price.</w:t>
      </w:r>
    </w:p>
    <w:p>
      <w:pPr>
        <w:spacing w:after="0" w:line="207"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Exclusion of Private Placement Warrants and Working Capital Warrants</w:t>
      </w:r>
      <w:r>
        <w:rPr>
          <w:rFonts w:ascii="Times New Roman" w:cs="Times New Roman" w:eastAsia="Times New Roman" w:hAnsi="Times New Roman"/>
          <w:sz w:val="18"/>
          <w:szCs w:val="18"/>
          <w:color w:val="auto"/>
        </w:rPr>
        <w:t xml:space="preserve">. The Company agrees that the redemption rights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apply to the Private Placement Warrants or the Working Capital Warrants if at the time of the redemption such Private Placement Warrants or Working Capital Warrants continue to be held by the Sponsor or any of its Permitted Transferees, as applicable. However, once such Private Placement Warrants or Working Capital Warrants are transferred (other than to Permitted Transferees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may redeem the Private Placement Warrants and the Working Capital Warrants, provided that the criteria for redemption are met, including the opportunity of the holder of such Private Placement Warrants or Working Capital Warrants to exercise the Private Placement Warrants and the Working Capital Warrants prior to redemption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Private Placement Warrants and Working Capital Warrants that are transferred to persons other than Permitted Transferees shall upon such transfer cease to be Private Placement Warrants or Working Capital Warrants and shall become Public Warrants under this Agreement.</w:t>
      </w:r>
    </w:p>
    <w:p>
      <w:pPr>
        <w:spacing w:after="0" w:line="188" w:lineRule="exact"/>
        <w:rPr>
          <w:sz w:val="20"/>
          <w:szCs w:val="20"/>
          <w:color w:val="auto"/>
        </w:rPr>
      </w:pPr>
    </w:p>
    <w:p>
      <w:pPr>
        <w:ind w:left="624" w:hanging="184"/>
        <w:spacing w:after="0"/>
        <w:tabs>
          <w:tab w:leader="none" w:pos="6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76"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Ordinary Shares; Cashless Exercise at Company’s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u w:val="single" w:color="auto"/>
          <w:color w:val="auto"/>
        </w:rPr>
        <w:t>Registration of the Ordinary Shares</w:t>
      </w:r>
      <w:r>
        <w:rPr>
          <w:rFonts w:ascii="Times New Roman" w:cs="Times New Roman" w:eastAsia="Times New Roman" w:hAnsi="Times New Roman"/>
          <w:sz w:val="18"/>
          <w:szCs w:val="18"/>
          <w:color w:val="auto"/>
        </w:rPr>
        <w:t>. The Company agrees that as soon as practicable, but in no event later than fifteen</w:t>
      </w:r>
    </w:p>
    <w:p>
      <w:pPr>
        <w:spacing w:after="0" w:line="27" w:lineRule="exact"/>
        <w:rPr>
          <w:sz w:val="20"/>
          <w:szCs w:val="20"/>
          <w:color w:val="auto"/>
        </w:rPr>
      </w:pPr>
    </w:p>
    <w:p>
      <w:pPr>
        <w:jc w:val="both"/>
        <w:ind w:left="4" w:right="20" w:hanging="4"/>
        <w:spacing w:after="0" w:line="253" w:lineRule="auto"/>
        <w:tabs>
          <w:tab w:leader="none" w:pos="3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of its initial Business Combination, it shall use its best efforts to file with the Commission a registration statement registering, under the Securities Act, the issuance of the Ordinary Shares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04" w:name="page105"/>
    <w:bookmarkEnd w:id="10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Ordinary Shares issuable upon exercise of the Warrants, to exercise such Warrants on a “cashless basis,” by exchanging the Warrants (in accordance with Section 3(a)(9) of the Securities Act (or any successor rule) or another exemption) for that number of Ordinary Shares equal to the quotient obtained by dividing (x) the product of the number of Ordinary Shares underlying the Warrants, multiplied by the excess of the “Fair Market Value” (as defined below) over the Warrant Price by (y) the Fair Market Value. Solely for purposes of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“Fair Market Value” shall mean the average last reported sales price of the Ordinary Shares for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is not required to be registered under the Securities Act and (ii) the Ordinary Shares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Times New Roman" w:cs="Times New Roman" w:eastAsia="Times New Roman" w:hAnsi="Times New Roman"/>
          <w:sz w:val="18"/>
          <w:szCs w:val="18"/>
          <w:u w:val="single" w:color="auto"/>
          <w:color w:val="auto"/>
        </w:rPr>
        <w:t>subsection 7.4.2</w:t>
      </w:r>
      <w:r>
        <w:rPr>
          <w:rFonts w:ascii="Times New Roman" w:cs="Times New Roman" w:eastAsia="Times New Roman" w:hAnsi="Times New Roman"/>
          <w:sz w:val="18"/>
          <w:szCs w:val="18"/>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Times New Roman" w:cs="Times New Roman" w:eastAsia="Times New Roman" w:hAnsi="Times New Roman"/>
          <w:sz w:val="18"/>
          <w:szCs w:val="18"/>
          <w:u w:val="single" w:color="auto"/>
          <w:color w:val="auto"/>
        </w:rPr>
        <w:t>subsection 7.4.1.</w:t>
      </w:r>
    </w:p>
    <w:p>
      <w:pPr>
        <w:spacing w:after="0" w:line="193" w:lineRule="exact"/>
        <w:rPr>
          <w:sz w:val="20"/>
          <w:szCs w:val="20"/>
          <w:color w:val="auto"/>
        </w:rPr>
      </w:pPr>
    </w:p>
    <w:p>
      <w:pPr>
        <w:ind w:right="10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u w:val="single" w:color="auto"/>
          <w:color w:val="auto"/>
        </w:rPr>
        <w:t>Cashless Exercise at Company’s Option</w:t>
      </w:r>
      <w:r>
        <w:rPr>
          <w:rFonts w:ascii="Times New Roman" w:cs="Times New Roman" w:eastAsia="Times New Roman" w:hAnsi="Times New Roman"/>
          <w:sz w:val="18"/>
          <w:szCs w:val="18"/>
          <w:color w:val="auto"/>
        </w:rPr>
        <w:t xml:space="preserve">. If the Ordinary Shares are at the time of any exercise of a Warrant not listed on a national securities exchange such that they satisfy the definition of “covered securities”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and (i) in the event the Company so elects, the Company shall not be required to file or maintain in effect a registration statement for the registration, under the Securities Act, of the Ordinary Shares issuable upon exercise of the Warrants, notwithstanding anything in this Agreement to the contrary or (ii) if the Company does not so elect, the Company agrees to use its best efforts to register or qualify for sale the Ordinary Shares issuable upon exercise of the Public Warrants under the blue sky laws of the state of residence of the exercising Public Warrant holder to the extent an exemption is not available.</w:t>
      </w:r>
    </w:p>
    <w:p>
      <w:pPr>
        <w:spacing w:after="0" w:line="192" w:lineRule="exact"/>
        <w:rPr>
          <w:sz w:val="20"/>
          <w:szCs w:val="20"/>
          <w:color w:val="auto"/>
        </w:rPr>
      </w:pPr>
    </w:p>
    <w:p>
      <w:pPr>
        <w:ind w:left="620" w:hanging="184"/>
        <w:spacing w:after="0"/>
        <w:tabs>
          <w:tab w:leader="none" w:pos="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Ordinary Shares.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xml:space="preserve">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05" w:name="page106"/>
    <w:bookmarkEnd w:id="10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83" w:lineRule="exact"/>
        <w:rPr>
          <w:sz w:val="20"/>
          <w:szCs w:val="20"/>
          <w:color w:val="auto"/>
        </w:rPr>
      </w:pPr>
    </w:p>
    <w:p>
      <w:pPr>
        <w:ind w:right="100" w:firstLine="1432"/>
        <w:spacing w:after="0" w:line="312" w:lineRule="auto"/>
        <w:rPr>
          <w:sz w:val="20"/>
          <w:szCs w:val="20"/>
          <w:color w:val="auto"/>
        </w:rPr>
      </w:pPr>
      <w:r>
        <w:rPr>
          <w:rFonts w:ascii="Times New Roman" w:cs="Times New Roman" w:eastAsia="Times New Roman" w:hAnsi="Times New Roman"/>
          <w:sz w:val="17"/>
          <w:szCs w:val="17"/>
          <w:color w:val="auto"/>
        </w:rPr>
        <w:t xml:space="preserve">8.2.2 </w:t>
      </w:r>
      <w:r>
        <w:rPr>
          <w:rFonts w:ascii="Times New Roman" w:cs="Times New Roman" w:eastAsia="Times New Roman" w:hAnsi="Times New Roman"/>
          <w:sz w:val="17"/>
          <w:szCs w:val="17"/>
          <w:u w:val="single" w:color="auto"/>
          <w:color w:val="auto"/>
        </w:rPr>
        <w:t>Notice of Successor Warrant Agent.</w:t>
      </w:r>
      <w:r>
        <w:rPr>
          <w:rFonts w:ascii="Times New Roman" w:cs="Times New Roman" w:eastAsia="Times New Roman" w:hAnsi="Times New Roman"/>
          <w:sz w:val="17"/>
          <w:szCs w:val="17"/>
          <w:color w:val="auto"/>
        </w:rPr>
        <w:t xml:space="preserve"> In the event a successor Warrant Agent shall be appointed, the Company shall give notice thereof to the predecessor Warrant Agent and the Transfer Agent for the Ordinary Shares not later than the effective date of any such appointment.</w:t>
      </w:r>
    </w:p>
    <w:p>
      <w:pPr>
        <w:spacing w:after="0" w:line="140" w:lineRule="exact"/>
        <w:rPr>
          <w:sz w:val="20"/>
          <w:szCs w:val="20"/>
          <w:color w:val="auto"/>
        </w:rPr>
      </w:pPr>
    </w:p>
    <w:p>
      <w:pPr>
        <w:jc w:val="both"/>
        <w:ind w:right="1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xml:space="preserve">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xml:space="preserve">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76"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xml:space="preserve">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Chief Operating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spacing w:after="0" w:line="187" w:lineRule="exact"/>
        <w:rPr>
          <w:sz w:val="20"/>
          <w:szCs w:val="20"/>
          <w:color w:val="auto"/>
        </w:rPr>
      </w:pPr>
    </w:p>
    <w:p>
      <w:pPr>
        <w:ind w:right="1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The Warrant Agent shall be liable hereunder only for its own gross negligence, willful misconduct, fraud or bad faith. The Company agrees to indemnify the Warrant Agent and save it harmless against any and all liabilities, including judgments, out of pocket costs and reasonable outside counsel fees, for anything done or omitted by the Warrant Agent in the execution of this Agreement, except as a result of the Warrant Agent’s gross negligence, willful misconduct, fraud or bad faith.</w:t>
      </w:r>
    </w:p>
    <w:p>
      <w:pPr>
        <w:spacing w:after="0" w:line="180" w:lineRule="exact"/>
        <w:rPr>
          <w:sz w:val="20"/>
          <w:szCs w:val="20"/>
          <w:color w:val="auto"/>
        </w:rPr>
      </w:pPr>
    </w:p>
    <w:p>
      <w:pPr>
        <w:ind w:right="4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xml:space="preserve">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06" w:name="page107"/>
    <w:bookmarkEnd w:id="106"/>
    <w:p>
      <w:pPr>
        <w:ind w:right="14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Warrant Agent has no right of set-off or any other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3" w:lineRule="exact"/>
        <w:rPr>
          <w:sz w:val="20"/>
          <w:szCs w:val="20"/>
          <w:color w:val="auto"/>
        </w:rPr>
      </w:pPr>
    </w:p>
    <w:p>
      <w:pPr>
        <w:ind w:left="620" w:hanging="184"/>
        <w:spacing w:after="0"/>
        <w:tabs>
          <w:tab w:leader="none" w:pos="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Attention: John Martin</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Attention: Compliance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Attn: Joel L. Rubinstein, Esq. and Elliott M. Smith, Esq.</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joel.rubinstein@whitecase.com, elliott.smith@whitecase.com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Attn: Tina Pappas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tpappas@jefferies.com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Attn: Christian Nagler, Esq.</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christian.nagler@kirkland.com</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xml:space="preserve"> The validity, interpretation, and performance of this Agreement and of the Warrants shall be governed in all respects by the laws of the State of New York.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107" w:name="page108"/>
    <w:bookmarkEnd w:id="10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xml:space="preserve">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xml:space="preserve">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xml:space="preserve"> The section headings herein are for convenience only and are not part of this Agreement and shall not affect the interpretation thereof.</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Agreement may be amended by the parties hereto without the consent of any Registered Holder (i) for the purpose of (x) curing any ambiguity or to correct any defective provision contained herein, including to conform the provisions hereof to the description of the terms of the Warrants and this Agreement set forth in the Prospectus, (y) adjusting the definition of “Ordinary Cash Dividend” as contemplated by and in accordance with the second sentence of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 xml:space="preserve"> or (z) adding or changing any other provisions with respect to matters or questions arising under this Agreement as the parties may deem necessary or desirable and that the parties deem shall not adversely affect the interest of the Registered Holders, and (ii) to provide for the delivery of an Alternative Issuance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All other modifications or amendments, including any modification or amendment to increase the Warrant Price or shorten the Exercise Period shall require the vote or written consent of the Registered Holders of 50% of the number of the then outstanding Public Warrants and, solely with respect to any amendment to the terms of the Private Placement Warrants or Working Capital Warrants or any provision of this Agreement with respect to the Private Placement Warrants or Working Capital Warrants, 50% of the number of then outstanding Private Placement Warrants and Working Capital Warrants. Notwithstanding the foregoing, the Company may lower the Warrant Price or extend the duration of the Exercise Period pursuant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respectively, without the consent of the Registered Holders.</w:t>
      </w:r>
    </w:p>
    <w:p>
      <w:pPr>
        <w:spacing w:after="0" w:line="190"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Martin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Martin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CONTINENTAL STOCK TRANSFER &amp;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TRUST COMPANY, </w:t>
      </w:r>
      <w:r>
        <w:rPr>
          <w:rFonts w:ascii="Times New Roman" w:cs="Times New Roman" w:eastAsia="Times New Roman" w:hAnsi="Times New Roman"/>
          <w:sz w:val="18"/>
          <w:szCs w:val="18"/>
          <w:color w:val="auto"/>
        </w:rPr>
        <w:t>as Warrant Agent</w:t>
      </w:r>
    </w:p>
    <w:p>
      <w:pPr>
        <w:spacing w:after="0" w:line="220" w:lineRule="exact"/>
        <w:rPr>
          <w:sz w:val="20"/>
          <w:szCs w:val="20"/>
          <w:color w:val="auto"/>
        </w:rPr>
      </w:pPr>
    </w:p>
    <w:tbl>
      <w:tblPr>
        <w:tblLayout w:type="fixed"/>
        <w:tblInd w:w="3620" w:type="dxa"/>
        <w:tblCellMar>
          <w:top w:w="0" w:type="dxa"/>
          <w:left w:w="0" w:type="dxa"/>
          <w:bottom w:w="0" w:type="dxa"/>
          <w:right w:w="0" w:type="dxa"/>
        </w:tblCellMar>
      </w:tblPr>
      <w:tr>
        <w:trPr>
          <w:trHeight w:val="234"/>
        </w:trPr>
        <w:tc>
          <w:tcPr>
            <w:tcW w:w="3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Henry Farrell</w:t>
            </w:r>
          </w:p>
        </w:tc>
      </w:tr>
      <w:tr>
        <w:trPr>
          <w:trHeight w:val="191"/>
        </w:trPr>
        <w:tc>
          <w:tcPr>
            <w:tcW w:w="3080" w:type="dxa"/>
            <w:vAlign w:val="bottom"/>
          </w:tcPr>
          <w:p>
            <w:pPr>
              <w:ind w:left="25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Henry Farrell</w:t>
            </w:r>
          </w:p>
        </w:tc>
      </w:tr>
      <w:tr>
        <w:trPr>
          <w:trHeight w:val="234"/>
        </w:trPr>
        <w:tc>
          <w:tcPr>
            <w:tcW w:w="3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Agreement</w:t>
            </w: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bl>
    <w:p>
      <w:pPr>
        <w:sectPr>
          <w:pgSz w:w="11900" w:h="16838" w:orient="portrait"/>
          <w:cols w:equalWidth="0" w:num="1">
            <w:col w:w="10580"/>
          </w:cols>
          <w:pgMar w:left="880" w:top="270" w:right="4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LEGEND</w:t>
      </w:r>
    </w:p>
    <w:p>
      <w:pPr>
        <w:spacing w:after="0" w:line="2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AGREEMENTS BY AND AMONG VPC IMPACT ACQUISITION HOLDINGS (THE “COMPANY”), VPC IMPACT ACQUISITION HOLDINGS SPONSOR, LLC AND THE OTHER SIGNATORIES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SECURITIES EVIDENCED BY THIS CERTIFICATE AND ORDINARY SHARES OF THE COMPANY ISSUED UPON EXERCISE OF SUCH SECURITIES SHALL BE ENTITLED TO REGISTRATION RIGHTS UNDER A REGISTRATION RIGHTS AGREEMENT TO BE EXECUTED BY THE COMPANY.</w:t>
      </w:r>
    </w:p>
    <w:p>
      <w:pPr>
        <w:sectPr>
          <w:pgSz w:w="11900" w:h="16838" w:orient="portrait"/>
          <w:cols w:equalWidth="0" w:num="1">
            <w:col w:w="11000"/>
          </w:cols>
          <w:pgMar w:left="440" w:top="266" w:right="4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 EXERCISE PERIOD PROVIDED FOR IN THE WARRANT AGREEMENT DESCRIBED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Under the Laws of the Cayman Islands</w:t>
      </w:r>
    </w:p>
    <w:p>
      <w:pPr>
        <w:spacing w:after="0" w:line="20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b w:val="1"/>
          <w:bCs w:val="1"/>
          <w:color w:val="auto"/>
        </w:rPr>
        <w:t xml:space="preserve">CUSIP </w:t>
      </w:r>
      <w:r>
        <w:rPr>
          <w:rFonts w:ascii="Times New Roman" w:cs="Times New Roman" w:eastAsia="Times New Roman" w:hAnsi="Times New Roman"/>
          <w:sz w:val="17"/>
          <w:szCs w:val="17"/>
          <w:color w:val="auto"/>
        </w:rPr>
        <w:t>G9441E 118</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5" w:lineRule="exact"/>
        <w:rPr>
          <w:sz w:val="20"/>
          <w:szCs w:val="20"/>
          <w:color w:val="auto"/>
        </w:rPr>
      </w:pPr>
    </w:p>
    <w:p>
      <w:pPr>
        <w:ind w:left="440"/>
        <w:spacing w:after="0"/>
        <w:tabs>
          <w:tab w:leader="none" w:pos="4100" w:val="left"/>
          <w:tab w:leader="none" w:pos="8360" w:val="left"/>
        </w:tabs>
        <w:rPr>
          <w:sz w:val="20"/>
          <w:szCs w:val="20"/>
          <w:color w:val="auto"/>
        </w:rPr>
      </w:pPr>
      <w:r>
        <w:rPr>
          <w:rFonts w:ascii="Times New Roman" w:cs="Times New Roman" w:eastAsia="Times New Roman" w:hAnsi="Times New Roman"/>
          <w:sz w:val="18"/>
          <w:szCs w:val="18"/>
          <w:b w:val="1"/>
          <w:bCs w:val="1"/>
          <w:color w:val="auto"/>
        </w:rPr>
        <w:t>This Warrant Certificate certifies that</w:t>
      </w:r>
      <w:r>
        <w:rPr>
          <w:sz w:val="20"/>
          <w:szCs w:val="20"/>
          <w:color w:val="auto"/>
        </w:rPr>
        <w:tab/>
      </w:r>
      <w:r>
        <w:rPr>
          <w:rFonts w:ascii="Times New Roman" w:cs="Times New Roman" w:eastAsia="Times New Roman" w:hAnsi="Times New Roman"/>
          <w:sz w:val="18"/>
          <w:szCs w:val="18"/>
          <w:color w:val="auto"/>
        </w:rPr>
        <w:t>, or registered assigns, is the registered holder of</w:t>
      </w:r>
      <w:r>
        <w:rPr>
          <w:sz w:val="20"/>
          <w:szCs w:val="20"/>
          <w:color w:val="auto"/>
        </w:rPr>
        <w:tab/>
      </w:r>
      <w:r>
        <w:rPr>
          <w:rFonts w:ascii="Times New Roman" w:cs="Times New Roman" w:eastAsia="Times New Roman" w:hAnsi="Times New Roman"/>
          <w:sz w:val="18"/>
          <w:szCs w:val="18"/>
          <w:color w:val="auto"/>
        </w:rPr>
        <w:t>warrants evidenced hereby (the</w:t>
      </w:r>
    </w:p>
    <w:p>
      <w:pPr>
        <w:spacing w:after="0" w:line="3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and each, a</w:t>
      </w:r>
      <w:r>
        <w:rPr>
          <w:rFonts w:ascii="Times New Roman" w:cs="Times New Roman" w:eastAsia="Times New Roman" w:hAnsi="Times New Roman"/>
          <w:sz w:val="17"/>
          <w:szCs w:val="17"/>
          <w:b w:val="1"/>
          <w:bCs w:val="1"/>
          <w:color w:val="auto"/>
        </w:rPr>
        <w:t xml:space="preserve"> “Warrant”</w:t>
      </w:r>
      <w:r>
        <w:rPr>
          <w:rFonts w:ascii="Times New Roman" w:cs="Times New Roman" w:eastAsia="Times New Roman" w:hAnsi="Times New Roman"/>
          <w:sz w:val="17"/>
          <w:szCs w:val="17"/>
          <w:color w:val="auto"/>
        </w:rPr>
        <w:t>) to purchase Class A Ordinary Shares, $0.0001 par value per share (the</w:t>
      </w:r>
      <w:r>
        <w:rPr>
          <w:rFonts w:ascii="Times New Roman" w:cs="Times New Roman" w:eastAsia="Times New Roman" w:hAnsi="Times New Roman"/>
          <w:sz w:val="17"/>
          <w:szCs w:val="17"/>
          <w:b w:val="1"/>
          <w:bCs w:val="1"/>
          <w:color w:val="auto"/>
        </w:rPr>
        <w:t xml:space="preserve"> “Ordinary Shares”</w:t>
      </w:r>
      <w:r>
        <w:rPr>
          <w:rFonts w:ascii="Times New Roman" w:cs="Times New Roman" w:eastAsia="Times New Roman" w:hAnsi="Times New Roman"/>
          <w:sz w:val="17"/>
          <w:szCs w:val="17"/>
          <w:color w:val="auto"/>
        </w:rPr>
        <w:t>), of VPC Impact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Acquisition Holdings, a Cayman Islands exempted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Each Warrant entitles the holder, upon exercise during the Exercise Period set forth in the Warrant Agreement referred to below, to receive from the Company that number of fully paid and non-assessable Ordinary Shares as set forth below, at the exercise price (the </w:t>
      </w:r>
      <w:r>
        <w:rPr>
          <w:rFonts w:ascii="Times New Roman" w:cs="Times New Roman" w:eastAsia="Times New Roman" w:hAnsi="Times New Roman"/>
          <w:sz w:val="17"/>
          <w:szCs w:val="17"/>
          <w:b w:val="1"/>
          <w:bCs w:val="1"/>
          <w:color w:val="auto"/>
        </w:rPr>
        <w:t>“Warrant Price”</w:t>
      </w:r>
      <w:r>
        <w:rPr>
          <w:rFonts w:ascii="Times New Roman" w:cs="Times New Roman" w:eastAsia="Times New Roman" w:hAnsi="Times New Roman"/>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6"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initial Warrant Price per Ordinary Share for any Warrant is equal to $11.50 per share. The Warrant Price is subject to adjustment upon the occurrence of certain events set forth in the Warrant Agreement.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ectPr>
          <w:pgSz w:w="11900" w:h="16838" w:orient="portrait"/>
          <w:cols w:equalWidth="0" w:num="1">
            <w:col w:w="11020"/>
          </w:cols>
          <w:pgMar w:left="440" w:top="266" w:right="439"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260"/>
          </w:cols>
          <w:pgMar w:left="1440" w:top="270" w:right="1199" w:bottom="1440" w:gutter="0" w:footer="0" w:header="0"/>
        </w:sectPr>
      </w:pPr>
    </w:p>
    <w:bookmarkStart w:id="112" w:name="page113"/>
    <w:bookmarkEnd w:id="11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Warrant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[Reverse]</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Warrants evidenced by this Warrant Certificate are part of a duly authorized issue of Warrants entitling the holder on exercise to receive Ordinary Shares and are issued or to be issued pursuant to a Warrant Agreement dated as of [ ]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xml:space="preserve">), duly executed and delivered by the Company to Continental Stock Transfer &amp; Trust Company, a New York corporation, as warrant agent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xml:space="preserve">),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meaning the Registered Holders or Registered Holder, respectively) of the Warrants. A copy of the Warrant Agreement may be obtained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else in this Warrant Certificate or the Warrant Agreement, no Warrant may be exercised unless at the time of exercise</w:t>
      </w:r>
    </w:p>
    <w:p>
      <w:pPr>
        <w:spacing w:after="0" w:line="27" w:lineRule="exact"/>
        <w:rPr>
          <w:sz w:val="20"/>
          <w:szCs w:val="20"/>
          <w:color w:val="auto"/>
        </w:rPr>
      </w:pPr>
    </w:p>
    <w:p>
      <w:pPr>
        <w:ind w:left="4" w:right="160" w:hanging="4"/>
        <w:spacing w:after="0" w:line="260" w:lineRule="auto"/>
        <w:tabs>
          <w:tab w:leader="none" w:pos="2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the Ordinary Shares to be issued upon exercise is effective under the Securities Act of 1933, as amended, and (ii) a prospectus thereunder relating to the Ordinary Shares is current, except through “cashless exercise” as provided for in the Warrant Agreement.</w:t>
      </w:r>
    </w:p>
    <w:p>
      <w:pPr>
        <w:spacing w:after="0" w:line="18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0"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0" w:lineRule="exact"/>
        <w:rPr>
          <w:sz w:val="20"/>
          <w:szCs w:val="20"/>
          <w:color w:val="auto"/>
        </w:rPr>
      </w:pPr>
    </w:p>
    <w:p>
      <w:pPr>
        <w:jc w:val="both"/>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1024"/>
          </w:cols>
          <w:pgMar w:left="436" w:top="270" w:right="439"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to Purchase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Ordinary Shares and herewith</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tenders payment for such Ordinary Shares to the order of VPC Impact Acquisition Holdings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hereof. The undersigned requests that a certificate for such Ordinary Shares be registered in the name of whose address is and that such Ordinary Shares be delivered to whose address is . If said number of shares is less than all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purchasable hereunder, the undersigned requests that a new Warrant Certificate representing the remaining balance of such Ordinary</w:t>
      </w:r>
    </w:p>
    <w:p>
      <w:pPr>
        <w:spacing w:after="0" w:line="200" w:lineRule="exact"/>
        <w:rPr>
          <w:sz w:val="20"/>
          <w:szCs w:val="20"/>
          <w:color w:val="auto"/>
        </w:rPr>
      </w:pPr>
    </w:p>
    <w:p>
      <w:pPr>
        <w:spacing w:after="0" w:line="205" w:lineRule="exact"/>
        <w:rPr>
          <w:sz w:val="20"/>
          <w:szCs w:val="20"/>
          <w:color w:val="auto"/>
        </w:rPr>
      </w:pPr>
    </w:p>
    <w:p>
      <w:pPr>
        <w:ind w:right="820"/>
        <w:spacing w:after="0" w:line="261" w:lineRule="auto"/>
        <w:rPr>
          <w:sz w:val="20"/>
          <w:szCs w:val="20"/>
          <w:color w:val="auto"/>
        </w:rPr>
      </w:pPr>
      <w:r>
        <w:rPr>
          <w:rFonts w:ascii="Times New Roman" w:cs="Times New Roman" w:eastAsia="Times New Roman" w:hAnsi="Times New Roman"/>
          <w:sz w:val="18"/>
          <w:szCs w:val="18"/>
          <w:color w:val="auto"/>
        </w:rPr>
        <w:t>Shares be registered in the name of , whose address is and that such Warrant Certificate be delivered to , whose address is .</w:t>
      </w:r>
    </w:p>
    <w:p>
      <w:pPr>
        <w:spacing w:after="0" w:line="200" w:lineRule="exact"/>
        <w:rPr>
          <w:sz w:val="20"/>
          <w:szCs w:val="20"/>
          <w:color w:val="auto"/>
        </w:rPr>
      </w:pPr>
    </w:p>
    <w:p>
      <w:pPr>
        <w:spacing w:after="0" w:line="223"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has been called for redemption by the Company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and a holder thereof elects to exercise its Warrant pursuant to a Make-Whole Exercise,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as applicable.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is a Private Placement Warrant that is to be exercised on a “cashless” basis pursuant to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of the Warrant Agreement.</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Warrant is to be exercised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w:t>
      </w:r>
    </w:p>
    <w:p>
      <w:pPr>
        <w:spacing w:after="0" w:line="162"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80"/>
          </w:cols>
          <w:pgMar w:left="440" w:top="270" w:right="479" w:bottom="1440" w:gutter="0" w:footer="0" w:header="0"/>
        </w:sectPr>
      </w:pPr>
    </w:p>
    <w:bookmarkStart w:id="114" w:name="page115"/>
    <w:bookmarkEnd w:id="114"/>
    <w:p>
      <w:pPr>
        <w:spacing w:after="0"/>
        <w:tabs>
          <w:tab w:leader="none" w:pos="13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(Signature)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0" w:right="65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letter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among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Jefferies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several underwriters (each, an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of up to 23,000,000 of the Company’s units (including up to 3,000,000 units that may be purchased to cover over-allotments, if any)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of the Company’s Class A ordinary shares,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and one-half of one redeemable warrant. Each whole warrant (each,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entitles the holder thereof to purchase one Class A Ordinary Share at a price of $11.50 per share, subject to adjustment as described in the Prospectus (as defined below). The Units will be sold in the Public Offering pursuant to a registration statement on Form S-1 and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and the Company has applied to have the Units listed on the New York Stock Exchange. Certain capitalized terms used herein are defined in paragraph 11 hereof.</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Public Offering and for other good and valuable consideration, the receipt and sufficiency of which are hereby acknowledged, each of VPC Impact Acquisition Holdings Sponsor,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the undersigned individuals, each of whom is a member of the Company’s board of directors and/or management team (each of the undersigned individuals, an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hereby agrees with the Company as follows:</w:t>
      </w:r>
    </w:p>
    <w:p>
      <w:pPr>
        <w:spacing w:after="0" w:line="85" w:lineRule="exact"/>
        <w:rPr>
          <w:sz w:val="20"/>
          <w:szCs w:val="20"/>
          <w:color w:val="auto"/>
        </w:rPr>
      </w:pPr>
    </w:p>
    <w:p>
      <w:pPr>
        <w:ind w:left="1180" w:right="100" w:hanging="644"/>
        <w:spacing w:after="0" w:line="256" w:lineRule="auto"/>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if the Company seeks shareholder approval of a proposed Business Combination, then in connection with such proposed Business Combination, it, he or she shall (i) vote any Ordinary Shares (as defined below) owned by it, him or her in favor of any proposed Business Combination and (ii) not redeem any Ordinary Shares owned by it, him or her in connection with such shareholder approval. If the Company seeks to consummate a proposed Business Combination by engaging in a tender offer, the Sponsor and each Insider agrees that it, he or she will not sell or tender any Ordinary Shares owned by it, him or her in connection therewith.</w:t>
      </w:r>
    </w:p>
    <w:p>
      <w:pPr>
        <w:spacing w:after="0" w:line="92" w:lineRule="exact"/>
        <w:rPr>
          <w:rFonts w:ascii="Times New Roman" w:cs="Times New Roman" w:eastAsia="Times New Roman" w:hAnsi="Times New Roman"/>
          <w:sz w:val="18"/>
          <w:szCs w:val="18"/>
          <w:color w:val="auto"/>
        </w:rPr>
      </w:pPr>
    </w:p>
    <w:p>
      <w:pPr>
        <w:ind w:left="1180" w:right="20" w:hanging="644"/>
        <w:spacing w:after="0" w:line="253" w:lineRule="auto"/>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hereby agrees that in the event that the Company fails to consummate a Business Combination within 24 months from the closing of the Public Offering, or such later period approved by the Company’s shareholders in accordance with the Company’s amended and restated memorandum and articles of association (as it may be amended from time to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the Sponsor and each Insider shall take all reasonable steps to cause the Company to (i) cease all operations except for the purpose of winding up, (ii) as promptly as reasonably possible but not more than ten (10) business days thereafter, redeem 100% of the Class A Ordinary Shares sold as part of the Units in the Public Offering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 at a per-share price, payable in cash, equal to the aggregate amount then on deposit in the Trust Account (as defined below), including interest earned on the funds held in the Trust Account (less taxes payable and up to $100,000 of interest to pay dissolution expenses), divided by the number of then outstanding Offering Shares, which redemption will completely extinguish all Public Shareholders’ (as defined below) rights as shareholders (including the right to receive further liquidating distributions, if any), and (iii) as promptly as reasonably possible following such redemption, subject to the approval of the Company’s remaining shareholders and the Company’s board of directors, liquidate and dissolve, subject in the case of clauses (ii) and (iii) to the Company’s obligations under Cayman</w:t>
      </w:r>
    </w:p>
    <w:p>
      <w:pPr>
        <w:sectPr>
          <w:pgSz w:w="11900" w:h="16838" w:orient="portrait"/>
          <w:cols w:equalWidth="0" w:num="1">
            <w:col w:w="11020"/>
          </w:cols>
          <w:pgMar w:left="440" w:top="117" w:right="439" w:bottom="1440" w:gutter="0" w:footer="0" w:header="0"/>
        </w:sectPr>
      </w:pPr>
    </w:p>
    <w:bookmarkStart w:id="116" w:name="page117"/>
    <w:bookmarkEnd w:id="116"/>
    <w:p>
      <w:pPr>
        <w:ind w:left="66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Islands law to provide for claims of creditors and in all cases subject to the other requirements of applicable law. The Sponsor and each Insider agrees to not propose any amendment to the Charter (A) to modify the substance or timing of the Company’s obligation to allow redemption in connection with our initial business combination or to redeem 100% of the Offering Shares if the Company does not complete a Business Combination within the required time period set forth in the Charter or (B) with respect to any other material provisions relating to shareholders’ rights or pre-initial Business Combination activity, unless the Company provides its Public Shareholders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84" w:lineRule="exact"/>
        <w:rPr>
          <w:sz w:val="20"/>
          <w:szCs w:val="20"/>
          <w:color w:val="auto"/>
        </w:rPr>
      </w:pPr>
    </w:p>
    <w:p>
      <w:pPr>
        <w:ind w:left="664" w:right="20"/>
        <w:spacing w:after="0" w:line="253" w:lineRule="auto"/>
        <w:rPr>
          <w:sz w:val="20"/>
          <w:szCs w:val="20"/>
          <w:color w:val="auto"/>
        </w:rPr>
      </w:pPr>
      <w:r>
        <w:rPr>
          <w:rFonts w:ascii="Times New Roman" w:cs="Times New Roman" w:eastAsia="Times New Roman" w:hAnsi="Times New Roman"/>
          <w:sz w:val="18"/>
          <w:szCs w:val="18"/>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Ordinary Shares held by it, him or her, if any, any redemption rights it, he or she may have in connection with (a) the consummation of a Business Combination, including, without limitation, any such rights available in the context of a shareholder vote to approve such Business Combination, or (b) a shareholder vote to approve an amendment to the Charter (A) to modify the substance or timing of the Company’s obligation to allow redemption in connection with our initial business combination or to redeem 100% of the Offering Shares if the Company has not consummated a Business Combination within the time period set forth in the Charter or (B) with respect to any other material provisions relating to shareholders’ rights or pre-initial Business Combination activity or in the context of a tender offer made by the Company to purchase Offering Shares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95" w:lineRule="exact"/>
        <w:rPr>
          <w:sz w:val="20"/>
          <w:szCs w:val="20"/>
          <w:color w:val="auto"/>
        </w:rPr>
      </w:pPr>
    </w:p>
    <w:p>
      <w:pPr>
        <w:ind w:left="644" w:hanging="644"/>
        <w:spacing w:after="0" w:line="252" w:lineRule="auto"/>
        <w:tabs>
          <w:tab w:leader="none" w:pos="6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of the Commission promulgated thereunder, with respect to, any Units, Ordinary Shares (including, but not limited to, Founder Shares), Warrants or any securities convertible into, or exercisable, or exchangeable for, Ordinary Shares owned by it, him or her, (ii) enter into any swap or other arrangement that transfers to another, in whole or in part, any of the economic consequences of ownership of any Units, Ordinary Shares (including, but not limited to, Founder Shares), Warrants or any securities convertible into, or exercisable, or exchangeable for, Ordinary Shares owned by it, him or her, whether any such transaction is to be settled by delivery of such securities, in cash or otherwise, or (iii) publicly announce any intention to effect any transaction specified in clause (i) or (ii).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release or waiver granted shall only be effective two business days after the publication date of such press release. The provisions of this paragraph will not apply to any transfer permitted under paragraph 7(c) hereof or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2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64"/>
          </w:cols>
          <w:pgMar w:left="976" w:top="270" w:right="459" w:bottom="1440" w:gutter="0" w:footer="0" w:header="0"/>
        </w:sectPr>
      </w:pPr>
    </w:p>
    <w:bookmarkStart w:id="117" w:name="page118"/>
    <w:bookmarkEnd w:id="117"/>
    <w:p>
      <w:pPr>
        <w:ind w:left="644" w:hanging="644"/>
        <w:spacing w:after="0" w:line="267" w:lineRule="auto"/>
        <w:tabs>
          <w:tab w:leader="none" w:pos="644"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the liquidation of the Trust Account upon the failure of the Company to consummate its initial Business Combination within the time period set forth in the Charter, the Sponsor (the “</w:t>
      </w:r>
      <w:r>
        <w:rPr>
          <w:rFonts w:ascii="Times New Roman" w:cs="Times New Roman" w:eastAsia="Times New Roman" w:hAnsi="Times New Roman"/>
          <w:sz w:val="17"/>
          <w:szCs w:val="17"/>
          <w:b w:val="1"/>
          <w:bCs w:val="1"/>
          <w:i w:val="1"/>
          <w:iCs w:val="1"/>
          <w:color w:val="auto"/>
        </w:rPr>
        <w:t>Indemnitor</w:t>
      </w:r>
      <w:r>
        <w:rPr>
          <w:rFonts w:ascii="Times New Roman" w:cs="Times New Roman" w:eastAsia="Times New Roman" w:hAnsi="Times New Roman"/>
          <w:sz w:val="17"/>
          <w:szCs w:val="17"/>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Times New Roman" w:cs="Times New Roman" w:eastAsia="Times New Roman" w:hAnsi="Times New Roman"/>
          <w:sz w:val="17"/>
          <w:szCs w:val="17"/>
          <w:b w:val="1"/>
          <w:bCs w:val="1"/>
          <w:i w:val="1"/>
          <w:iCs w:val="1"/>
          <w:color w:val="auto"/>
        </w:rPr>
        <w:t>Target</w:t>
      </w:r>
      <w:r>
        <w:rPr>
          <w:rFonts w:ascii="Times New Roman" w:cs="Times New Roman" w:eastAsia="Times New Roman" w:hAnsi="Times New Roman"/>
          <w:sz w:val="17"/>
          <w:szCs w:val="17"/>
          <w:color w:val="auto"/>
        </w:rPr>
        <w:t>”); provided, however, that such indemnification of the Company by the Indemnitor (x) shall apply only to the extent necessary to ensure that such claims by a third party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taxes payable, (y) shall not apply to any claims by a third party or a Target which executed a waiver of any and all rights to the monies held in the Trust Account (whether or not such waiver is enforceable) and</w:t>
      </w:r>
    </w:p>
    <w:p>
      <w:pPr>
        <w:ind w:left="644"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94" w:lineRule="exact"/>
        <w:rPr>
          <w:rFonts w:ascii="Times New Roman" w:cs="Times New Roman" w:eastAsia="Times New Roman" w:hAnsi="Times New Roman"/>
          <w:sz w:val="17"/>
          <w:szCs w:val="17"/>
          <w:color w:val="auto"/>
        </w:rPr>
      </w:pPr>
    </w:p>
    <w:p>
      <w:pPr>
        <w:ind w:left="644" w:hanging="644"/>
        <w:spacing w:after="0" w:line="267" w:lineRule="auto"/>
        <w:tabs>
          <w:tab w:leader="none" w:pos="644"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Underwriters do not exercise their over-allotment option to purchase up to an additional 3,000,000 Units within 45 days from the date of the Prospectus (and as further described in the Prospectus), the Sponsor agrees to forfeit, at no cost, a number of Founder Shares equal to 750,000 multiplied by a fraction, (i) the numerator of which is 3,000,000 minus the number of Units purchased by the Underwriters upon the exercise of their over-allotment option, and (ii) the denominator of which is 3,000,000. The forfeiture will be adjusted to the extent that the over-allotment option is not exercised in full by the Underwriters so that the Founder Shares will represent an aggregate of 20.0% of the Company’s issued and outstanding Class A Ordinary Shares after the Public Offering (not including Class A Ordinary Shares underlying the Private Placement Warrants (as defined below)). The Initial Shareholders further agree that to the extent that the size of the Public Offering is increased or decreased, the Company will purchase or sell Units or effect a share repurchase or share capitalization, as applicable, immediately prior to the consummation of the Public Offering in such amount as to maintain the ownership of the Initial Shareholders prior to the Public Offering at 20.0% of its issued and outstanding Capital Shares upon the consummation of the Public Offering. In connection with such increase or decrease in the size of the Public Offering, then</w:t>
      </w:r>
    </w:p>
    <w:p>
      <w:pPr>
        <w:spacing w:after="0" w:line="2" w:lineRule="exact"/>
        <w:rPr>
          <w:rFonts w:ascii="Times New Roman" w:cs="Times New Roman" w:eastAsia="Times New Roman" w:hAnsi="Times New Roman"/>
          <w:sz w:val="17"/>
          <w:szCs w:val="17"/>
          <w:color w:val="auto"/>
        </w:rPr>
      </w:pPr>
    </w:p>
    <w:p>
      <w:pPr>
        <w:ind w:left="644"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references to 3,000,000 in the numerator and denominator of the formula in the first sentence of this paragraph shall be changed to a number equal to 15% of the number of Public Shares included in the Units issued in the Public Offering and (B) the reference to 750,000 in the formula set forth in the first sentence of this paragraph shall be adjusted to such number of Founder Shares that the Sponsor would have to surrender to the Company in order for the Initial Shareholders to hold an aggregate of 20.0% of the Company’s issued and outstanding Class A Ordinary Shares after the Public Offering (not including Class A Ordinary Shares underlying the Warrants or Private Placement Warrants).</w:t>
      </w:r>
    </w:p>
    <w:p>
      <w:pPr>
        <w:spacing w:after="0" w:line="95" w:lineRule="exact"/>
        <w:rPr>
          <w:rFonts w:ascii="Times New Roman" w:cs="Times New Roman" w:eastAsia="Times New Roman" w:hAnsi="Times New Roman"/>
          <w:sz w:val="17"/>
          <w:szCs w:val="17"/>
          <w:color w:val="auto"/>
        </w:rPr>
      </w:pPr>
    </w:p>
    <w:p>
      <w:pPr>
        <w:ind w:left="644" w:right="20" w:hanging="644"/>
        <w:spacing w:after="0" w:line="258" w:lineRule="auto"/>
        <w:tabs>
          <w:tab w:leader="none" w:pos="6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hereby agrees and acknowledges that: (i) the Underwriters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88" w:lineRule="exact"/>
        <w:rPr>
          <w:rFonts w:ascii="Times New Roman" w:cs="Times New Roman" w:eastAsia="Times New Roman" w:hAnsi="Times New Roman"/>
          <w:sz w:val="18"/>
          <w:szCs w:val="18"/>
          <w:color w:val="auto"/>
        </w:rPr>
      </w:pPr>
    </w:p>
    <w:p>
      <w:pPr>
        <w:ind w:left="644" w:right="140" w:hanging="644"/>
        <w:spacing w:after="0" w:line="289" w:lineRule="auto"/>
        <w:tabs>
          <w:tab w:leader="none" w:pos="644"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Sponsor and each Insider agrees that it, he or she shall not Transfer any Founder Shares (or any Class A Ordinary Shares issuable upon conversion thereof) until the earlier of (A) one year after the completion of the Company’s initial Business Combination and (B) subsequent to the Business Combination, (x) if the closing price of the Class A Ordinary Shares equals or exceeds</w:t>
      </w:r>
    </w:p>
    <w:p>
      <w:pPr>
        <w:spacing w:after="0" w:line="90"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4"/>
          </w:cols>
          <w:pgMar w:left="976" w:top="270" w:right="459" w:bottom="1440" w:gutter="0" w:footer="0" w:header="0"/>
        </w:sectPr>
      </w:pPr>
    </w:p>
    <w:bookmarkStart w:id="118" w:name="page119"/>
    <w:bookmarkEnd w:id="118"/>
    <w:p>
      <w:pPr>
        <w:ind w:left="66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amalgamation, capital stock exchange, reorganization or other similar transaction that results in all of the Company’s Public Shareholders having the right to exchange their shares of Class A Ordinary Shares for cash, securities or other property (the “</w:t>
      </w:r>
      <w:r>
        <w:rPr>
          <w:rFonts w:ascii="Times New Roman" w:cs="Times New Roman" w:eastAsia="Times New Roman" w:hAnsi="Times New Roman"/>
          <w:sz w:val="18"/>
          <w:szCs w:val="18"/>
          <w:b w:val="1"/>
          <w:bCs w:val="1"/>
          <w:i w:val="1"/>
          <w:iCs w:val="1"/>
          <w:color w:val="auto"/>
        </w:rPr>
        <w:t>Founder Shares Lock-up Period</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64" w:right="200" w:firstLine="8"/>
        <w:spacing w:after="0" w:line="266" w:lineRule="auto"/>
        <w:tabs>
          <w:tab w:leader="none" w:pos="91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it, he or she shall not Transfer any Private Placement Warrants (or any Class A Ordinary Shares underlying the Private Placement Warrants), until 30 days after the completion of a Business Combination (the “</w:t>
      </w:r>
      <w:r>
        <w:rPr>
          <w:rFonts w:ascii="Times New Roman" w:cs="Times New Roman" w:eastAsia="Times New Roman" w:hAnsi="Times New Roman"/>
          <w:sz w:val="18"/>
          <w:szCs w:val="18"/>
          <w:b w:val="1"/>
          <w:bCs w:val="1"/>
          <w:i w:val="1"/>
          <w:i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 Warrants Lock-up Period</w:t>
      </w:r>
      <w:r>
        <w:rPr>
          <w:rFonts w:ascii="Times New Roman" w:cs="Times New Roman" w:eastAsia="Times New Roman" w:hAnsi="Times New Roman"/>
          <w:sz w:val="18"/>
          <w:szCs w:val="18"/>
          <w:color w:val="auto"/>
        </w:rPr>
        <w:t>”, together with the Founder Shares Lock-up Period, the “</w:t>
      </w:r>
      <w:r>
        <w:rPr>
          <w:rFonts w:ascii="Times New Roman" w:cs="Times New Roman" w:eastAsia="Times New Roman" w:hAnsi="Times New Roman"/>
          <w:sz w:val="18"/>
          <w:szCs w:val="18"/>
          <w:b w:val="1"/>
          <w:bCs w:val="1"/>
          <w:i w:val="1"/>
          <w:iCs w:val="1"/>
          <w:color w:val="auto"/>
        </w:rPr>
        <w:t>Lock-up Periods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4" w:firstLine="8"/>
        <w:spacing w:after="0" w:line="252" w:lineRule="auto"/>
        <w:tabs>
          <w:tab w:leader="none" w:pos="90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set forth in paragraphs 7(a) and (b), Transfers of the Founder Shares, Private Placement Warrants and the Class A Ordinary Shares underlying the Private Placement Warrants that are held by the Sponsor, any Insider or any of their permitted transferees (that have complied with this paragraph 7(c)), are permitted (a) to the Company’s officers or directors, any affiliate or family member of any of the Company’s officers or directors, any members or partners of the Sponsor or their affiliates, any affiliates of the Sponsor, or any employees of such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Cayman Islands or the Sponsor’s limited liability company agreement upon dissolution of the Sponsor; or (h) in the event of the Company’s liquidation, merger, capital stock exchange or other similar transaction which results in all of the Company’s shareholders having the right to exchange their Class A Ordinary Shares for cash, securities or other property subsequent to the Company’s completion of an initial Business Combination;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(a) 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98" w:lineRule="exact"/>
        <w:rPr>
          <w:rFonts w:ascii="Times New Roman" w:cs="Times New Roman" w:eastAsia="Times New Roman" w:hAnsi="Times New Roman"/>
          <w:sz w:val="18"/>
          <w:szCs w:val="18"/>
          <w:color w:val="auto"/>
        </w:rPr>
      </w:pPr>
    </w:p>
    <w:p>
      <w:pPr>
        <w:ind w:left="644" w:right="20" w:hanging="644"/>
        <w:spacing w:after="0" w:line="253"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99"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Prospectus, neither the Sponsor nor any officer, nor any affiliate of the Sponsor or any officer, nor any director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w:t>
      </w:r>
    </w:p>
    <w:p>
      <w:pPr>
        <w:spacing w:after="0" w:line="112"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4"/>
          </w:cols>
          <w:pgMar w:left="976" w:top="270" w:right="439" w:bottom="1440" w:gutter="0" w:footer="0" w:header="0"/>
        </w:sectPr>
      </w:pPr>
    </w:p>
    <w:bookmarkStart w:id="119" w:name="page120"/>
    <w:bookmarkEnd w:id="119"/>
    <w:p>
      <w:pPr>
        <w:ind w:left="66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transaction that it is), other than the following, none of which will be made from the proceeds held in the Trust Account prior to the completion of the initial Business Combination: repayment of a loan and advances up to an aggregate of $300,000 made to the Company by the Sponsor; payment to the Sponsor for certain office space, utilities, secretarial and administrative support as may be reasonably required by the Company for a total of $10,000 per month; payment of customary fees to members of the board of directors of the Company for director service;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at a price of $1.00 per warrant at the option of the lender. Such warrants would be identical to the Private Placement Warrants, including as to exercise price, exercisability and exercise period.</w:t>
      </w:r>
    </w:p>
    <w:p>
      <w:pPr>
        <w:spacing w:after="0" w:line="95" w:lineRule="exact"/>
        <w:rPr>
          <w:sz w:val="20"/>
          <w:szCs w:val="20"/>
          <w:color w:val="auto"/>
        </w:rPr>
      </w:pPr>
    </w:p>
    <w:p>
      <w:pPr>
        <w:ind w:left="644" w:right="280" w:hanging="644"/>
        <w:spacing w:after="0" w:line="261"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81" w:lineRule="exact"/>
        <w:rPr>
          <w:rFonts w:ascii="Times New Roman" w:cs="Times New Roman" w:eastAsia="Times New Roman" w:hAnsi="Times New Roman"/>
          <w:sz w:val="18"/>
          <w:szCs w:val="18"/>
          <w:color w:val="auto"/>
        </w:rPr>
      </w:pPr>
    </w:p>
    <w:p>
      <w:pPr>
        <w:ind w:left="644" w:hanging="644"/>
        <w:spacing w:after="0" w:line="252"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capital stock exchange, asset acquisition, stock purchase, reorganization or similar business combination, involving the Company and one or more businesses; (ii)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mean the Class A Ordinary Shares and Class B ordinary shares,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(iii)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mean the 5,750,000 Class B Ordinary Shares issued and outstanding (up to 750,000 of which are subject to complete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partial forfeiture if the over-allotment option is not exercised by the Underwriters); (iv) “</w:t>
      </w:r>
      <w:r>
        <w:rPr>
          <w:rFonts w:ascii="Times New Roman" w:cs="Times New Roman" w:eastAsia="Times New Roman" w:hAnsi="Times New Roman"/>
          <w:sz w:val="18"/>
          <w:szCs w:val="18"/>
          <w:b w:val="1"/>
          <w:bCs w:val="1"/>
          <w:i w:val="1"/>
          <w:iCs w:val="1"/>
          <w:color w:val="auto"/>
        </w:rPr>
        <w:t>Initial Shareholders</w:t>
      </w:r>
      <w:r>
        <w:rPr>
          <w:rFonts w:ascii="Times New Roman" w:cs="Times New Roman" w:eastAsia="Times New Roman" w:hAnsi="Times New Roman"/>
          <w:sz w:val="18"/>
          <w:szCs w:val="18"/>
          <w:color w:val="auto"/>
        </w:rPr>
        <w:t>” shall mean the Sponsor and any Insider that holds Founder Shares; (v)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shall mean the 6,000,000 warrants (or 6,600,000 warrants if the over-allotment option is exercised in full) that the Sponsor has agreed to purchase for an aggregate purchase price of $6,000,000 (or $6,600,000 if the over-allotment option is exercised in full), or $1.00 per warrant, in a private placement that shall occur simultaneously with the consummation of the Public Offering; (vi) “</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shall mean the holders of securities issued in the Public Offering; (vii)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shall mean the trust fund into which a portion of the net proceeds of the Public Offering and the sale of the Private Placement Warrants shall be deposited; and (viii)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02" w:lineRule="exact"/>
        <w:rPr>
          <w:rFonts w:ascii="Times New Roman" w:cs="Times New Roman" w:eastAsia="Times New Roman" w:hAnsi="Times New Roman"/>
          <w:sz w:val="18"/>
          <w:szCs w:val="18"/>
          <w:color w:val="auto"/>
        </w:rPr>
      </w:pPr>
    </w:p>
    <w:p>
      <w:pPr>
        <w:ind w:left="644" w:right="40" w:hanging="644"/>
        <w:spacing w:after="0" w:line="266"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81" w:lineRule="exact"/>
        <w:rPr>
          <w:rFonts w:ascii="Times New Roman" w:cs="Times New Roman" w:eastAsia="Times New Roman" w:hAnsi="Times New Roman"/>
          <w:sz w:val="18"/>
          <w:szCs w:val="18"/>
          <w:color w:val="auto"/>
        </w:rPr>
      </w:pPr>
    </w:p>
    <w:p>
      <w:pPr>
        <w:ind w:left="644" w:hanging="644"/>
        <w:spacing w:after="0" w:line="266"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w:t>
      </w:r>
    </w:p>
    <w:p>
      <w:pPr>
        <w:spacing w:after="0" w:line="10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4"/>
          </w:cols>
          <w:pgMar w:left="976" w:top="270" w:right="459" w:bottom="1440" w:gutter="0" w:footer="0" w:header="0"/>
        </w:sectPr>
      </w:pPr>
    </w:p>
    <w:bookmarkStart w:id="120" w:name="page121"/>
    <w:bookmarkEnd w:id="120"/>
    <w:p>
      <w:pPr>
        <w:jc w:val="both"/>
        <w:ind w:left="66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81" w:lineRule="exact"/>
        <w:rPr>
          <w:sz w:val="20"/>
          <w:szCs w:val="20"/>
          <w:color w:val="auto"/>
        </w:rPr>
      </w:pPr>
    </w:p>
    <w:p>
      <w:pPr>
        <w:ind w:left="644" w:right="20" w:hanging="644"/>
        <w:spacing w:after="0" w:line="261"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85" w:lineRule="exact"/>
        <w:rPr>
          <w:rFonts w:ascii="Times New Roman" w:cs="Times New Roman" w:eastAsia="Times New Roman" w:hAnsi="Times New Roman"/>
          <w:sz w:val="18"/>
          <w:szCs w:val="18"/>
          <w:color w:val="auto"/>
        </w:rPr>
      </w:pPr>
    </w:p>
    <w:p>
      <w:pPr>
        <w:ind w:left="644" w:hanging="644"/>
        <w:spacing w:after="0" w:line="261"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85"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67"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85" w:lineRule="exact"/>
        <w:rPr>
          <w:rFonts w:ascii="Times New Roman" w:cs="Times New Roman" w:eastAsia="Times New Roman" w:hAnsi="Times New Roman"/>
          <w:sz w:val="18"/>
          <w:szCs w:val="18"/>
          <w:color w:val="auto"/>
        </w:rPr>
      </w:pPr>
    </w:p>
    <w:p>
      <w:pPr>
        <w:ind w:left="644" w:hanging="644"/>
        <w:spacing w:after="0" w:line="258"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88"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81"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and closed by December 31, 2020; provided further that paragraph 4 of this Letter Agreement shall survive such liquidation.</w:t>
      </w:r>
    </w:p>
    <w:p>
      <w:pPr>
        <w:spacing w:after="0" w:line="174"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44"/>
          </w:cols>
          <w:pgMar w:left="976" w:top="270" w:right="479" w:bottom="1440" w:gutter="0" w:footer="0" w:header="0"/>
        </w:sectPr>
      </w:pPr>
    </w:p>
    <w:bookmarkStart w:id="121" w:name="page122"/>
    <w:bookmarkEnd w:id="12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Sincerely,</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VPC IMPACT ACQUISITION HOLDINGS SPONSOR,</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LLC</w:t>
      </w:r>
    </w:p>
    <w:p>
      <w:pPr>
        <w:spacing w:after="0" w:line="220"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34"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Scott R. Zemnick</w:t>
      </w:r>
    </w:p>
    <w:p>
      <w:pPr>
        <w:spacing w:after="0" w:line="3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-127635</wp:posOffset>
            </wp:positionV>
            <wp:extent cx="25203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John Martin</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Gordon Watson</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Olibia Stamatoglou</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Adrienne Harris</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Adrienne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Kai Schmitz</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Kai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Kurt Summers</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Kurt Summers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Letter Agreement</w:t>
      </w:r>
      <w:r>
        <w:rPr>
          <w:rFonts w:ascii="Times New Roman" w:cs="Times New Roman" w:eastAsia="Times New Roman" w:hAnsi="Times New Roman"/>
          <w:sz w:val="18"/>
          <w:szCs w:val="18"/>
          <w:color w:val="auto"/>
        </w:rPr>
        <w:t>]</w:t>
      </w:r>
    </w:p>
    <w:p>
      <w:pPr>
        <w:sectPr>
          <w:pgSz w:w="11900" w:h="16838" w:orient="portrait"/>
          <w:cols w:equalWidth="0" w:num="1">
            <w:col w:w="10740"/>
          </w:cols>
          <w:pgMar w:left="440" w:top="270" w:right="7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25"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This Investment Management Trust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effective as of September 22, 2020 by and between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corporation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Company’s registration statement on Form S-1, File No. 333-248619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prospectus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for the initial public offering (the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 of the Company’s units (the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each of which consists of one Class A ordinary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and one-half of one redeemable warrant, has been declared effective as of the date hereof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 and</w:t>
      </w:r>
    </w:p>
    <w:p>
      <w:pPr>
        <w:spacing w:after="0" w:line="203"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has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UBS Securities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several underwriters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named therein; and</w:t>
      </w:r>
    </w:p>
    <w:p>
      <w:pPr>
        <w:spacing w:after="0" w:line="159"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WHEREAS, as described in the Prospectus, $200,000,000 of the gross proceeds of the Offering and sale of the Private Placement Warrants (as defined in the Underwriting Agreement) (or $230,000,000 if the Underwriters’ over-allotment option is exercised in full) will be delivered to the Trustee to be deposited and held in a segregated trust account located at all times in the United States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for the benefit of the Company and the holders of the Ordinary Shares included in the Units issued in the Offering as hereinafter provided (the amount to be delivered to the Trustee (and any interest subsequently earned thereon) is referred to herein as the “</w:t>
      </w:r>
      <w:r>
        <w:rPr>
          <w:rFonts w:ascii="Times New Roman" w:cs="Times New Roman" w:eastAsia="Times New Roman" w:hAnsi="Times New Roman"/>
          <w:sz w:val="17"/>
          <w:szCs w:val="17"/>
          <w:b w:val="1"/>
          <w:bCs w:val="1"/>
          <w:i w:val="1"/>
          <w:iCs w:val="1"/>
          <w:color w:val="auto"/>
        </w:rPr>
        <w:t>Property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the shareholders for whose benefit the Trustee shall hold the Property will be referred to as the “</w:t>
      </w:r>
      <w:r>
        <w:rPr>
          <w:rFonts w:ascii="Times New Roman" w:cs="Times New Roman" w:eastAsia="Times New Roman" w:hAnsi="Times New Roman"/>
          <w:sz w:val="17"/>
          <w:szCs w:val="17"/>
          <w:b w:val="1"/>
          <w:bCs w:val="1"/>
          <w:i w:val="1"/>
          <w:iCs w:val="1"/>
          <w:color w:val="auto"/>
        </w:rPr>
        <w:t>Public Shareholders</w:t>
      </w:r>
      <w:r>
        <w:rPr>
          <w:rFonts w:ascii="Times New Roman" w:cs="Times New Roman" w:eastAsia="Times New Roman" w:hAnsi="Times New Roman"/>
          <w:sz w:val="17"/>
          <w:szCs w:val="17"/>
          <w:color w:val="auto"/>
        </w:rPr>
        <w:t>,” and the Public Shareholders and the Company will be referred to together as the “</w:t>
      </w:r>
      <w:r>
        <w:rPr>
          <w:rFonts w:ascii="Times New Roman" w:cs="Times New Roman" w:eastAsia="Times New Roman" w:hAnsi="Times New Roman"/>
          <w:sz w:val="17"/>
          <w:szCs w:val="17"/>
          <w:b w:val="1"/>
          <w:bCs w:val="1"/>
          <w:i w:val="1"/>
          <w:iCs w:val="1"/>
          <w:color w:val="auto"/>
        </w:rPr>
        <w:t>Beneficiaries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Underwriting Agreement, a portion of the Property equal to $7,000,000, or $8,050,000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Times New Roman" w:cs="Times New Roman" w:eastAsia="Times New Roman" w:hAnsi="Times New Roman"/>
          <w:sz w:val="18"/>
          <w:szCs w:val="18"/>
          <w:b w:val="1"/>
          <w:bCs w:val="1"/>
          <w:i w:val="1"/>
          <w:iCs w:val="1"/>
          <w:color w:val="auto"/>
        </w:rPr>
        <w:t>Deferred Discount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desire to enter into this Agreement to set forth the terms and conditions pursuant to which the Trustee shall hold the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left="620" w:hanging="184"/>
        <w:spacing w:after="0"/>
        <w:tabs>
          <w:tab w:leader="none" w:pos="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Trustee</w:t>
      </w:r>
      <w:r>
        <w:rPr>
          <w:rFonts w:ascii="Times New Roman" w:cs="Times New Roman" w:eastAsia="Times New Roman" w:hAnsi="Times New Roman"/>
          <w:sz w:val="18"/>
          <w:szCs w:val="18"/>
          <w:color w:val="auto"/>
        </w:rPr>
        <w:t>. The Trustee hereby agrees and covenants to:</w:t>
      </w:r>
    </w:p>
    <w:p>
      <w:pPr>
        <w:spacing w:after="0" w:line="225"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and at a brokerage institution selected by the Trustee that is reasonably satisfactory to the Company;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supervise and administer the Trust Account subject to the terms and conditions set forth herein;</w:t>
      </w:r>
    </w:p>
    <w:p>
      <w:pPr>
        <w:spacing w:after="0" w:line="225"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ectPr>
          <w:pgSz w:w="11900" w:h="16838" w:orient="portrait"/>
          <w:cols w:equalWidth="0" w:num="1">
            <w:col w:w="11020"/>
          </w:cols>
          <w:pgMar w:left="440" w:top="117" w:right="439" w:bottom="1440" w:gutter="0" w:footer="0" w:header="0"/>
        </w:sectPr>
      </w:pPr>
    </w:p>
    <w:bookmarkStart w:id="123" w:name="page124"/>
    <w:bookmarkEnd w:id="123"/>
    <w:p>
      <w:pPr>
        <w:ind w:right="380" w:firstLine="987"/>
        <w:spacing w:after="0" w:line="282"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 and receive, when due, all interest or other income arising from the Property, which shall become part of the “Property,” as such term is used herein;</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Company and the Representative of all communications received by the Trustee with respect to any Property requiring action by the Company;</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1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61"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plan or proceeding for protecting or enforcing any right or interest arising from the Property if, as and when instructed by the Company to do so;</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to the Company monthly written statements of the activities of, and amounts in, the Trust Account reflecting all receipts and disbursements of the Trust Account;</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liquidation of the Trust Account only after and promptly after (x) receipt of, and only in accordance with the terms of, a letter from the Company (“</w:t>
      </w:r>
      <w:r>
        <w:rPr>
          <w:rFonts w:ascii="Times New Roman" w:cs="Times New Roman" w:eastAsia="Times New Roman" w:hAnsi="Times New Roman"/>
          <w:sz w:val="18"/>
          <w:szCs w:val="18"/>
          <w:b w:val="1"/>
          <w:bCs w:val="1"/>
          <w:i w:val="1"/>
          <w:iCs w:val="1"/>
          <w:color w:val="auto"/>
        </w:rPr>
        <w:t>Termination Letter</w:t>
      </w:r>
      <w:r>
        <w:rPr>
          <w:rFonts w:ascii="Times New Roman" w:cs="Times New Roman" w:eastAsia="Times New Roman" w:hAnsi="Times New Roman"/>
          <w:sz w:val="18"/>
          <w:szCs w:val="18"/>
          <w:color w:val="auto"/>
        </w:rPr>
        <w:t xml:space="preserve">”) in a form substantially similar to that attached hereto as either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 signed on behalf of the Company by its Chief Executive Officer, Chief Financial Officer, President, Executive Vice President, Vice President, Secretary or Chairman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or other authorized officer of the Company, and, in the case of Exhibit A, acknowledged and agreed to by the Representative, and complete the liquidation of the Trust Account and distribute the Property in the Trust Account, including interest earned on the funds held in the Trust Account (less taxes payable and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Property in the Trust Account, including interest earned on the funds held in the Trust Account (less taxes payable and up to $100,000 of interest to pay dissolution expenses), shall be distributed to the Public Shareholders of record as of such date;</w:t>
      </w:r>
    </w:p>
    <w:p>
      <w:pPr>
        <w:spacing w:after="0" w:line="189" w:lineRule="exact"/>
        <w:rPr>
          <w:rFonts w:ascii="Times New Roman" w:cs="Times New Roman" w:eastAsia="Times New Roman" w:hAnsi="Times New Roman"/>
          <w:sz w:val="18"/>
          <w:szCs w:val="18"/>
          <w:color w:val="auto"/>
        </w:rPr>
      </w:pPr>
    </w:p>
    <w:p>
      <w:pPr>
        <w:ind w:right="20" w:firstLine="987"/>
        <w:spacing w:after="0" w:line="253" w:lineRule="auto"/>
        <w:tabs>
          <w:tab w:leader="none" w:pos="12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Tax Payment Withdrawal Instruction</w:t>
      </w:r>
      <w:r>
        <w:rPr>
          <w:rFonts w:ascii="Times New Roman" w:cs="Times New Roman" w:eastAsia="Times New Roman" w:hAnsi="Times New Roman"/>
          <w:sz w:val="18"/>
          <w:szCs w:val="18"/>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94"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Shareholder Redemption Withdrawal Instruction</w:t>
      </w:r>
      <w:r>
        <w:rPr>
          <w:rFonts w:ascii="Times New Roman" w:cs="Times New Roman" w:eastAsia="Times New Roman" w:hAnsi="Times New Roman"/>
          <w:sz w:val="18"/>
          <w:szCs w:val="18"/>
          <w:color w:val="auto"/>
        </w:rPr>
        <w:t xml:space="preserve">”), the Trustee shall distribute to the Public Shareholders on behalf of the Company the amount requested by the Company to be used to redeem Ordinary Shares from Public Shareholders properly submitted in connection with a shareholder vote to approve an amendment to the Company’s amended and restated memorandum and articles of association (A) to modify the substance or timing of the Company’s obligation to allow redemption in connection with the Company’s initial business combination or to redeem 100% of the Ordinary Shares included in the Units sold in the Offering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if the Company has not consummated an initial Business Combination within such time as is described in the Company’s amended and restated memorandum and articles of association or (B) with respect to any other material provisions relating to shareholders’ rights or pre- 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4" w:name="page125"/>
    <w:bookmarkEnd w:id="124"/>
    <w:p>
      <w:pPr>
        <w:ind w:left="1200" w:hanging="213"/>
        <w:spacing w:after="0"/>
        <w:tabs>
          <w:tab w:leader="none" w:pos="12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make any withdrawals or distributions from the Trust Account other than 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the Company</w:t>
      </w:r>
      <w:r>
        <w:rPr>
          <w:rFonts w:ascii="Times New Roman" w:cs="Times New Roman" w:eastAsia="Times New Roman" w:hAnsi="Times New Roman"/>
          <w:sz w:val="18"/>
          <w:szCs w:val="18"/>
          <w:color w:val="auto"/>
        </w:rPr>
        <w:t>. The Company hereby agrees and covenants to:</w:t>
      </w:r>
    </w:p>
    <w:p>
      <w:pPr>
        <w:spacing w:after="0" w:line="225" w:lineRule="exact"/>
        <w:rPr>
          <w:rFonts w:ascii="Times New Roman" w:cs="Times New Roman" w:eastAsia="Times New Roman" w:hAnsi="Times New Roman"/>
          <w:sz w:val="18"/>
          <w:szCs w:val="18"/>
          <w:color w:val="auto"/>
        </w:rPr>
      </w:pPr>
    </w:p>
    <w:p>
      <w:pPr>
        <w:ind w:right="180" w:firstLine="987"/>
        <w:spacing w:after="0" w:line="258" w:lineRule="auto"/>
        <w:tabs>
          <w:tab w:leader="none" w:pos="12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 all instructions to the Trustee hereunder in writing, signed by the Company’s Chairman of the Board, Chief Executive Officer, Chief Financial Officer, President, Executive Vice President, Vice President or Secretary. In addition, except with respect to its duties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3"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w:t>
      </w:r>
    </w:p>
    <w:p>
      <w:pPr>
        <w:spacing w:after="0" w:line="5"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it shall notify the Company in writing of such claim (hereinafter referred to as the “</w:t>
      </w:r>
      <w:r>
        <w:rPr>
          <w:rFonts w:ascii="Times New Roman" w:cs="Times New Roman" w:eastAsia="Times New Roman" w:hAnsi="Times New Roman"/>
          <w:sz w:val="18"/>
          <w:szCs w:val="18"/>
          <w:b w:val="1"/>
          <w:bCs w:val="1"/>
          <w:i w:val="1"/>
          <w:iCs w:val="1"/>
          <w:color w:val="auto"/>
        </w:rPr>
        <w:t>Indemnified Claim</w:t>
      </w:r>
      <w:r>
        <w:rPr>
          <w:rFonts w:ascii="Times New Roman" w:cs="Times New Roman" w:eastAsia="Times New Roman" w:hAnsi="Times New Roman"/>
          <w:sz w:val="18"/>
          <w:szCs w:val="18"/>
          <w:color w:val="auto"/>
        </w:rPr>
        <w:t xml:space="preserve">”). The Trustee shall have the right to conduct and manage the defense against such Indemnified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86"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the Trustee the fees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Schedule A and as may be provided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right="400" w:firstLine="987"/>
        <w:spacing w:after="0" w:line="261" w:lineRule="auto"/>
        <w:tabs>
          <w:tab w:leader="none" w:pos="124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vote of the Company’s shareholders regarding a merger, share exchange, asset acquisition, share purchase, reorganization or similar business combination involving the Company and one or more businesses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provide to the Trustee an affidavit or certificate of the inspector of elections for the shareholder meeting verifying the vote of such shareholders regarding such Business Combination;</w:t>
      </w:r>
    </w:p>
    <w:p>
      <w:pPr>
        <w:spacing w:after="0" w:line="179"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61" w:lineRule="exact"/>
        <w:rPr>
          <w:rFonts w:ascii="Times New Roman" w:cs="Times New Roman" w:eastAsia="Times New Roman" w:hAnsi="Times New Roman"/>
          <w:sz w:val="18"/>
          <w:szCs w:val="18"/>
          <w:color w:val="auto"/>
        </w:rPr>
      </w:pPr>
    </w:p>
    <w:p>
      <w:pPr>
        <w:ind w:right="120" w:firstLine="987"/>
        <w:spacing w:after="0" w:line="261" w:lineRule="auto"/>
        <w:tabs>
          <w:tab w:leader="none" w:pos="121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agreed between the Company and the Representative, ensure that any Instruction Letter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delivered in connection with a Termination Letter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5" w:name="page126"/>
    <w:bookmarkEnd w:id="125"/>
    <w:p>
      <w:pPr>
        <w:ind w:firstLine="987"/>
        <w:spacing w:after="0" w:line="282" w:lineRule="auto"/>
        <w:tabs>
          <w:tab w:leader="none" w:pos="124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Instruct the Trustee to make only those distributions that are permitted under this Agreement, and refrain from instructing the Trustee to make any distributions that are not permitted under this Agreement; and</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four (4) business days after the Underwriters exercise the over-allotment option (or any unexercised portion thereof) or such over-allotment option expires, provide the Trustee with a notice in writing of the total amount of the Deferred Discount.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The Trustee shall have no responsibility or liability to:</w:t>
      </w:r>
    </w:p>
    <w:p>
      <w:pPr>
        <w:spacing w:after="0" w:line="225"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Imply obligations, perform duties, inquire or otherwise be subject to the provisions of any agreement or document other than this Agreement and that which is expressly set forth herein;</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with respect to the Property, other than as directed in Section 1 hereof, and the Trustee shall have no liability to any third party except for liability arising out of the Trustee’s gross negligence, fraud or willful misconduct;</w:t>
      </w:r>
    </w:p>
    <w:p>
      <w:pPr>
        <w:spacing w:after="0" w:line="161"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3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any depreciation in principal of any Property;</w:t>
      </w:r>
    </w:p>
    <w:p>
      <w:pPr>
        <w:spacing w:after="0" w:line="225"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61" w:lineRule="exact"/>
        <w:rPr>
          <w:rFonts w:ascii="Times New Roman" w:cs="Times New Roman" w:eastAsia="Times New Roman" w:hAnsi="Times New Roman"/>
          <w:sz w:val="18"/>
          <w:szCs w:val="18"/>
          <w:color w:val="auto"/>
        </w:rPr>
      </w:pPr>
    </w:p>
    <w:p>
      <w:pPr>
        <w:ind w:right="60" w:firstLine="987"/>
        <w:spacing w:after="0" w:line="254" w:lineRule="auto"/>
        <w:tabs>
          <w:tab w:leader="none" w:pos="121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accuracy of the information contained in the Registration Statement;</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assurance that any Business Combination entered into by the Company or any other action taken by the Company is as contemplated by the Registration Statement;</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0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Section 1(j) hereof;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26" w:name="page127"/>
    <w:bookmarkEnd w:id="126"/>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(k) Verify calculations, qualify or otherwise approve the Company’s written requests for distributions pursuant to </w:t>
      </w:r>
      <w:r>
        <w:rPr>
          <w:rFonts w:ascii="Times New Roman" w:cs="Times New Roman" w:eastAsia="Times New Roman" w:hAnsi="Times New Roman"/>
          <w:sz w:val="17"/>
          <w:szCs w:val="17"/>
          <w:u w:val="single" w:color="auto"/>
          <w:color w:val="auto"/>
        </w:rPr>
        <w:t>Sections 1(i)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ind w:right="120" w:firstLine="436"/>
        <w:spacing w:after="0" w:line="259" w:lineRule="auto"/>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Trustee has no right of set-off or any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as follows:</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91"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that the Trustee has completed the liquidation of the Trust Account and its obligations in accordance with the provisions of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hereof and distributed the Property in accordance with the provisions of the Termination Letter, this Agreement shall terminate except with respect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5" w:lineRule="auto"/>
        <w:tabs>
          <w:tab w:leader="none" w:pos="123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New York. This Agreement may be executed in several original or facsimile counterparts, each one of which shall constitute an original, and together shall constitute but one instrument.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contains the entire agreement and understanding of the parties hereto with respect to the subject matter hereof. Except for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amendment will affect any Public Shareholder who has properly elected to redeem his or her Ordinary Shares in connection with a shareholder vote to amend this Agreement (A) to modify the substance or timing of the Company’s obligation to allow redemption in connection with the Company’s initial business combination or to redeem 100% of its Ordinary Shares if the Company does not complete its initial Business Combination within the time frame specified in the Company’s amended and restated memorandum and articles of association or (B) with respect to any other material provisions relating to shareholders’ rights or pre-initial Business Combination activity), this Agreement or any provision hereof may only be changed, amended or modified (other than to correct a typographical error) by a writing signed by each of the parties 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7" w:name="page128"/>
    <w:bookmarkEnd w:id="127"/>
    <w:p>
      <w:pPr>
        <w:ind w:left="-20" w:firstLine="987"/>
        <w:spacing w:after="0" w:line="266" w:lineRule="auto"/>
        <w:tabs>
          <w:tab w:leader="none" w:pos="122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75"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the Trustee, to:</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fwolf@continentalstock.com</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cgonzalez@continentalstock.com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John Martin</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jmartin@victoryparkcapital.com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Joel L. Rubinstein</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Tina Pappas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tpappas@jefferies.com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Christian Nagler</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christian.nagler@kirkland.com</w:t>
      </w:r>
    </w:p>
    <w:p>
      <w:pPr>
        <w:spacing w:after="0" w:line="207" w:lineRule="exact"/>
        <w:rPr>
          <w:sz w:val="20"/>
          <w:szCs w:val="20"/>
          <w:color w:val="auto"/>
        </w:rPr>
      </w:pPr>
    </w:p>
    <w:p>
      <w:pPr>
        <w:ind w:left="-20" w:right="200" w:firstLine="987"/>
        <w:spacing w:after="0" w:line="261" w:lineRule="auto"/>
        <w:tabs>
          <w:tab w:leader="none" w:pos="11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28" w:name="page129"/>
    <w:bookmarkEnd w:id="128"/>
    <w:p>
      <w:pPr>
        <w:ind w:right="640" w:firstLine="987"/>
        <w:spacing w:after="0" w:line="282"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right="520" w:firstLine="987"/>
        <w:spacing w:after="0" w:line="266"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acknowledges and agrees that the Representative on behalf of the Underwriters are third-party beneficiaries of this Agreement.</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specified herein, no party to this Agreement may assign its rights or delegate its obligations hereunder to any other person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70" w:right="5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duly executed this Investment Management Trust Agreement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Francis Wolf</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Management Trust Agreement</w:t>
      </w:r>
      <w:r>
        <w:rPr>
          <w:rFonts w:ascii="Times New Roman" w:cs="Times New Roman" w:eastAsia="Times New Roman" w:hAnsi="Times New Roman"/>
          <w:sz w:val="18"/>
          <w:szCs w:val="18"/>
          <w:color w:val="auto"/>
        </w:rPr>
        <w:t>]</w:t>
      </w:r>
    </w:p>
    <w:p>
      <w:pPr>
        <w:sectPr>
          <w:pgSz w:w="11900" w:h="16838" w:orient="portrait"/>
          <w:cols w:equalWidth="0" w:num="1">
            <w:col w:w="10100"/>
          </w:cols>
          <w:pgMar w:left="880" w:top="266" w:right="919" w:bottom="1440" w:gutter="0" w:footer="0" w:header="0"/>
        </w:sectPr>
      </w:pPr>
    </w:p>
    <w:bookmarkStart w:id="130" w:name="page131"/>
    <w:bookmarkEnd w:id="130"/>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 Item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set-up fee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administration fee</w:t>
      </w:r>
    </w:p>
    <w:p>
      <w:pPr>
        <w:spacing w:after="0" w:line="200" w:lineRule="exact"/>
        <w:rPr>
          <w:sz w:val="20"/>
          <w:szCs w:val="20"/>
          <w:color w:val="auto"/>
        </w:rPr>
      </w:pPr>
    </w:p>
    <w:p>
      <w:pPr>
        <w:spacing w:after="0" w:line="22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Transaction processing fee for disbursements to Company under </w:t>
      </w:r>
      <w:r>
        <w:rPr>
          <w:rFonts w:ascii="Times New Roman" w:cs="Times New Roman" w:eastAsia="Times New Roman" w:hAnsi="Times New Roman"/>
          <w:sz w:val="18"/>
          <w:szCs w:val="18"/>
          <w:u w:val="single" w:color="auto"/>
          <w:color w:val="auto"/>
        </w:rPr>
        <w:t>Section 1</w:t>
      </w:r>
    </w:p>
    <w:p>
      <w:pPr>
        <w:spacing w:after="0" w:line="260" w:lineRule="auto"/>
        <w:rPr>
          <w:sz w:val="20"/>
          <w:szCs w:val="20"/>
          <w:color w:val="auto"/>
        </w:rPr>
      </w:pPr>
      <w:r>
        <w:rPr>
          <w:rFonts w:ascii="Times New Roman" w:cs="Times New Roman" w:eastAsia="Times New Roman" w:hAnsi="Times New Roman"/>
          <w:sz w:val="18"/>
          <w:szCs w:val="18"/>
          <w:color w:val="auto"/>
        </w:rPr>
        <w:t xml:space="preserve">Paying Agent services as required pursuant to </w:t>
      </w:r>
      <w:r>
        <w:rPr>
          <w:rFonts w:ascii="Times New Roman" w:cs="Times New Roman" w:eastAsia="Times New Roman" w:hAnsi="Times New Roman"/>
          <w:sz w:val="18"/>
          <w:szCs w:val="18"/>
          <w:u w:val="single" w:color="auto"/>
          <w:color w:val="auto"/>
        </w:rPr>
        <w:t>Section 1(i)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-210820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18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Time and method of payment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1"/>
        </w:trPr>
        <w:tc>
          <w:tcPr>
            <w:tcW w:w="20" w:type="dxa"/>
            <w:vAlign w:val="bottom"/>
          </w:tcPr>
          <w:p>
            <w:pPr>
              <w:spacing w:after="0"/>
              <w:rPr>
                <w:sz w:val="16"/>
                <w:szCs w:val="16"/>
                <w:color w:val="auto"/>
              </w:rPr>
            </w:pPr>
          </w:p>
        </w:tc>
        <w:tc>
          <w:tcPr>
            <w:tcW w:w="418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Initial closing of Offering by wire transfer.</w:t>
            </w:r>
          </w:p>
        </w:tc>
        <w:tc>
          <w:tcPr>
            <w:tcW w:w="5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6"/>
                <w:szCs w:val="16"/>
                <w:color w:val="auto"/>
              </w:rPr>
            </w:pP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Payable annually. First year fee payable, at initial closing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Offering by wire transfer, thereafter by wire transfer or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Billed to Company following disbursement made to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42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Company under Section 1</w:t>
            </w:r>
          </w:p>
        </w:tc>
        <w:tc>
          <w:tcPr>
            <w:tcW w:w="6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250.00</w:t>
            </w:r>
          </w:p>
        </w:tc>
      </w:tr>
      <w:tr>
        <w:trPr>
          <w:trHeight w:val="20"/>
        </w:trPr>
        <w:tc>
          <w:tcPr>
            <w:tcW w:w="12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Billed to Company upon delivery of service pursuant to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5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8"/>
              </w:rPr>
              <w:t>Section 1(i) and 1(k)</w:t>
            </w:r>
          </w:p>
        </w:tc>
        <w:tc>
          <w:tcPr>
            <w:tcW w:w="270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Prevailing rates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-530860</wp:posOffset>
            </wp:positionV>
            <wp:extent cx="699516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-1087755</wp:posOffset>
            </wp:positionV>
            <wp:extent cx="699516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2">
            <w:col w:w="4480" w:space="440"/>
            <w:col w:w="6040"/>
          </w:cols>
          <w:pgMar w:left="440" w:top="266" w:right="499" w:bottom="1440" w:gutter="0" w:footer="0" w:header="0"/>
        </w:sectPr>
      </w:pPr>
    </w:p>
    <w:bookmarkStart w:id="131" w:name="page132"/>
    <w:bookmarkEnd w:id="131"/>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left="764"/>
        <w:spacing w:after="0"/>
        <w:tabs>
          <w:tab w:leader="none" w:pos="118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left="4"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1(i)</w:t>
      </w:r>
      <w:r>
        <w:rPr>
          <w:rFonts w:ascii="Times New Roman" w:cs="Times New Roman" w:eastAsia="Times New Roman" w:hAnsi="Times New Roman"/>
          <w:sz w:val="17"/>
          <w:szCs w:val="17"/>
          <w:color w:val="auto"/>
        </w:rPr>
        <w:t xml:space="preserve"> of the Investment Management Trust Agreement between VPC Impact Acquisition Holdings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Continental Stock Transfer &amp; Trust Company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dated as of September 22, 2020 (the “</w:t>
      </w:r>
      <w:r>
        <w:rPr>
          <w:rFonts w:ascii="Times New Roman" w:cs="Times New Roman" w:eastAsia="Times New Roman" w:hAnsi="Times New Roman"/>
          <w:sz w:val="17"/>
          <w:szCs w:val="17"/>
          <w:b w:val="1"/>
          <w:bCs w:val="1"/>
          <w:i w:val="1"/>
          <w:iCs w:val="1"/>
          <w:color w:val="auto"/>
        </w:rPr>
        <w:t>Trust Agreement</w:t>
      </w:r>
      <w:r>
        <w:rPr>
          <w:rFonts w:ascii="Times New Roman" w:cs="Times New Roman" w:eastAsia="Times New Roman" w:hAnsi="Times New Roman"/>
          <w:sz w:val="17"/>
          <w:szCs w:val="17"/>
          <w:color w:val="auto"/>
        </w:rPr>
        <w:t>”), this is to advise you that the Company has entered into an agreement with ___________ (the “</w:t>
      </w:r>
      <w:r>
        <w:rPr>
          <w:rFonts w:ascii="Times New Roman" w:cs="Times New Roman" w:eastAsia="Times New Roman" w:hAnsi="Times New Roman"/>
          <w:sz w:val="17"/>
          <w:szCs w:val="17"/>
          <w:b w:val="1"/>
          <w:bCs w:val="1"/>
          <w:i w:val="1"/>
          <w:iCs w:val="1"/>
          <w:color w:val="auto"/>
        </w:rPr>
        <w:t>Target Business</w:t>
      </w:r>
      <w:r>
        <w:rPr>
          <w:rFonts w:ascii="Times New Roman" w:cs="Times New Roman" w:eastAsia="Times New Roman" w:hAnsi="Times New Roman"/>
          <w:sz w:val="17"/>
          <w:szCs w:val="17"/>
          <w:color w:val="auto"/>
        </w:rPr>
        <w:t>”) to consummate a business combination with Target Business (the</w:t>
      </w:r>
    </w:p>
    <w:p>
      <w:pPr>
        <w:spacing w:after="0" w:line="1"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on or about </w:t>
      </w:r>
      <w:r>
        <w:rPr>
          <w:rFonts w:ascii="Times New Roman" w:cs="Times New Roman" w:eastAsia="Times New Roman" w:hAnsi="Times New Roman"/>
          <w:sz w:val="18"/>
          <w:szCs w:val="18"/>
          <w:b w:val="1"/>
          <w:bCs w:val="1"/>
          <w:color w:val="auto"/>
        </w:rPr>
        <w:t>[insert date]</w:t>
      </w:r>
      <w:r>
        <w:rPr>
          <w:rFonts w:ascii="Times New Roman" w:cs="Times New Roman" w:eastAsia="Times New Roman" w:hAnsi="Times New Roman"/>
          <w:sz w:val="18"/>
          <w:szCs w:val="18"/>
          <w:color w:val="auto"/>
        </w:rPr>
        <w:t>. The Company shall notify you at least seventy-two (72) hours in advance of the actual date (or such shorter period as you may agree) of the consummation of the Business Combination (the “</w:t>
      </w:r>
      <w:r>
        <w:rPr>
          <w:rFonts w:ascii="Times New Roman" w:cs="Times New Roman" w:eastAsia="Times New Roman" w:hAnsi="Times New Roman"/>
          <w:sz w:val="18"/>
          <w:szCs w:val="18"/>
          <w:b w:val="1"/>
          <w:bCs w:val="1"/>
          <w:i w:val="1"/>
          <w:iCs w:val="1"/>
          <w:color w:val="auto"/>
        </w:rPr>
        <w:t>Consummation Date</w:t>
      </w:r>
      <w:r>
        <w:rPr>
          <w:rFonts w:ascii="Times New Roman" w:cs="Times New Roman" w:eastAsia="Times New Roman" w:hAnsi="Times New Roman"/>
          <w:sz w:val="18"/>
          <w:szCs w:val="18"/>
          <w:color w:val="auto"/>
        </w:rPr>
        <w:t>”). Capitalized terms used but not defined herein shall have the meanings set forth in the Trust Agreement.</w:t>
      </w:r>
    </w:p>
    <w:p>
      <w:pPr>
        <w:spacing w:after="0" w:line="186" w:lineRule="exact"/>
        <w:rPr>
          <w:sz w:val="20"/>
          <w:szCs w:val="20"/>
          <w:color w:val="auto"/>
        </w:rPr>
      </w:pPr>
    </w:p>
    <w:p>
      <w:pPr>
        <w:jc w:val="both"/>
        <w:ind w:left="4" w:right="100" w:firstLine="440"/>
        <w:spacing w:after="0" w:line="281" w:lineRule="auto"/>
        <w:rPr>
          <w:sz w:val="20"/>
          <w:szCs w:val="20"/>
          <w:color w:val="auto"/>
        </w:rPr>
      </w:pPr>
      <w:r>
        <w:rPr>
          <w:rFonts w:ascii="Times New Roman" w:cs="Times New Roman" w:eastAsia="Times New Roman" w:hAnsi="Times New Roman"/>
          <w:sz w:val="17"/>
          <w:szCs w:val="17"/>
          <w:color w:val="auto"/>
        </w:rPr>
        <w:t>In accordance with the terms of the Trust Agreement, the Company hereby authorizes you to commence to liquidate all of the assets of the Trust Account, and to transfer the proceeds to a segregated account held by you on behalf of the Beneficiaries to the effect that, on the Consummation Date, all of the funds held in the Trust Operating Account will be immediately available for transfer to the account or accounts that the Company shall direct on the Consummation Date (including as directed to it by the Representative on behalf of the Underwriters (with respect to the Deferred Discount)).</w:t>
      </w:r>
    </w:p>
    <w:p>
      <w:pPr>
        <w:spacing w:after="0" w:line="164" w:lineRule="exact"/>
        <w:rPr>
          <w:sz w:val="20"/>
          <w:szCs w:val="20"/>
          <w:color w:val="auto"/>
        </w:rPr>
      </w:pPr>
    </w:p>
    <w:p>
      <w:pPr>
        <w:jc w:val="center"/>
        <w:ind w:right="176"/>
        <w:spacing w:after="0" w:line="276" w:lineRule="auto"/>
        <w:rPr>
          <w:sz w:val="20"/>
          <w:szCs w:val="20"/>
          <w:color w:val="auto"/>
        </w:rPr>
      </w:pPr>
      <w:r>
        <w:rPr>
          <w:rFonts w:ascii="Times New Roman" w:cs="Times New Roman" w:eastAsia="Times New Roman" w:hAnsi="Times New Roman"/>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Times New Roman" w:cs="Times New Roman" w:eastAsia="Times New Roman" w:hAnsi="Times New Roman"/>
          <w:sz w:val="17"/>
          <w:szCs w:val="17"/>
          <w:b w:val="1"/>
          <w:bCs w:val="1"/>
          <w:i w:val="1"/>
          <w:iCs w:val="1"/>
          <w:color w:val="auto"/>
        </w:rPr>
        <w:t>Notification</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hanging="4"/>
        <w:spacing w:after="0" w:line="251" w:lineRule="auto"/>
        <w:tabs>
          <w:tab w:leader="none" w:pos="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you (a) a certificate by the Chief Executive Officer, Chief Financial Officer or Chief Operating Officer, which verifies that the Business Combination has been approved by a vote of the Company’s shareholders, if a vote is held and (b) a joint written instruction signed by the Company and the Representative with respect to the transfer of the funds held in the Trust Account, including payment of amounts owed to public shareholders who have properly exercised their redemption rights and payment of the Deferred Discount directly to the account or accounts directed by the Representative from the Trust Account (the “</w:t>
      </w:r>
      <w:r>
        <w:rPr>
          <w:rFonts w:ascii="Times New Roman" w:cs="Times New Roman" w:eastAsia="Times New Roman" w:hAnsi="Times New Roman"/>
          <w:sz w:val="18"/>
          <w:szCs w:val="18"/>
          <w:b w:val="1"/>
          <w:bCs w:val="1"/>
          <w:i w:val="1"/>
          <w:iCs w:val="1"/>
          <w:color w:val="auto"/>
        </w:rPr>
        <w:t>Instruction Letter</w:t>
      </w:r>
      <w:r>
        <w:rPr>
          <w:rFonts w:ascii="Times New Roman" w:cs="Times New Roman" w:eastAsia="Times New Roman" w:hAnsi="Times New Roman"/>
          <w:sz w:val="18"/>
          <w:szCs w:val="18"/>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9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Business Combination is not consummated on the Consummation Date described in the notice thereof and the Company has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ectPr>
          <w:pgSz w:w="11900" w:h="16838" w:orient="portrait"/>
          <w:cols w:equalWidth="0" w:num="1">
            <w:col w:w="10944"/>
          </w:cols>
          <w:pgMar w:left="436" w:top="266" w:right="519" w:bottom="1440" w:gutter="0" w:footer="0" w:header="0"/>
        </w:sectPr>
      </w:pPr>
    </w:p>
    <w:bookmarkStart w:id="132" w:name="page133"/>
    <w:bookmarkEnd w:id="132"/>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VPC Impact Acquisition Holdings</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33" w:name="page134"/>
    <w:bookmarkEnd w:id="13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left="764"/>
        <w:spacing w:after="0"/>
        <w:tabs>
          <w:tab w:leader="none" w:pos="118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Investment Management Trust Agreement between VPC Impact Acquisition Holdings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September 22, 2020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this is to advise you that the Company has been unable to effect a business combination with a Target Business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83"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In accordance with the terms of the Trust Agreement, the Company hereby authorizes you to liquidate all of the assets in the Trust Account and to transfer the total proceeds into a segregated account held by you on behalf of the Beneficiaries to await distribution to the Public Shareholders. The Company has selected __________</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as the effective date for the purpose of determining when the Public Shareholders will be entitled to receive their</w:t>
      </w:r>
    </w:p>
    <w:p>
      <w:pPr>
        <w:spacing w:after="0" w:line="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share of the liquidation proceeds. You agree to be the Paying Agent of record and, in your separate capacity as Paying Agent, agree to distribute said funds directly to the Company’s Public Shareholders in accordance with the terms of the Trust Agreement and the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Trust Agreement.</w:t>
      </w:r>
    </w:p>
    <w:p>
      <w:pPr>
        <w:spacing w:after="0" w:line="214"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5"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1" w:lineRule="exact"/>
        <w:rPr>
          <w:sz w:val="20"/>
          <w:szCs w:val="20"/>
          <w:color w:val="auto"/>
        </w:rPr>
      </w:pPr>
    </w:p>
    <w:p>
      <w:pPr>
        <w:ind w:left="424" w:hanging="424"/>
        <w:spacing w:after="0"/>
        <w:tabs>
          <w:tab w:leader="none" w:pos="424"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24 months from the closing of the Offering, or at a later date, if extended.</w:t>
      </w:r>
    </w:p>
    <w:p>
      <w:pPr>
        <w:sectPr>
          <w:pgSz w:w="11900" w:h="16838" w:orient="portrait"/>
          <w:cols w:equalWidth="0" w:num="1">
            <w:col w:w="10964"/>
          </w:cols>
          <w:pgMar w:left="436" w:top="266" w:right="499" w:bottom="1440" w:gutter="0" w:footer="0" w:header="0"/>
        </w:sectPr>
      </w:pPr>
    </w:p>
    <w:bookmarkStart w:id="134" w:name="page135"/>
    <w:bookmarkEnd w:id="13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left="760"/>
        <w:spacing w:after="0"/>
        <w:tabs>
          <w:tab w:leader="none" w:pos="11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Tax Payment Withdrawal Instruction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between VPC Impact Acquisition Holdings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September 22, 2020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 hereby requests that you deliver to the Company $_______ of the interest income earned on the Property as of the date hereof. Capitalized terms used but not defined herein shall have the meanings set forth in the Trust Agreement.</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[WIRE INSTRUCTION INFORMATION]</w:t>
      </w:r>
    </w:p>
    <w:p>
      <w:pPr>
        <w:spacing w:after="0" w:line="2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ectPr>
          <w:pgSz w:w="11900" w:h="16838" w:orient="portrait"/>
          <w:cols w:equalWidth="0" w:num="1">
            <w:col w:w="10920"/>
          </w:cols>
          <w:pgMar w:left="440" w:top="266" w:right="5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right="5120" w:firstLine="771"/>
        <w:spacing w:after="0" w:line="498"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Shareholder Redemption Withdrawal Instruction</w:t>
      </w:r>
      <w:r>
        <w:rPr>
          <w:rFonts w:ascii="Times New Roman" w:cs="Times New Roman" w:eastAsia="Times New Roman" w:hAnsi="Times New Roman"/>
          <w:sz w:val="18"/>
          <w:szCs w:val="18"/>
          <w:color w:val="auto"/>
        </w:rPr>
        <w:t xml:space="preserve"> Dear Mr. Wolf and Ms. Gonzalez:</w:t>
      </w:r>
    </w:p>
    <w:p>
      <w:pPr>
        <w:spacing w:after="0" w:line="1" w:lineRule="exact"/>
        <w:rPr>
          <w:sz w:val="20"/>
          <w:szCs w:val="20"/>
          <w:color w:val="auto"/>
        </w:rPr>
      </w:pPr>
    </w:p>
    <w:p>
      <w:pPr>
        <w:ind w:right="1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1(k)</w:t>
      </w:r>
      <w:r>
        <w:rPr>
          <w:rFonts w:ascii="Times New Roman" w:cs="Times New Roman" w:eastAsia="Times New Roman" w:hAnsi="Times New Roman"/>
          <w:sz w:val="17"/>
          <w:szCs w:val="17"/>
          <w:color w:val="auto"/>
        </w:rPr>
        <w:t xml:space="preserve"> of the Investment Management Trust Agreement between VPC Impact Acquisition Holdings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Continental Stock Transfer &amp; Trust Company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dated as of September 22, 2020 (the “</w:t>
      </w:r>
      <w:r>
        <w:rPr>
          <w:rFonts w:ascii="Times New Roman" w:cs="Times New Roman" w:eastAsia="Times New Roman" w:hAnsi="Times New Roman"/>
          <w:sz w:val="17"/>
          <w:szCs w:val="17"/>
          <w:b w:val="1"/>
          <w:bCs w:val="1"/>
          <w:i w:val="1"/>
          <w:iCs w:val="1"/>
          <w:color w:val="auto"/>
        </w:rPr>
        <w:t>Trust Agreement</w:t>
      </w:r>
      <w:r>
        <w:rPr>
          <w:rFonts w:ascii="Times New Roman" w:cs="Times New Roman" w:eastAsia="Times New Roman" w:hAnsi="Times New Roman"/>
          <w:sz w:val="17"/>
          <w:szCs w:val="17"/>
          <w:color w:val="auto"/>
        </w:rPr>
        <w:t>”), the Company hereby requests that you deliver to the redeeming Public Shareholders of the Company $____ of the principal and interest income earned on the Property as of the date</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hereof to a segregated account held by you on behalf of the Beneficiaries for distribution to the Public Shareholders who have requested redemption of their Ordinary Shares. Capitalized terms used but not defined herein shall have the meanings set forth in the Trust Agreement.</w:t>
      </w:r>
    </w:p>
    <w:p>
      <w:pPr>
        <w:spacing w:after="0" w:line="1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needs such funds to pay its Public Shareholders who have properly elected to have their Ordinary Shares redeemed by the Company in connection with a shareholder vote to approve an amendment to the Company’s amended and restated memorandum and articles of association (A) to modify the substance or timing of the Company’s obligation to allow redemption in connection with the Company’s initial business combination or to redeem 100% of its public Ordinary Shares if the Company has not consummated an initial Business Combination within such time as is described in the Company’s amended and restated memorandum and articles of association or (B) with respect to any other material provisions relating to shareholders’ rights or pre-initial Business Combination activity. As such, you are hereby directed and authorized to transfer (via wire transfer) such funds promptly upon your receipt of this letter.</w:t>
      </w:r>
    </w:p>
    <w:p>
      <w:pPr>
        <w:spacing w:after="0" w:line="2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ectPr>
          <w:pgSz w:w="11900" w:h="16838" w:orient="portrait"/>
          <w:cols w:equalWidth="0" w:num="1">
            <w:col w:w="11000"/>
          </w:cols>
          <w:pgMar w:left="440" w:top="266" w:right="4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September 22, 2020, is made and entered into by and among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VPC Impact Acquisition Holdings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xml:space="preserve">”) and each of the undersigned parties listed on the signature page hereto under “Holders” (each such party, together with the Sponsor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5,750,000 Class B ordinary shares, par value $0.0001 per share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750,000 of which will be surrendered to the Company for no consideration depending on the extent to which the underwriters of the Company’s initial public offering exercise their over-allotment option;</w:t>
      </w:r>
    </w:p>
    <w:p>
      <w:pPr>
        <w:spacing w:after="0" w:line="171"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Founder Shares are convertible into Class A ordinary shares of the Company, par value $0.0001 per share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on the terms and conditions provided in the Company’s amended and restated memorandum and articles of association;</w:t>
      </w:r>
    </w:p>
    <w:p>
      <w:pPr>
        <w:spacing w:after="0" w:line="15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the Company and the Sponsor entered into that certain Private Placement Warrants Purchase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 Purchase Agreement</w:t>
      </w:r>
      <w:r>
        <w:rPr>
          <w:rFonts w:ascii="Times New Roman" w:cs="Times New Roman" w:eastAsia="Times New Roman" w:hAnsi="Times New Roman"/>
          <w:sz w:val="18"/>
          <w:szCs w:val="18"/>
          <w:color w:val="auto"/>
        </w:rPr>
        <w:t>”), pursuant to which the Sponsor agreed to purchase an aggregate of 6,000,000 private placement warrants (or up to 6,600,000 warrants to the extent that the over-allotment option in connection with the Company’s initial public offering is exercised)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in a private placement transaction occurring simultaneously with the closing of the Company’s initial public offering;</w:t>
      </w:r>
    </w:p>
    <w:p>
      <w:pPr>
        <w:spacing w:after="0" w:line="179" w:lineRule="exact"/>
        <w:rPr>
          <w:sz w:val="20"/>
          <w:szCs w:val="20"/>
          <w:color w:val="auto"/>
        </w:rPr>
      </w:pPr>
    </w:p>
    <w:p>
      <w:pPr>
        <w:ind w:right="4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finance the Company’s transaction costs in connection with its search for and consummation of an initial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(as defined below), the Sponsor, its affiliates or any of the Company’s officers and directors may loan to the Company funds as the Company may require, of which up to $1,500,000 of such loans may be convertible into private placement-equivalent warrants (“</w:t>
      </w:r>
      <w:r>
        <w:rPr>
          <w:rFonts w:ascii="Times New Roman" w:cs="Times New Roman" w:eastAsia="Times New Roman" w:hAnsi="Times New Roman"/>
          <w:sz w:val="18"/>
          <w:szCs w:val="18"/>
          <w:b w:val="1"/>
          <w:bCs w:val="1"/>
          <w:i w:val="1"/>
          <w:iCs w:val="1"/>
          <w:color w:val="auto"/>
        </w:rPr>
        <w:t>Working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at a price of $1.00 per warrant at the option of the lender; and</w:t>
      </w:r>
    </w:p>
    <w:p>
      <w:pPr>
        <w:spacing w:after="0" w:line="176"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desire to enter into this Agreement, pursuant to which the Company shall grant the Holders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with respect to certain securities of the Company, as set forth in this Agreement.</w:t>
      </w:r>
    </w:p>
    <w:p>
      <w:pPr>
        <w:spacing w:after="0" w:line="155"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i w:val="1"/>
          <w:iCs w:val="1"/>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any merger, share exchange, asset acquisition, share purchase, reorganization or other similar business combination with one or more businesses, involving the Company.</w:t>
      </w:r>
    </w:p>
    <w:p>
      <w:pPr>
        <w:sectPr>
          <w:pgSz w:w="11900" w:h="16838" w:orient="portrait"/>
          <w:cols w:equalWidth="0" w:num="1">
            <w:col w:w="11020"/>
          </w:cols>
          <w:pgMar w:left="440" w:top="117" w:right="43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have the meaning given in the Recitals hereto and shall be deemed to include the Ordinary Shares issuable upon conversion thereof.</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 Lock-up Period</w:t>
      </w:r>
      <w:r>
        <w:rPr>
          <w:rFonts w:ascii="Times New Roman" w:cs="Times New Roman" w:eastAsia="Times New Roman" w:hAnsi="Times New Roman"/>
          <w:sz w:val="18"/>
          <w:szCs w:val="18"/>
          <w:color w:val="auto"/>
        </w:rPr>
        <w:t>” shall mean, with respect to the Founder Shares and any Ordinary Shares issuable upon conversion thereof, the period ending on the earlier of (A) one year after the completion of the Company’s initial Business Combination and (B) subsequent to the completion of the Business Combination, (x) if the closing price of the Ordinary Shares equals or exceeds $12.00 per share (as adjusted for share splits,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 Letter</w:t>
      </w:r>
      <w:r>
        <w:rPr>
          <w:rFonts w:ascii="Times New Roman" w:cs="Times New Roman" w:eastAsia="Times New Roman" w:hAnsi="Times New Roman"/>
          <w:sz w:val="18"/>
          <w:szCs w:val="18"/>
          <w:color w:val="auto"/>
        </w:rPr>
        <w:t>” shall mean that certain letter agreement, dated as of the date hereof, by and among the Company, the Sponsor and each of the Company’s officers and directors.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shall mean any person or entity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Holder and the Company, and to any transferee thereafter.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Lock-up Period</w:t>
      </w:r>
      <w:r>
        <w:rPr>
          <w:rFonts w:ascii="Times New Roman" w:cs="Times New Roman" w:eastAsia="Times New Roman" w:hAnsi="Times New Roman"/>
          <w:sz w:val="18"/>
          <w:szCs w:val="18"/>
          <w:color w:val="auto"/>
        </w:rPr>
        <w:t>” shall mean, with respect to Private Placement Warrants, that are held by the initial purchasers of such Private Placement Warrants or their Permitted Transferees, and the Ordinary Shares issuable upon the exercise of the Private Placement Warrants, that are held by the initial purchasers of the Private Placement Warrants or their Permitted Transferees, the period ending 30 days after the completion of the Company’s initial Business Combination.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 Purchase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shall mean (a) the Ordinary Shares issued or issuable upon the conversion of the Founder Shares, (b) the Private Placement Warrants (including any Ordinary Shares issued or issuable upon the</w:t>
      </w:r>
    </w:p>
    <w:p>
      <w:pPr>
        <w:sectPr>
          <w:pgSz w:w="11900" w:h="16838" w:orient="portrait"/>
          <w:cols w:equalWidth="0" w:num="1">
            <w:col w:w="11000"/>
          </w:cols>
          <w:pgMar w:left="440" w:top="266" w:right="45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0"/>
          </w:cols>
          <w:pgMar w:left="440" w:top="266" w:right="459" w:bottom="1440" w:gutter="0" w:footer="0" w:header="0"/>
          <w:type w:val="continuous"/>
        </w:sectPr>
      </w:pPr>
    </w:p>
    <w:bookmarkStart w:id="138" w:name="page139"/>
    <w:bookmarkEnd w:id="13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 of the Private Placement Warrants), (c) any outstanding Ordinary Shares or any other equity security (including the Ordinary Shares issued or issuable upon the exercise of any other equity security) of the Company held by a Holder as of the date of this Agreement, (d) any equity securities (including the Ordinary Shares issued or issuable upon the exercise of any such equity security) of the Company issuable upon conversion of any working capital loans in an amount up to $1,500,000 made to the Company by a Holder (including the Working Capital Warrants and any Ordinary Shares issued or issuable upon the exercise of the Working Capital Warrants) and (e) any other equity security of the Company issued or issuable with respect to any such Ordinary Share by way of a share capitalization or share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193" w:lineRule="exact"/>
        <w:rPr>
          <w:sz w:val="20"/>
          <w:szCs w:val="20"/>
          <w:color w:val="auto"/>
        </w:rPr>
      </w:pPr>
    </w:p>
    <w:p>
      <w:pPr>
        <w:jc w:val="center"/>
        <w:ind w:right="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w:t>
      </w:r>
      <w:r>
        <w:rPr>
          <w:rFonts w:ascii="Times New Roman" w:cs="Times New Roman" w:eastAsia="Times New Roman" w:hAnsi="Times New Roman"/>
          <w:sz w:val="17"/>
          <w:szCs w:val="17"/>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29" w:lineRule="exact"/>
        <w:rPr>
          <w:sz w:val="20"/>
          <w:szCs w:val="20"/>
          <w:color w:val="auto"/>
        </w:rPr>
      </w:pPr>
    </w:p>
    <w:p>
      <w:pPr>
        <w:ind w:right="340" w:firstLine="436"/>
        <w:spacing w:after="0" w:line="282" w:lineRule="auto"/>
        <w:tabs>
          <w:tab w:leader="none" w:pos="7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7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ind w:right="460" w:firstLine="436"/>
        <w:spacing w:after="0" w:line="282" w:lineRule="auto"/>
        <w:tabs>
          <w:tab w:leader="none" w:pos="70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58"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shall have the meaning given in the Recitals hereto.</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9" w:name="page140"/>
    <w:bookmarkEnd w:id="13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Section 2.4 hereof, at any time and from time to time on or after the date the Company consummates the Business Combination, the Holders of at least fifteen percent (15%) of the then-outstanding number of Registrable Securities (the “</w:t>
      </w:r>
      <w:r>
        <w:rPr>
          <w:rFonts w:ascii="Times New Roman" w:cs="Times New Roman" w:eastAsia="Times New Roman" w:hAnsi="Times New Roman"/>
          <w:sz w:val="18"/>
          <w:szCs w:val="18"/>
          <w:b w:val="1"/>
          <w:bCs w:val="1"/>
          <w:i w:val="1"/>
          <w:iCs w:val="1"/>
          <w:color w:val="auto"/>
        </w:rPr>
        <w:t>Demanding Holders</w:t>
      </w:r>
      <w:r>
        <w:rPr>
          <w:rFonts w:ascii="Times New Roman" w:cs="Times New Roman" w:eastAsia="Times New Roman" w:hAnsi="Times New Roman"/>
          <w:sz w:val="18"/>
          <w:szCs w:val="18"/>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shall so notify the Company, in writing, within five</w:t>
      </w:r>
    </w:p>
    <w:p>
      <w:pPr>
        <w:spacing w:after="0" w:line="1" w:lineRule="exact"/>
        <w:rPr>
          <w:sz w:val="20"/>
          <w:szCs w:val="20"/>
          <w:color w:val="auto"/>
        </w:rPr>
      </w:pPr>
    </w:p>
    <w:p>
      <w:pPr>
        <w:ind w:left="4" w:right="60" w:hanging="4"/>
        <w:spacing w:after="0" w:line="251"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Form S-1 or any similar long-form registration statement that may be available at such time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93"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2" w:lineRule="exact"/>
        <w:rPr>
          <w:sz w:val="20"/>
          <w:szCs w:val="20"/>
          <w:color w:val="auto"/>
        </w:rPr>
      </w:pPr>
    </w:p>
    <w:p>
      <w:pPr>
        <w:ind w:left="4" w:firstLine="991"/>
        <w:spacing w:after="0" w:line="273"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subsection 2.1.4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7"/>
          <w:szCs w:val="17"/>
          <w:u w:val="single" w:color="auto"/>
          <w:color w:val="auto"/>
        </w:rPr>
        <w:t>subsection 2.1.3</w:t>
      </w:r>
      <w:r>
        <w:rPr>
          <w:rFonts w:ascii="Times New Roman" w:cs="Times New Roman" w:eastAsia="Times New Roman" w:hAnsi="Times New Roman"/>
          <w:sz w:val="17"/>
          <w:szCs w:val="17"/>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7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40" w:name="page141"/>
    <w:bookmarkEnd w:id="14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without exceeding the Maximum Number of Securities; and (iii) third, to the extent that the Maximum Number of Securities has not been reached under the foregoing clauses (i) and (ii), the Ordinary Shares or other equity securities that the Company desires to sell, which can be sold without exceeding the Maximum Number of Securities; and (iv) fourth, to the extent that the Maximum Number of Securities has not been reached under the foregoing clauses (i), (ii) and (iii),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97" w:lineRule="exact"/>
        <w:rPr>
          <w:sz w:val="20"/>
          <w:szCs w:val="20"/>
          <w:color w:val="auto"/>
        </w:rPr>
      </w:pPr>
    </w:p>
    <w:p>
      <w:pPr>
        <w:ind w:left="4" w:right="2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Demanding Holders initiating a Demand Registration or a majority-in-interest of the Requesting Holders (if any), pursuant to a Registration under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w:t>
      </w:r>
    </w:p>
    <w:p>
      <w:pPr>
        <w:spacing w:after="0" w:line="3" w:lineRule="exact"/>
        <w:rPr>
          <w:sz w:val="20"/>
          <w:szCs w:val="20"/>
          <w:color w:val="auto"/>
        </w:rPr>
      </w:pPr>
    </w:p>
    <w:p>
      <w:pPr>
        <w:ind w:left="4" w:right="20" w:hanging="4"/>
        <w:spacing w:after="0" w:line="251" w:lineRule="auto"/>
        <w:tabs>
          <w:tab w:leader="none" w:pos="3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93"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41" w:name="page142"/>
    <w:bookmarkEnd w:id="141"/>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68" w:lineRule="exact"/>
        <w:rPr>
          <w:sz w:val="20"/>
          <w:szCs w:val="20"/>
          <w:color w:val="auto"/>
        </w:rPr>
      </w:pPr>
    </w:p>
    <w:p>
      <w:pPr>
        <w:ind w:left="4" w:right="180" w:firstLine="1428"/>
        <w:spacing w:after="0" w:line="276" w:lineRule="auto"/>
        <w:tabs>
          <w:tab w:leader="none" w:pos="1681"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undertaken for the Company’s account, the Company shall include in any such Registration (A) first, the Ordinary Shares or other equity securities that the Company desires to sell, which can be sold without exceeding the Maximum Number of Securities;</w:t>
      </w:r>
    </w:p>
    <w:p>
      <w:pPr>
        <w:ind w:left="4" w:right="100" w:hanging="4"/>
        <w:spacing w:after="0" w:line="252" w:lineRule="auto"/>
        <w:tabs>
          <w:tab w:leader="none" w:pos="2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such Holder has requested be included in such Registration), which can be sold without exceeding the Maximum Number of Securities; and (C) third, to the extent that the Maximum Number of Securities has not been 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w:t>
      </w:r>
    </w:p>
    <w:p>
      <w:pPr>
        <w:spacing w:after="0" w:line="189" w:lineRule="exact"/>
        <w:rPr>
          <w:rFonts w:ascii="Times New Roman" w:cs="Times New Roman" w:eastAsia="Times New Roman" w:hAnsi="Times New Roman"/>
          <w:sz w:val="18"/>
          <w:szCs w:val="18"/>
          <w:color w:val="auto"/>
        </w:rPr>
      </w:pPr>
    </w:p>
    <w:p>
      <w:pPr>
        <w:ind w:left="4" w:firstLine="1428"/>
        <w:spacing w:after="0" w:line="253" w:lineRule="auto"/>
        <w:tabs>
          <w:tab w:leader="none" w:pos="169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pro rata based on the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0"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Registrations on Form S-3</w:t>
      </w:r>
      <w:r>
        <w:rPr>
          <w:rFonts w:ascii="Times New Roman" w:cs="Times New Roman" w:eastAsia="Times New Roman" w:hAnsi="Times New Roman"/>
          <w:sz w:val="17"/>
          <w:szCs w:val="17"/>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Times New Roman" w:cs="Times New Roman" w:eastAsia="Times New Roman" w:hAnsi="Times New Roman"/>
          <w:sz w:val="17"/>
          <w:szCs w:val="17"/>
          <w:b w:val="1"/>
          <w:bCs w:val="1"/>
          <w:i w:val="1"/>
          <w:iCs w:val="1"/>
          <w:color w:val="auto"/>
        </w:rPr>
        <w:t>Form S-3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w:t>
      </w:r>
    </w:p>
    <w:p>
      <w:pPr>
        <w:spacing w:after="0" w:line="2" w:lineRule="exact"/>
        <w:rPr>
          <w:sz w:val="20"/>
          <w:szCs w:val="20"/>
          <w:color w:val="auto"/>
        </w:rPr>
      </w:pPr>
    </w:p>
    <w:p>
      <w:pPr>
        <w:ind w:left="4" w:right="80" w:hanging="4"/>
        <w:spacing w:after="0" w:line="260" w:lineRule="auto"/>
        <w:tabs>
          <w:tab w:leader="none" w:pos="3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receipt by the Holder of the notice from the Company. As soon as practicable thereafter, but not more than twelve (12) days after the Company’s initial receipt of such written request for a Registration on Form S-3,</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142" w:name="page143"/>
    <w:bookmarkEnd w:id="14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effect any such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once in any 12-month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General Procedures</w:t>
      </w:r>
      <w:r>
        <w:rPr>
          <w:rFonts w:ascii="Times New Roman" w:cs="Times New Roman" w:eastAsia="Times New Roman" w:hAnsi="Times New Roman"/>
          <w:sz w:val="17"/>
          <w:szCs w:val="17"/>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5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3"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43" w:name="page144"/>
    <w:bookmarkEnd w:id="143"/>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0"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0" w:lineRule="exact"/>
        <w:rPr>
          <w:sz w:val="20"/>
          <w:szCs w:val="20"/>
          <w:color w:val="auto"/>
        </w:rPr>
      </w:pPr>
    </w:p>
    <w:p>
      <w:pPr>
        <w:ind w:left="4" w:right="500" w:firstLine="991"/>
        <w:spacing w:after="0" w:line="266" w:lineRule="auto"/>
        <w:rPr>
          <w:sz w:val="20"/>
          <w:szCs w:val="20"/>
          <w:color w:val="auto"/>
        </w:rPr>
      </w:pPr>
      <w:r>
        <w:rPr>
          <w:rFonts w:ascii="Times New Roman" w:cs="Times New Roman" w:eastAsia="Times New Roman" w:hAnsi="Times New Roman"/>
          <w:sz w:val="18"/>
          <w:szCs w:val="18"/>
          <w:color w:val="auto"/>
        </w:rPr>
        <w:t>3.1.8 at least five (5) days prior to the filing of any Registration Statement or Prospectus or any amendment or supplement to such Registration Statement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76"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representatives or Underwriters enter into a confidentiality agreement, in form and substance reasonably satisfactory to the Company, prior to the release or disclosure of any such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94" w:lineRule="exact"/>
        <w:rPr>
          <w:sz w:val="20"/>
          <w:szCs w:val="20"/>
          <w:color w:val="auto"/>
        </w:rPr>
      </w:pPr>
    </w:p>
    <w:p>
      <w:pPr>
        <w:ind w:left="4" w:right="100" w:firstLine="991"/>
        <w:spacing w:after="0" w:line="289" w:lineRule="auto"/>
        <w:rPr>
          <w:sz w:val="20"/>
          <w:szCs w:val="20"/>
          <w:color w:val="auto"/>
        </w:rPr>
      </w:pPr>
      <w:r>
        <w:rPr>
          <w:rFonts w:ascii="Times New Roman" w:cs="Times New Roman" w:eastAsia="Times New Roman" w:hAnsi="Times New Roman"/>
          <w:sz w:val="17"/>
          <w:szCs w:val="17"/>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58" w:lineRule="exact"/>
        <w:rPr>
          <w:sz w:val="20"/>
          <w:szCs w:val="20"/>
          <w:color w:val="auto"/>
        </w:rPr>
      </w:pPr>
    </w:p>
    <w:p>
      <w:pPr>
        <w:ind w:left="4" w:right="260" w:firstLine="991"/>
        <w:spacing w:after="0" w:line="258" w:lineRule="auto"/>
        <w:rPr>
          <w:sz w:val="20"/>
          <w:szCs w:val="20"/>
          <w:color w:val="auto"/>
        </w:rPr>
      </w:pPr>
      <w:r>
        <w:rPr>
          <w:rFonts w:ascii="Times New Roman" w:cs="Times New Roman" w:eastAsia="Times New Roman" w:hAnsi="Times New Roman"/>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3"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3.1.14 make available to its security holders, as soon as reasonably practicable, an earnings statement covering the period of at least twelve</w:t>
      </w:r>
    </w:p>
    <w:p>
      <w:pPr>
        <w:spacing w:after="0" w:line="27" w:lineRule="exact"/>
        <w:rPr>
          <w:sz w:val="20"/>
          <w:szCs w:val="20"/>
          <w:color w:val="auto"/>
        </w:rPr>
      </w:pPr>
    </w:p>
    <w:p>
      <w:pPr>
        <w:ind w:left="4" w:right="20" w:hanging="4"/>
        <w:spacing w:after="0" w:line="290" w:lineRule="auto"/>
        <w:tabs>
          <w:tab w:leader="none" w:pos="349"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months beginning with the first day of the Company’s first full calendar quarter after the effective date of the Registration Statement which satisfies the provisions of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xml:space="preserve"> of the Securities Act and Rule 158 thereunder (or any successor rule promulgated thereafter by the Commission);</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44" w:name="page145"/>
    <w:bookmarkEnd w:id="144"/>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3.1.16 otherwise, in good faith, cooperate reasonably with, and take such customary actions as may reasonably be requested by the Holders, in connection with such Registration.</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xml:space="preserve">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45" w:name="page146"/>
    <w:bookmarkEnd w:id="145"/>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9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right="80" w:firstLine="991"/>
        <w:spacing w:after="0" w:line="281" w:lineRule="auto"/>
        <w:rPr>
          <w:sz w:val="20"/>
          <w:szCs w:val="20"/>
          <w:color w:val="auto"/>
        </w:rPr>
      </w:pPr>
      <w:r>
        <w:rPr>
          <w:rFonts w:ascii="Times New Roman" w:cs="Times New Roman" w:eastAsia="Times New Roman" w:hAnsi="Times New Roman"/>
          <w:sz w:val="17"/>
          <w:szCs w:val="17"/>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64"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46" w:name="page147"/>
    <w:bookmarkEnd w:id="14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c/o Victory Park Capital Advisors, LLC, 150 North Riverside Plaza, Suite 5200, Chicago, Illinois 60606,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7" w:name="page148"/>
    <w:bookmarkEnd w:id="147"/>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PERFORMED ENTIRELY WITHIN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spacing w:after="0" w:line="183"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hereto or waiver hereof that adversely affects one Holder, solely in his, her or its capacity as a holder of the capital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or (ii) the date as of which</w:t>
      </w:r>
    </w:p>
    <w:p>
      <w:pPr>
        <w:spacing w:after="0" w:line="27" w:lineRule="exact"/>
        <w:rPr>
          <w:sz w:val="20"/>
          <w:szCs w:val="20"/>
          <w:color w:val="auto"/>
        </w:rPr>
      </w:pPr>
    </w:p>
    <w:p>
      <w:pPr>
        <w:ind w:left="4" w:right="140" w:hanging="4"/>
        <w:spacing w:after="0" w:line="253" w:lineRule="auto"/>
        <w:tabs>
          <w:tab w:leader="none" w:pos="29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have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r>
        <w:rPr>
          <w:rFonts w:ascii="Times New Roman" w:cs="Times New Roman" w:eastAsia="Times New Roman" w:hAnsi="Times New Roman"/>
          <w:sz w:val="18"/>
          <w:szCs w:val="18"/>
          <w:color w:val="auto"/>
        </w:rPr>
        <w:t>, a Cayman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Islands exempted company</w:t>
      </w:r>
    </w:p>
    <w:p>
      <w:pPr>
        <w:spacing w:after="0" w:line="207"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VPC IMPACT ACQUISITION HOLDINGS SPONSOR,</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w:t>
      </w:r>
    </w:p>
    <w:p>
      <w:pPr>
        <w:spacing w:after="0" w:line="207"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Scott R. Zemnick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66" w:right="47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WARRANTS PURCHASE AGREEMENT</w:t>
      </w:r>
    </w:p>
    <w:p>
      <w:pPr>
        <w:spacing w:after="0" w:line="229"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THIS PRIVATE PLACEMENT WARRANTS PURCHASE AGREEMENT, dated as of September 22, 2020 (as it may from time to time be amended,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by and between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VPC Impact Acquisition Holdings Sponsor, LLC, a Cayman Islands limited liability company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color w:val="auto"/>
        </w:rPr>
        <w:t>WHEREAS, the Company intends to consummate an initial public offering of the Company’s units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each unit consisting of one Class A Ordinary Share, par value $0.0001 per share, of the Company (an “</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and one-half of one redeemable warrant. Each whole warrant entitles the holder to purchase one Ordinary Share at an exercise price of $11.50 per Ordinary Share. The Purchaser has agreed to purchase an aggregate of 6,000,000 warrants (or 6,600,000 in the aggregate if the over-allotment option in connection with the Public Offering is exercised in full)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each Private Placement Warrant entitling the holder to purchase one Ordinary Share at an exercise price of $11.50 per Share.</w:t>
      </w:r>
    </w:p>
    <w:p>
      <w:pPr>
        <w:spacing w:after="0" w:line="18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Authorization, Purchase and Sale; Terms of the Private Placement Warrants.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Authorization of the Private Placement Warrants</w:t>
      </w:r>
      <w:r>
        <w:rPr>
          <w:rFonts w:ascii="Times New Roman" w:cs="Times New Roman" w:eastAsia="Times New Roman" w:hAnsi="Times New Roman"/>
          <w:sz w:val="18"/>
          <w:szCs w:val="18"/>
          <w:color w:val="auto"/>
        </w:rPr>
        <w:t>. The Company has duly authorized the issuance and sale of the Private Placement Warrants to the Purchaser.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Purchase and Sale of the Private Placement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5"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consummation of the Public Offering or on such earlier time and date as may be mutually agreed by the Purchaser and the Company (the “</w:t>
      </w:r>
      <w:r>
        <w:rPr>
          <w:rFonts w:ascii="Times New Roman" w:cs="Times New Roman" w:eastAsia="Times New Roman" w:hAnsi="Times New Roman"/>
          <w:sz w:val="18"/>
          <w:szCs w:val="18"/>
          <w:b w:val="1"/>
          <w:bCs w:val="1"/>
          <w:i w:val="1"/>
          <w:iCs w:val="1"/>
          <w:color w:val="auto"/>
        </w:rPr>
        <w:t>Initial Closing Date</w:t>
      </w:r>
      <w:r>
        <w:rPr>
          <w:rFonts w:ascii="Times New Roman" w:cs="Times New Roman" w:eastAsia="Times New Roman" w:hAnsi="Times New Roman"/>
          <w:sz w:val="18"/>
          <w:szCs w:val="18"/>
          <w:color w:val="auto"/>
        </w:rPr>
        <w:t>”), the Company shall issue and sell to the Purchaser, and the Purchaser shall purchase from the Company, an aggregate of 6,000,000 Private Placement Warrants at a price of $1.00 per warrant for an aggregate purchase price of $6,000,000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which shall be paid by wire transfer of immediately available funds to the Company at least one business day prior to the Initial Closing Date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the Company’s wiring instructions. On the Initial Closing Date, upon the payment by the Purchaser of the Purchase Price, the Company, at its option, shall deliver a certificate evidencing the Private Placement Warrants purchased by the Purchaser on such date duly registered in the Purchaser’s name to the Purchaser, or effect such delivery in book-entry form.</w:t>
      </w:r>
    </w:p>
    <w:p>
      <w:pPr>
        <w:spacing w:after="0" w:line="80" w:lineRule="exact"/>
        <w:rPr>
          <w:rFonts w:ascii="Times New Roman" w:cs="Times New Roman" w:eastAsia="Times New Roman" w:hAnsi="Times New Roman"/>
          <w:sz w:val="18"/>
          <w:szCs w:val="18"/>
          <w:color w:val="auto"/>
        </w:rPr>
      </w:pPr>
    </w:p>
    <w:p>
      <w:pPr>
        <w:ind w:right="60" w:firstLine="436"/>
        <w:spacing w:after="0" w:line="253" w:lineRule="auto"/>
        <w:tabs>
          <w:tab w:leader="none" w:pos="7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consummation of the closing of the over-allotment option in connection with the Public Offering or on such earlier time and date as may be mutually agreed by the Purchaser and the Company (each such date, an “</w:t>
      </w:r>
      <w:r>
        <w:rPr>
          <w:rFonts w:ascii="Times New Roman" w:cs="Times New Roman" w:eastAsia="Times New Roman" w:hAnsi="Times New Roman"/>
          <w:sz w:val="18"/>
          <w:szCs w:val="18"/>
          <w:b w:val="1"/>
          <w:bCs w:val="1"/>
          <w:i w:val="1"/>
          <w:iCs w:val="1"/>
          <w:color w:val="auto"/>
        </w:rPr>
        <w:t>Over-allotment Closing Date</w:t>
      </w:r>
      <w:r>
        <w:rPr>
          <w:rFonts w:ascii="Times New Roman" w:cs="Times New Roman" w:eastAsia="Times New Roman" w:hAnsi="Times New Roman"/>
          <w:sz w:val="18"/>
          <w:szCs w:val="18"/>
          <w:color w:val="auto"/>
        </w:rPr>
        <w:t>”, and each Over-allotment Closing Date (if any) and the Initial Closing Date being sometimes referred to herein as a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Company shall issue and sell to the Purchaser, and the Purchaser shall purchase from the Company, up to an aggregate of 600,000 additional Private Placement Warrants at a price of $1.00 per warrant for an aggregate purchase price of up to $600,000 (if the over-allotment option in connection with the Public Offering is exercised in full) (the “</w:t>
      </w:r>
      <w:r>
        <w:rPr>
          <w:rFonts w:ascii="Times New Roman" w:cs="Times New Roman" w:eastAsia="Times New Roman" w:hAnsi="Times New Roman"/>
          <w:sz w:val="18"/>
          <w:szCs w:val="18"/>
          <w:b w:val="1"/>
          <w:bCs w:val="1"/>
          <w:i w:val="1"/>
          <w:iCs w:val="1"/>
          <w:color w:val="auto"/>
        </w:rPr>
        <w:t>Over-allotment Purchase Price</w:t>
      </w:r>
      <w:r>
        <w:rPr>
          <w:rFonts w:ascii="Times New Roman" w:cs="Times New Roman" w:eastAsia="Times New Roman" w:hAnsi="Times New Roman"/>
          <w:sz w:val="18"/>
          <w:szCs w:val="18"/>
          <w:color w:val="auto"/>
        </w:rPr>
        <w:t>”). The Purchaser shall pay the Over-allotment Purchase Price by wire transfer of immediately available funds to the Company at least one business day prior to the Over-Allotment Closing Date in accordance with the Company’s wiring instructions. On the Over-allotment Closing Date, upon the payment by the Purchaser of the Over-allotment Purchase Price, the Company shall, at its option, deliver a certificate evidencing the Private Placement Warrants purchased by the Purchaser on such date duly registered in the Purchaser’s name to the Purchaser, or effect such delivery in book-entry form.</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Terms of the Private Placement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36"/>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Private Placement Warrant shall have the terms set forth in a Warrant Agreement to be entered into by the Company and a warrant agent in connection with the Public Offering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50" w:name="page151"/>
    <w:bookmarkEnd w:id="150"/>
    <w:p>
      <w:pPr>
        <w:jc w:val="both"/>
        <w:ind w:right="760" w:firstLine="436"/>
        <w:spacing w:after="0" w:line="266" w:lineRule="auto"/>
        <w:tabs>
          <w:tab w:leader="none" w:pos="70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time of the closing of the Public Offering, the Company and the Purchaser shall enter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which the Company will grant certain registration rights to the Purchaser relating to the Private Placement Warrants and the Shares underlying the Private Placement Warrants.</w:t>
      </w:r>
    </w:p>
    <w:p>
      <w:pPr>
        <w:spacing w:after="0" w:line="172"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Representations and Warranties of the Company. </w:t>
      </w:r>
      <w:r>
        <w:rPr>
          <w:rFonts w:ascii="Times New Roman" w:cs="Times New Roman" w:eastAsia="Times New Roman" w:hAnsi="Times New Roman"/>
          <w:sz w:val="18"/>
          <w:szCs w:val="18"/>
          <w:color w:val="auto"/>
        </w:rPr>
        <w:t>As a material inducement to the Purchaser to enter into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the Private Placement Warrants, the Company hereby represents and warrants to the Purchaser (which representations and warranties shall survive the Closing Date) that:</w:t>
      </w:r>
    </w:p>
    <w:p>
      <w:pPr>
        <w:spacing w:after="0" w:line="6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61"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Private Placement Warrants have been duly authorized by the Company as of the Closing Date. This Agreement constitutes the valid and binding obligation of the Company, enforceable in accordance with its terms. Upon issuance in accordance with, and payment pursuant to, the terms of the Warrant Agreement and this Agreement, the Private Placement Warrants will constitute valid and binding obligations of the Company, enforceable in accordance with their terms as of the Closing Date.</w:t>
      </w:r>
    </w:p>
    <w:p>
      <w:pPr>
        <w:spacing w:after="0" w:line="179" w:lineRule="exact"/>
        <w:rPr>
          <w:rFonts w:ascii="Times New Roman" w:cs="Times New Roman" w:eastAsia="Times New Roman" w:hAnsi="Times New Roman"/>
          <w:sz w:val="18"/>
          <w:szCs w:val="18"/>
          <w:color w:val="auto"/>
        </w:rPr>
      </w:pPr>
    </w:p>
    <w:p>
      <w:pPr>
        <w:ind w:right="100" w:firstLine="436"/>
        <w:spacing w:after="0" w:line="254" w:lineRule="auto"/>
        <w:tabs>
          <w:tab w:leader="none" w:pos="7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the Closing Date (a) conflict with or result in a breach of the terms, conditions or provisions of, (b) constitute a default under, (c) result in the creation of any lien, security interest, charge or encumbrance upon the Company’s equity or assets under, (d) result in a violation of, or (e) require any authorization, consent, approval, exemption or other action by or notice or declaration to, or filing with, any court or administrative or governmental body or agency pursuant to the Amended and Restated Memorandum and Articles of Association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8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Title to Securities</w:t>
      </w:r>
      <w:r>
        <w:rPr>
          <w:rFonts w:ascii="Times New Roman" w:cs="Times New Roman" w:eastAsia="Times New Roman" w:hAnsi="Times New Roman"/>
          <w:sz w:val="18"/>
          <w:szCs w:val="18"/>
          <w:color w:val="auto"/>
        </w:rPr>
        <w:t>. Upon issuance in accordance with, and payment pursuant to, the terms hereof and the Warrant Agreement, and upon registration in the Company’s register of members, the Shares issuable upon exercise of the Private Placement Warrants will be duly and validly issued, fully paid and nonassessable. Upon issuance in accordance with, and payment pursuant to, the terms hereof and the Warrant Agreement, and upon registration in the Company’s register of members, the Purchaser will have good title to the Private Placement Warrants and the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8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Regulation D Qualification</w:t>
      </w:r>
      <w:r>
        <w:rPr>
          <w:rFonts w:ascii="Times New Roman" w:cs="Times New Roman" w:eastAsia="Times New Roman" w:hAnsi="Times New Roman"/>
          <w:sz w:val="18"/>
          <w:szCs w:val="18"/>
          <w:color w:val="auto"/>
        </w:rPr>
        <w:t>. Neither the Company nor, to its knowledge, any of its affiliates, members, officers, directors or beneficial shareholders of 20% or more of its outstanding securities, has experienced a disqualifying event as enumerated pursuant to Rule 506(d) of Regulation 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1" w:name="page152"/>
    <w:bookmarkEnd w:id="151"/>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Representations and Warranties of the Purchaser. </w:t>
      </w:r>
      <w:r>
        <w:rPr>
          <w:rFonts w:ascii="Times New Roman" w:cs="Times New Roman" w:eastAsia="Times New Roman" w:hAnsi="Times New Roman"/>
          <w:sz w:val="18"/>
          <w:szCs w:val="18"/>
          <w:color w:val="auto"/>
        </w:rPr>
        <w:t>As a material inducement to the Company to enter into this Agreement and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 the Private Placement Warrants to the Purchaser, the Purchaser hereby represents and warrants to the Company (which representations and warranties shall survive each Closing Date) that:</w:t>
      </w:r>
    </w:p>
    <w:p>
      <w:pPr>
        <w:spacing w:after="0" w:line="6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and Requisite Authority</w:t>
      </w:r>
      <w:r>
        <w:rPr>
          <w:rFonts w:ascii="Times New Roman" w:cs="Times New Roman" w:eastAsia="Times New Roman" w:hAnsi="Times New Roman"/>
          <w:sz w:val="18"/>
          <w:szCs w:val="18"/>
          <w:color w:val="auto"/>
        </w:rPr>
        <w:t>. The Purchaser possesses all requisite power and authority necessary to carry out the transactions contemplated by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300" w:firstLine="436"/>
        <w:spacing w:after="0" w:line="266" w:lineRule="auto"/>
        <w:tabs>
          <w:tab w:leader="none" w:pos="6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70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Purchaser of this Agreement and the fulfillment of and compliance with the terms hereof by the Purchaser does not and shall not as of each Closing Date conflict with or result in a breach by the Purchaser of the terms, conditions or provisions of any agreement, instrument, order, judgment or decree to which the Purchaser is subject.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6"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acquiring the Private Placement Warrants and, upon exercise of the Private Placement Warrants, the Shares issuable upon such exercise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for the Purchaser’s own account, for investment purposes only and not with a view towards, or for resale in connection with, any public sale or distribution thereof.</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7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an “accredited investor” as such term is defined in Rule 501(a)(3) of Regulation D, and the Purchaser has not experienced a disqualifying event as enumerated pursuant to Rule 506(d) of Regulation D under the Securities Act.</w:t>
      </w:r>
    </w:p>
    <w:p>
      <w:pPr>
        <w:spacing w:after="0" w:line="161"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7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179" w:lineRule="exact"/>
        <w:rPr>
          <w:rFonts w:ascii="Times New Roman" w:cs="Times New Roman" w:eastAsia="Times New Roman" w:hAnsi="Times New Roman"/>
          <w:sz w:val="18"/>
          <w:szCs w:val="18"/>
          <w:color w:val="auto"/>
        </w:rPr>
      </w:pPr>
    </w:p>
    <w:p>
      <w:pPr>
        <w:ind w:right="180" w:firstLine="436"/>
        <w:spacing w:after="0" w:line="282" w:lineRule="auto"/>
        <w:tabs>
          <w:tab w:leader="none" w:pos="74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did not decide to enter into this Agreement as a result of any general solicitation or general advertising within the meaning of Rule 502(c) under the Securities Act.</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3"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74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7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52" w:name="page153"/>
    <w:bookmarkEnd w:id="15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register the Securities under the Securities Act or any state securities laws or to comply with the terms and conditions of any exemption thereunder. While the Purchaser understands that Rule 144 is not available for the resale of securities initially issued by shell companies (other than business combination related shell companies) or issuers that have been at any time previously a shell company, the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SEC reflecting its status as an entity that is not a shell company.</w:t>
      </w:r>
    </w:p>
    <w:p>
      <w:pPr>
        <w:spacing w:after="0" w:line="188" w:lineRule="exact"/>
        <w:rPr>
          <w:sz w:val="20"/>
          <w:szCs w:val="20"/>
          <w:color w:val="auto"/>
        </w:rPr>
      </w:pPr>
    </w:p>
    <w:p>
      <w:pPr>
        <w:ind w:firstLine="436"/>
        <w:spacing w:after="0" w:line="256" w:lineRule="auto"/>
        <w:tabs>
          <w:tab w:leader="none" w:pos="8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such knowledge and experience in financial and business matters, knows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 in the Securities.</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Conditions of the Purchaser’s Obligations. </w:t>
      </w:r>
      <w:r>
        <w:rPr>
          <w:rFonts w:ascii="Times New Roman" w:cs="Times New Roman" w:eastAsia="Times New Roman" w:hAnsi="Times New Roman"/>
          <w:sz w:val="18"/>
          <w:szCs w:val="18"/>
          <w:color w:val="auto"/>
        </w:rPr>
        <w:t>The obligation of the Purchaser to purchase and pay for the Private Placement Warrants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fulfillment, on or before each Closing Date, of each of the following conditions:</w:t>
      </w:r>
    </w:p>
    <w:p>
      <w:pPr>
        <w:spacing w:after="0" w:line="5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in Section 2 shall be true and correct at and as of such Closing Date as though then made.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with all agreements, obligations and conditions contained in this Agreement that are required to be performed or complied with by it on or before such Closing Date.</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The Company shall have entered into the Warrant Agreement with a warrant agent on terms satisfactory to the Purchaser.</w:t>
      </w:r>
    </w:p>
    <w:p>
      <w:pPr>
        <w:spacing w:after="0" w:line="32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Conditions of the Company’s Obligations. </w:t>
      </w:r>
      <w:r>
        <w:rPr>
          <w:rFonts w:ascii="Times New Roman" w:cs="Times New Roman" w:eastAsia="Times New Roman" w:hAnsi="Times New Roman"/>
          <w:sz w:val="18"/>
          <w:szCs w:val="18"/>
          <w:color w:val="auto"/>
        </w:rPr>
        <w:t>The obligations of the Company to the Purchaser under this Agreement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on or before each Closing Date, of each of the following conditions:</w:t>
      </w:r>
    </w:p>
    <w:p>
      <w:pPr>
        <w:spacing w:after="0" w:line="5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Purchaser contained in Section 3 shall be true and correct at and as of such Closing Date as though then made.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Purchaser shall have performed and complied with all agreements, obligations and conditions contained in this Agreement that are required to be performed or complied with by the Purchaser on or before such Closing Date.</w:t>
      </w:r>
    </w:p>
    <w:p>
      <w:pPr>
        <w:spacing w:after="0" w:line="162"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Corporate Consents</w:t>
      </w:r>
      <w:r>
        <w:rPr>
          <w:rFonts w:ascii="Times New Roman" w:cs="Times New Roman" w:eastAsia="Times New Roman" w:hAnsi="Times New Roman"/>
          <w:sz w:val="18"/>
          <w:szCs w:val="18"/>
          <w:color w:val="auto"/>
        </w:rPr>
        <w:t>. The Company shall have obtained the consent of its Board of Directors authorizing the execution, delivery and performance of this Agreement and the Warrant Agreement and the issuance and sale of the Private Placement Warrants hereunder.</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53" w:name="page154"/>
    <w:bookmarkEnd w:id="1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The Company shall have entered into the Warrant Agreement with a warrant agent on terms satisfactory to the Company.</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Termination. </w:t>
      </w:r>
      <w:r>
        <w:rPr>
          <w:rFonts w:ascii="Times New Roman" w:cs="Times New Roman" w:eastAsia="Times New Roman" w:hAnsi="Times New Roman"/>
          <w:sz w:val="18"/>
          <w:szCs w:val="18"/>
          <w:color w:val="auto"/>
        </w:rPr>
        <w:t>This Agreement may be terminated at any time after December 31, 2020 upon the election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upon written notice to the other party if the closing of the Public Offering does not occur prior to such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 Survival of Representations and Warranties. </w:t>
      </w:r>
      <w:r>
        <w:rPr>
          <w:rFonts w:ascii="Times New Roman" w:cs="Times New Roman" w:eastAsia="Times New Roman" w:hAnsi="Times New Roman"/>
          <w:sz w:val="18"/>
          <w:szCs w:val="18"/>
          <w:color w:val="auto"/>
        </w:rPr>
        <w:t>All of the representations and warranties contained herein shall survive each Closing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Definitions. </w:t>
      </w:r>
      <w:r>
        <w:rPr>
          <w:rFonts w:ascii="Times New Roman" w:cs="Times New Roman" w:eastAsia="Times New Roman" w:hAnsi="Times New Roman"/>
          <w:sz w:val="18"/>
          <w:szCs w:val="18"/>
          <w:color w:val="auto"/>
        </w:rPr>
        <w:t>Terms used but not otherwise defined in this Agreement shall have the meaning assigned to such terms in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S-1 the Company plans to file with the U.S. Securities and Exchange Commission, under the Securities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 Miscellaneous.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two or more counterparts, none of which need contain the signatures of more than one party, but all such counterparts taken together shall constitute one and the same agreement.</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deemed to be a contract made under the laws of the State of New York and for all purposes shall be construed in accordance with the internal laws of the State of New York.</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or waived as to any particular provision, except by a written instrument executed by all parties hereto.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to be effective as of the date first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Martin</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-127635</wp:posOffset>
            </wp:positionV>
            <wp:extent cx="25971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VPC IMPACT ACQUISITION HOLDINGS SPONSOR,</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w:t>
      </w:r>
    </w:p>
    <w:p>
      <w:pPr>
        <w:spacing w:after="0" w:line="220"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pacing w:after="0" w:line="234"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Scott R. Zemnick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Private Placement Warrents Purchase Agreements</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66" w:right="479" w:bottom="1440" w:gutter="0" w:footer="0" w:header="0"/>
        </w:sectPr>
      </w:pPr>
    </w:p>
    <w:bookmarkStart w:id="155" w:name="page156"/>
    <w:bookmarkEnd w:id="155"/>
    <w:p>
      <w:pPr>
        <w:ind w:left="1008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Administrative Services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VPC Impact Acquisition Holdings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VPC Impact Acquisition Sponsor,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dated as of the date hereof, will confirm our agreement that, commencing on the date the securities of the Company are first listed on the Nasdaq Capital Market (the “</w:t>
      </w:r>
      <w:r>
        <w:rPr>
          <w:rFonts w:ascii="Times New Roman" w:cs="Times New Roman" w:eastAsia="Times New Roman" w:hAnsi="Times New Roman"/>
          <w:sz w:val="18"/>
          <w:szCs w:val="18"/>
          <w:b w:val="1"/>
          <w:bCs w:val="1"/>
          <w:i w:val="1"/>
          <w:iCs w:val="1"/>
          <w:color w:val="auto"/>
        </w:rPr>
        <w:t>Listing Date</w:t>
      </w:r>
      <w:r>
        <w:rPr>
          <w:rFonts w:ascii="Times New Roman" w:cs="Times New Roman" w:eastAsia="Times New Roman" w:hAnsi="Times New Roman"/>
          <w:sz w:val="18"/>
          <w:szCs w:val="18"/>
          <w:color w:val="auto"/>
        </w:rPr>
        <w:t>”), pursuant to a Registration Statement on Form S-1 and prospectus filed with the U.S. Securities and Exchange Commission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continuing until the earlier of the consummation by the Company of an initial business combination or the Company’s liquidation (in each case as described in the Registration Statement) (such earlier date hereinafter referred to as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40" w:firstLine="436"/>
        <w:spacing w:after="0" w:line="261"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shall make available, or cause to be made available, to the Company, at c/o Victory Park Capital Advisors, LLC, 150 North Riverside Plaza, Suite 5200, Chicago, Illinois 60606 (or any successor location), office space, utilities and secretarial and administrative services as may be reasonably required by the Company. In exchange therefor, the Company shall pay the Sponsor $10,000 per month on the Listing Date and continuing monthly thereafter until the Termination Date; and</w:t>
      </w:r>
    </w:p>
    <w:p>
      <w:pPr>
        <w:spacing w:after="0" w:line="179" w:lineRule="exact"/>
        <w:rPr>
          <w:rFonts w:ascii="Times New Roman" w:cs="Times New Roman" w:eastAsia="Times New Roman" w:hAnsi="Times New Roman"/>
          <w:sz w:val="18"/>
          <w:szCs w:val="18"/>
          <w:color w:val="auto"/>
        </w:rPr>
      </w:pPr>
    </w:p>
    <w:p>
      <w:pPr>
        <w:ind w:right="160" w:firstLine="436"/>
        <w:spacing w:after="0" w:line="255"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hereby irrevocably waives any and all right, title, interest, causes of action and claims of any kind as a result of, or arising out of, this Agreement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and any and all right to seek payment of any amounts due to it out of, the trust account established for the benefit of the public shareholders of the Company and into which substantially all of the proceeds of the Company’s initial public offering will be deposited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8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not be amended, modified or waived as to any particular provision, except by a written instrument executed by the parties hereto.</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76"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for agreements made and to be wholly performed within such state, without regards to the conflicts of laws principles thereof.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56" w:name="page157"/>
    <w:bookmarkEnd w:id="156"/>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VPC IMPACT ACQUISITION HOLDINGS</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 SPONSOR,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Scott R. Zemnick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Administrative Services Agreement</w:t>
      </w:r>
      <w:r>
        <w:rPr>
          <w:rFonts w:ascii="Times New Roman" w:cs="Times New Roman" w:eastAsia="Times New Roman" w:hAnsi="Times New Roman"/>
          <w:sz w:val="18"/>
          <w:szCs w:val="18"/>
          <w:color w:val="auto"/>
        </w:rPr>
        <w:t>]</w:t>
      </w:r>
    </w:p>
    <w:p>
      <w:pPr>
        <w:sectPr>
          <w:pgSz w:w="11900" w:h="16838" w:orient="portrait"/>
          <w:cols w:equalWidth="0" w:num="1">
            <w:col w:w="10040"/>
          </w:cols>
          <w:pgMar w:left="440" w:top="270" w:right="14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 Announces Pricing of $200 Million Initial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2020 08:00 PM Eastern Daylight Time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CHICAGO—(BUSINESS WIRE)—VPC Impact Acquisition Holdings (the “Company”), a special purpose acquisition company formed for the purpose of entering into a combination with one or more businesses or entities, today announced the pricing of its initial public offering of 20,000,000 units at a price of $10.00 per unit. The units will be listed on The Nasdaq Capital Market, or Nasdaq, and trade under the ticker symbol “VIHAU” beginning September 23, 2020. Each unit consists of one Class A ordinary share of the Company and one-half of one redeemable warrant. Each whole warrant entitles the holder thereof to purchase one Class A ordinary share of the Company at a price of $11.50 per share. Once the securities comprising the units begin separate trading, the Class A ordinary shares and warrants are expected to be listed on Nasdaq and trade under the symbols “VIH” and “VIHAW,” respectively.</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intends to pursue a business combination with a high-growth business in the Fintech industry with an enterprise value of approximately $800 million to $2 billion. The company is led by Chairman and Chief Executive Officer John Martin, President and Chief Operating Officer Gordon Watson and Chief Financial Officer Olibia Stamatoglou.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September 25, 2020, subject to customary closing conditions.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Jefferies LLC is serving as the underwriter for the offering. The Company has granted the underwriter a 45-day option to purchase up to an additional 3,000,000 units to cover over-allotments, if any.</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offering is being made only by means of a prospectus. When available, copies of the prospectus may be obtained from Jefferies, Attention: Equity Syndicate Prospectus Department, 520 Madison Avenue, 2nd Floor, New York, NY 10022, by telephone at (877) 821-7388 or by email at Prospectus_Department@Jefferies.com.</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registration statement relating to the securities became effective on September 22, 2020 in accordance with Section 8(a) of the Securities Act of 1933, as amended.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the proposed initial public offering and the anticipated use of the net proceeds. No assurance can be given that the offering discussed above will be completed on the terms described, or at all, or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Company’s offering filed with the Securities and Exchange Commission (“SEC”). Copies are available on the SEC’s website, www.sec.gov. The Company undertakes no obligation to update these statements for revisions or changes after the date of this release, except as required by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VPC Impact Acquisition Holdings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VPC Impact Acquisition Holdings’ acquisition and value creation strategy will be to identify, partner with and help grow a business in the Fintech sector. The Company’s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Victory Park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Sahin, Edelman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Julia.Sahin@edelman.com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646.301.2968</w:t>
      </w:r>
    </w:p>
    <w:p>
      <w:pPr>
        <w:sectPr>
          <w:pgSz w:w="11900" w:h="16838" w:orient="portrait"/>
          <w:cols w:equalWidth="0" w:num="1">
            <w:col w:w="11020"/>
          </w:cols>
          <w:pgMar w:left="440" w:top="117" w:right="4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 Announces Closing of $200 Million Initial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 04:15 PM Eastern Daylight Time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CHICAGO—(BUSINESS WIRE)—VPC Impact Acquisition Holdings (the “Company”) announced today that it closed its initial public offering of 20,000,000 units at a price of $10.00 per unit.</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units began trading on the Nasdaq Capital Market (“Nasdaq”) under the ticker symbol “VIHAU” on September 23, 2020. Each unit consists of one Class A ordinary share of the Company and one-half of one redeemable warrant. Each whole warrant entitles the holder thereof to purchase one Class A ordinary share of the Company at a price of $11.50 per share. Once the securities comprising the units begin separate trading, the Class A ordinary shares and warrants are expected to be listed on Nasdaq and trade under the symbols “VIH” and “VIHAW,” respectively.</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intends to pursue a business combination with a high-growth business in the Fintech industry with an enterprise value of approximately $800 million to $2 billion. The company is led by Chairman and Chief Executive Officer John Martin, President and Chief Operating Officer Gordon Watson and Chief Financial Officer Olibia Stamatoglou.</w:t>
      </w:r>
    </w:p>
    <w:p>
      <w:pPr>
        <w:spacing w:after="0" w:line="176"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Jefferies LLC acted as the sole book running manager for the offering. The Company has granted the underwriter a 45-day option to purchase up to an additional 3,000,000 units to cover over-allotments, if any.</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offering is being made only by means of a prospectus. Copies of the prospectus may be obtained from Jefferies LLC, Attention: Equity Syndicate Prospectus Department, 520 Madison Avenue, 2nd Floor, New York, NY 10022, or by telephone at 877-821-7388 or by email at Prospectus_Department@Jefferies.com.</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registration statement relating to these securities has been filed with, and declared effective by, the U.S. Securities and Exchange Commission (the “SEC”) on September 22, 2020. 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8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the search for an initial business combination. No assurance can be given as to the consummation of any business combination or the terms thereof. Forward-looking statements are subject to numerous conditions, many of which are beyond the control of the Company, including those set forth in the Risk Factors section of the Company’s registration statement and prospectus for the offering filed with the SEC. Copies are available on the SEC’s website, www.sec.gov. The Company undertakes no obligation to update these statements for revisions or changes after the date of this release, except as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VPC Impact Acquisition Holdings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VPC Impact Acquisition Holdings’ acquisition and value creation strategy will be to identify, partner with and help grow a business in the Fintech sector. The Company’s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Victory Park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Sahin, Edelman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Julia.Sahin@edelman.com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646.301.2968</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1)"/>
      <w:numFmt w:val="lowerRoman"/>
      <w:start w:val="2"/>
    </w:lvl>
  </w:abstractNum>
  <w:abstractNum w:abstractNumId="3">
    <w:nsid w:val="42963E5A"/>
    <w:multiLevelType w:val="hybridMultilevel"/>
    <w:lvl w:ilvl="0">
      <w:lvlJc w:val="left"/>
      <w:lvlText w:val="(%1)"/>
      <w:numFmt w:val="lowerLetter"/>
      <w:start w:val="4"/>
    </w:lvl>
  </w:abstractNum>
  <w:abstractNum w:abstractNumId="4">
    <w:nsid w:val="A0382C5"/>
    <w:multiLevelType w:val="hybridMultilevel"/>
    <w:lvl w:ilvl="0">
      <w:lvlJc w:val="left"/>
      <w:lvlText w:val="(%1)"/>
      <w:numFmt w:val="lowerLetter"/>
      <w:start w:val="1"/>
    </w:lvl>
  </w:abstractNum>
  <w:abstractNum w:abstractNumId="5">
    <w:nsid w:val="8F2B15E"/>
    <w:multiLevelType w:val="hybridMultilevel"/>
    <w:lvl w:ilvl="0">
      <w:lvlJc w:val="left"/>
      <w:lvlText w:val="(%1)"/>
      <w:numFmt w:val="lowerLetter"/>
      <w:start w:val="4"/>
    </w:lvl>
  </w:abstractNum>
  <w:abstractNum w:abstractNumId="6">
    <w:nsid w:val="1A32234B"/>
    <w:multiLevelType w:val="hybridMultilevel"/>
    <w:lvl w:ilvl="0">
      <w:lvlJc w:val="left"/>
      <w:lvlText w:val="(%1)"/>
      <w:numFmt w:val="lowerLetter"/>
      <w:start w:val="7"/>
    </w:lvl>
  </w:abstractNum>
  <w:abstractNum w:abstractNumId="7">
    <w:nsid w:val="3B0FD379"/>
    <w:multiLevelType w:val="hybridMultilevel"/>
    <w:lvl w:ilvl="0">
      <w:lvlJc w:val="left"/>
      <w:lvlText w:val="(%1)"/>
      <w:numFmt w:val="lowerLetter"/>
      <w:start w:val="12"/>
    </w:lvl>
  </w:abstractNum>
  <w:abstractNum w:abstractNumId="8">
    <w:nsid w:val="68EB2F63"/>
    <w:multiLevelType w:val="hybridMultilevel"/>
    <w:lvl w:ilvl="0">
      <w:lvlJc w:val="left"/>
      <w:lvlText w:val="%1"/>
      <w:numFmt w:val="lowerLetter"/>
      <w:start w:val="1"/>
    </w:lvl>
    <w:lvl w:ilvl="1">
      <w:lvlJc w:val="left"/>
      <w:lvlText w:val="(%2)"/>
      <w:numFmt w:val="lowerLetter"/>
      <w:start w:val="19"/>
    </w:lvl>
  </w:abstractNum>
  <w:abstractNum w:abstractNumId="9">
    <w:nsid w:val="4962813B"/>
    <w:multiLevelType w:val="hybridMultilevel"/>
    <w:lvl w:ilvl="0">
      <w:lvlJc w:val="left"/>
      <w:lvlText w:val="(%1)"/>
      <w:numFmt w:val="lowerLetter"/>
      <w:start w:val="9"/>
    </w:lvl>
    <w:lvl w:ilvl="1">
      <w:lvlJc w:val="left"/>
      <w:lvlText w:val="%2"/>
      <w:numFmt w:val="lowerLetter"/>
      <w:start w:val="1"/>
    </w:lvl>
  </w:abstractNum>
  <w:abstractNum w:abstractNumId="10">
    <w:nsid w:val="60B6DF70"/>
    <w:multiLevelType w:val="hybridMultilevel"/>
    <w:lvl w:ilvl="0">
      <w:lvlJc w:val="left"/>
      <w:lvlText w:val="(%1)"/>
      <w:numFmt w:val="lowerLetter"/>
      <w:start w:val="25"/>
    </w:lvl>
  </w:abstractNum>
  <w:abstractNum w:abstractNumId="11">
    <w:nsid w:val="6A5EE64"/>
    <w:multiLevelType w:val="hybridMultilevel"/>
    <w:lvl w:ilvl="0">
      <w:lvlJc w:val="left"/>
      <w:lvlText w:val="(%1)"/>
      <w:numFmt w:val="lowerLetter"/>
      <w:start w:val="27"/>
    </w:lvl>
  </w:abstractNum>
  <w:abstractNum w:abstractNumId="12">
    <w:nsid w:val="14330624"/>
    <w:multiLevelType w:val="hybridMultilevel"/>
    <w:lvl w:ilvl="0">
      <w:lvlJc w:val="left"/>
      <w:lvlText w:val="(%1)"/>
      <w:numFmt w:val="lowerLetter"/>
      <w:start w:val="29"/>
    </w:lvl>
  </w:abstractNum>
  <w:abstractNum w:abstractNumId="13">
    <w:nsid w:val="7FFFCA11"/>
    <w:multiLevelType w:val="hybridMultilevel"/>
    <w:lvl w:ilvl="0">
      <w:lvlJc w:val="left"/>
      <w:lvlText w:val="(%1)"/>
      <w:numFmt w:val="lowerLetter"/>
      <w:start w:val="35"/>
    </w:lvl>
  </w:abstractNum>
  <w:abstractNum w:abstractNumId="14">
    <w:nsid w:val="1A27709E"/>
    <w:multiLevelType w:val="hybridMultilevel"/>
    <w:lvl w:ilvl="0">
      <w:lvlJc w:val="left"/>
      <w:lvlText w:val="(%1)"/>
      <w:numFmt w:val="lowerLetter"/>
      <w:start w:val="39"/>
    </w:lvl>
  </w:abstractNum>
  <w:abstractNum w:abstractNumId="15">
    <w:nsid w:val="71EA1109"/>
    <w:multiLevelType w:val="hybridMultilevel"/>
    <w:lvl w:ilvl="0">
      <w:lvlJc w:val="left"/>
      <w:lvlText w:val="%1"/>
      <w:numFmt w:val="lowerLetter"/>
      <w:start w:val="1"/>
    </w:lvl>
    <w:lvl w:ilvl="1">
      <w:lvlJc w:val="left"/>
      <w:lvlText w:val="(%2)"/>
      <w:numFmt w:val="lowerLetter"/>
      <w:start w:val="47"/>
    </w:lvl>
  </w:abstractNum>
  <w:abstractNum w:abstractNumId="16">
    <w:nsid w:val="100F59DC"/>
    <w:multiLevelType w:val="hybridMultilevel"/>
    <w:lvl w:ilvl="0">
      <w:lvlJc w:val="left"/>
      <w:lvlText w:val="(%1)"/>
      <w:numFmt w:val="lowerLetter"/>
      <w:start w:val="35"/>
    </w:lvl>
    <w:lvl w:ilvl="1">
      <w:lvlJc w:val="left"/>
      <w:lvlText w:val="(%2)"/>
      <w:numFmt w:val="lowerLetter"/>
      <w:start w:val="51"/>
    </w:lvl>
  </w:abstractNum>
  <w:abstractNum w:abstractNumId="17">
    <w:nsid w:val="7FB7E0AA"/>
    <w:multiLevelType w:val="hybridMultilevel"/>
    <w:lvl w:ilvl="0">
      <w:lvlJc w:val="left"/>
      <w:lvlText w:val="(%1)"/>
      <w:numFmt w:val="lowerLetter"/>
      <w:start w:val="52"/>
    </w:lvl>
  </w:abstractNum>
  <w:abstractNum w:abstractNumId="18">
    <w:nsid w:val="6EB5BD4"/>
    <w:multiLevelType w:val="hybridMultilevel"/>
    <w:lvl w:ilvl="0">
      <w:lvlJc w:val="left"/>
      <w:lvlText w:val="%1"/>
      <w:numFmt w:val="lowerRoman"/>
      <w:start w:val="1"/>
    </w:lvl>
    <w:lvl w:ilvl="1">
      <w:lvlJc w:val="left"/>
      <w:lvlText w:val="(%2)"/>
      <w:numFmt w:val="lowerLetter"/>
      <w:start w:val="53"/>
    </w:lvl>
  </w:abstractNum>
  <w:abstractNum w:abstractNumId="19">
    <w:nsid w:val="6F6DD9AC"/>
    <w:multiLevelType w:val="hybridMultilevel"/>
    <w:lvl w:ilvl="0">
      <w:lvlJc w:val="left"/>
      <w:lvlText w:val="(%1)"/>
      <w:numFmt w:val="lowerRoman"/>
      <w:start w:val="4"/>
    </w:lvl>
    <w:lvl w:ilvl="1">
      <w:lvlJc w:val="left"/>
      <w:lvlText w:val="(%2)"/>
      <w:numFmt w:val="lowerLetter"/>
      <w:start w:val="55"/>
    </w:lvl>
  </w:abstractNum>
  <w:abstractNum w:abstractNumId="20">
    <w:nsid w:val="94211F2"/>
    <w:multiLevelType w:val="hybridMultilevel"/>
    <w:lvl w:ilvl="0">
      <w:lvlJc w:val="left"/>
      <w:lvlText w:val="(%1)"/>
      <w:numFmt w:val="lowerLetter"/>
      <w:start w:val="56"/>
    </w:lvl>
  </w:abstractNum>
  <w:abstractNum w:abstractNumId="21">
    <w:nsid w:val="885E1B"/>
    <w:multiLevelType w:val="hybridMultilevel"/>
    <w:lvl w:ilvl="0">
      <w:lvlJc w:val="left"/>
      <w:lvlText w:val="(%1)"/>
      <w:numFmt w:val="lowerLetter"/>
      <w:start w:val="1"/>
    </w:lvl>
  </w:abstractNum>
  <w:abstractNum w:abstractNumId="22">
    <w:nsid w:val="76272110"/>
    <w:multiLevelType w:val="hybridMultilevel"/>
    <w:lvl w:ilvl="0">
      <w:lvlJc w:val="left"/>
      <w:lvlText w:val="(%1)"/>
      <w:numFmt w:val="lowerLetter"/>
      <w:start w:val="4"/>
    </w:lvl>
    <w:lvl w:ilvl="1">
      <w:lvlJc w:val="left"/>
      <w:lvlText w:val="(%2)"/>
      <w:numFmt w:val="lowerRoman"/>
      <w:start w:val="1"/>
    </w:lvl>
  </w:abstractNum>
  <w:abstractNum w:abstractNumId="23">
    <w:nsid w:val="4C04A8AF"/>
    <w:multiLevelType w:val="hybridMultilevel"/>
    <w:lvl w:ilvl="0">
      <w:lvlJc w:val="left"/>
      <w:lvlText w:val="(%1)"/>
      <w:numFmt w:val="lowerRoman"/>
      <w:start w:val="3"/>
    </w:lvl>
  </w:abstractNum>
  <w:abstractNum w:abstractNumId="24">
    <w:nsid w:val="1716703B"/>
    <w:multiLevelType w:val="hybridMultilevel"/>
    <w:lvl w:ilvl="0">
      <w:lvlJc w:val="left"/>
      <w:lvlText w:val="(%1)"/>
      <w:numFmt w:val="lowerLetter"/>
      <w:start w:val="1"/>
    </w:lvl>
  </w:abstractNum>
  <w:abstractNum w:abstractNumId="25">
    <w:nsid w:val="14E17E33"/>
    <w:multiLevelType w:val="hybridMultilevel"/>
    <w:lvl w:ilvl="0">
      <w:lvlJc w:val="left"/>
      <w:lvlText w:val="%1"/>
      <w:numFmt w:val="lowerRoman"/>
      <w:start w:val="1"/>
    </w:lvl>
    <w:lvl w:ilvl="1">
      <w:lvlJc w:val="left"/>
      <w:lvlText w:val="(%2)"/>
      <w:numFmt w:val="lowerLetter"/>
      <w:start w:val="4"/>
    </w:lvl>
  </w:abstractNum>
  <w:abstractNum w:abstractNumId="26">
    <w:nsid w:val="3222E7CD"/>
    <w:multiLevelType w:val="hybridMultilevel"/>
    <w:lvl w:ilvl="0">
      <w:lvlJc w:val="left"/>
      <w:lvlText w:val="(%1)"/>
      <w:numFmt w:val="lowerRoman"/>
      <w:start w:val="4"/>
    </w:lvl>
    <w:lvl w:ilvl="1">
      <w:lvlJc w:val="left"/>
      <w:lvlText w:val="(%2)"/>
      <w:numFmt w:val="lowerLetter"/>
      <w:start w:val="6"/>
    </w:lvl>
  </w:abstractNum>
  <w:abstractNum w:abstractNumId="27">
    <w:nsid w:val="74DE0EE3"/>
    <w:multiLevelType w:val="hybridMultilevel"/>
    <w:lvl w:ilvl="0">
      <w:lvlJc w:val="left"/>
      <w:lvlText w:val="(%1)"/>
      <w:numFmt w:val="lowerLetter"/>
      <w:start w:val="7"/>
    </w:lvl>
  </w:abstractNum>
  <w:abstractNum w:abstractNumId="28">
    <w:nsid w:val="68EBC550"/>
    <w:multiLevelType w:val="hybridMultilevel"/>
    <w:lvl w:ilvl="0">
      <w:lvlJc w:val="left"/>
      <w:lvlText w:val="(%1)"/>
      <w:numFmt w:val="lowerLetter"/>
      <w:start w:val="12"/>
    </w:lvl>
  </w:abstractNum>
  <w:abstractNum w:abstractNumId="29">
    <w:nsid w:val="2DF6D648"/>
    <w:multiLevelType w:val="hybridMultilevel"/>
    <w:lvl w:ilvl="0">
      <w:lvlJc w:val="left"/>
      <w:lvlText w:val="%1"/>
      <w:numFmt w:val="lowerLetter"/>
      <w:start w:val="1"/>
    </w:lvl>
    <w:lvl w:ilvl="1">
      <w:lvlJc w:val="left"/>
      <w:lvlText w:val="(%2)"/>
      <w:numFmt w:val="lowerLetter"/>
      <w:start w:val="17"/>
    </w:lvl>
  </w:abstractNum>
  <w:abstractNum w:abstractNumId="30">
    <w:nsid w:val="46B7D447"/>
    <w:multiLevelType w:val="hybridMultilevel"/>
    <w:lvl w:ilvl="0">
      <w:lvlJc w:val="left"/>
      <w:lvlText w:val="(%1)"/>
      <w:numFmt w:val="lowerLetter"/>
      <w:start w:val="61"/>
    </w:lvl>
    <w:lvl w:ilvl="1">
      <w:lvlJc w:val="left"/>
      <w:lvlText w:val="%2"/>
      <w:numFmt w:val="lowerLetter"/>
      <w:start w:val="1"/>
    </w:lvl>
  </w:abstractNum>
  <w:abstractNum w:abstractNumId="31">
    <w:nsid w:val="4A2AC315"/>
    <w:multiLevelType w:val="hybridMultilevel"/>
    <w:lvl w:ilvl="0">
      <w:lvlJc w:val="left"/>
      <w:lvlText w:val="(%1)"/>
      <w:numFmt w:val="lowerLetter"/>
      <w:start w:val="22"/>
    </w:lvl>
  </w:abstractNum>
  <w:abstractNum w:abstractNumId="32">
    <w:nsid w:val="39EE015C"/>
    <w:multiLevelType w:val="hybridMultilevel"/>
    <w:lvl w:ilvl="0">
      <w:lvlJc w:val="left"/>
      <w:lvlText w:val="(%1)"/>
      <w:numFmt w:val="lowerLetter"/>
      <w:start w:val="26"/>
    </w:lvl>
  </w:abstractNum>
  <w:abstractNum w:abstractNumId="33">
    <w:nsid w:val="57FC4FBB"/>
    <w:multiLevelType w:val="hybridMultilevel"/>
    <w:lvl w:ilvl="0">
      <w:lvlJc w:val="left"/>
      <w:lvlText w:val="(%1)"/>
      <w:numFmt w:val="lowerLetter"/>
      <w:start w:val="27"/>
    </w:lvl>
  </w:abstractNum>
  <w:abstractNum w:abstractNumId="34">
    <w:nsid w:val="CC1016F"/>
    <w:multiLevelType w:val="hybridMultilevel"/>
    <w:lvl w:ilvl="0">
      <w:lvlJc w:val="left"/>
      <w:lvlText w:val="(%1)"/>
      <w:numFmt w:val="lowerLetter"/>
      <w:start w:val="33"/>
    </w:lvl>
  </w:abstractNum>
  <w:abstractNum w:abstractNumId="35">
    <w:nsid w:val="43F18422"/>
    <w:multiLevelType w:val="hybridMultilevel"/>
    <w:lvl w:ilvl="0">
      <w:lvlJc w:val="left"/>
      <w:lvlText w:val="(%1)"/>
      <w:numFmt w:val="lowerLetter"/>
      <w:start w:val="38"/>
    </w:lvl>
  </w:abstractNum>
  <w:abstractNum w:abstractNumId="36">
    <w:nsid w:val="60EF0119"/>
    <w:multiLevelType w:val="hybridMultilevel"/>
    <w:lvl w:ilvl="0">
      <w:lvlJc w:val="left"/>
      <w:lvlText w:val="(%1)"/>
      <w:numFmt w:val="lowerLetter"/>
      <w:start w:val="1"/>
    </w:lvl>
    <w:lvl w:ilvl="1">
      <w:lvlJc w:val="left"/>
      <w:lvlText w:val="(%2)"/>
      <w:numFmt w:val="lowerRoman"/>
      <w:start w:val="1"/>
    </w:lvl>
  </w:abstractNum>
  <w:abstractNum w:abstractNumId="37">
    <w:nsid w:val="26F324BA"/>
    <w:multiLevelType w:val="hybridMultilevel"/>
    <w:lvl w:ilvl="0">
      <w:lvlJc w:val="left"/>
      <w:lvlText w:val="(%1)"/>
      <w:numFmt w:val="lowerLetter"/>
      <w:start w:val="7"/>
    </w:lvl>
    <w:lvl w:ilvl="1">
      <w:lvlJc w:val="left"/>
      <w:lvlText w:val="(%2)"/>
      <w:numFmt w:val="lowerRoman"/>
      <w:start w:val="1"/>
    </w:lvl>
  </w:abstractNum>
  <w:abstractNum w:abstractNumId="38">
    <w:nsid w:val="7F01579B"/>
    <w:multiLevelType w:val="hybridMultilevel"/>
    <w:lvl w:ilvl="0">
      <w:lvlJc w:val="left"/>
      <w:lvlText w:val="(%1)"/>
      <w:numFmt w:val="lowerLetter"/>
      <w:start w:val="11"/>
    </w:lvl>
  </w:abstractNum>
  <w:abstractNum w:abstractNumId="39">
    <w:nsid w:val="49DA307D"/>
    <w:multiLevelType w:val="hybridMultilevel"/>
    <w:lvl w:ilvl="0">
      <w:lvlJc w:val="left"/>
      <w:lvlText w:val="(%1)"/>
      <w:numFmt w:val="lowerLetter"/>
      <w:start w:val="1"/>
    </w:lvl>
  </w:abstractNum>
  <w:abstractNum w:abstractNumId="40">
    <w:nsid w:val="7055A5F5"/>
    <w:multiLevelType w:val="hybridMultilevel"/>
    <w:lvl w:ilvl="0">
      <w:lvlJc w:val="left"/>
      <w:lvlText w:val="(%1)"/>
      <w:numFmt w:val="lowerLetter"/>
      <w:start w:val="2"/>
    </w:lvl>
  </w:abstractNum>
  <w:abstractNum w:abstractNumId="41">
    <w:nsid w:val="5FB8370B"/>
    <w:multiLevelType w:val="hybridMultilevel"/>
    <w:lvl w:ilvl="0">
      <w:lvlJc w:val="left"/>
      <w:lvlText w:val="(%1)"/>
      <w:numFmt w:val="lowerLetter"/>
      <w:start w:val="4"/>
    </w:lvl>
  </w:abstractNum>
  <w:abstractNum w:abstractNumId="42">
    <w:nsid w:val="50801EE1"/>
    <w:multiLevelType w:val="hybridMultilevel"/>
    <w:lvl w:ilvl="0">
      <w:lvlJc w:val="left"/>
      <w:lvlText w:val="1"/>
      <w:numFmt w:val="bullet"/>
      <w:start w:val="1"/>
    </w:lvl>
  </w:abstractNum>
  <w:abstractNum w:abstractNumId="43">
    <w:nsid w:val="488AC1A"/>
    <w:multiLevelType w:val="hybridMultilevel"/>
    <w:lvl w:ilvl="0">
      <w:lvlJc w:val="left"/>
      <w:lvlText w:val="2"/>
      <w:numFmt w:val="bullet"/>
      <w:start w:val="1"/>
    </w:lvl>
  </w:abstractNum>
  <w:abstractNum w:abstractNumId="44">
    <w:nsid w:val="5FB8011C"/>
    <w:multiLevelType w:val="hybridMultilevel"/>
    <w:lvl w:ilvl="0">
      <w:lvlJc w:val="left"/>
      <w:lvlText w:val="3"/>
      <w:numFmt w:val="bullet"/>
      <w:start w:val="1"/>
    </w:lvl>
  </w:abstractNum>
  <w:abstractNum w:abstractNumId="45">
    <w:nsid w:val="6AA78F7F"/>
    <w:multiLevelType w:val="hybridMultilevel"/>
    <w:lvl w:ilvl="0">
      <w:lvlJc w:val="left"/>
      <w:lvlText w:val="4"/>
      <w:numFmt w:val="bullet"/>
      <w:start w:val="1"/>
    </w:lvl>
  </w:abstractNum>
  <w:abstractNum w:abstractNumId="46">
    <w:nsid w:val="7672BD23"/>
    <w:multiLevelType w:val="hybridMultilevel"/>
    <w:lvl w:ilvl="0">
      <w:lvlJc w:val="left"/>
      <w:lvlText w:val="5"/>
      <w:numFmt w:val="bullet"/>
      <w:start w:val="1"/>
    </w:lvl>
  </w:abstractNum>
  <w:abstractNum w:abstractNumId="47">
    <w:nsid w:val="6FC75AF8"/>
    <w:multiLevelType w:val="hybridMultilevel"/>
    <w:lvl w:ilvl="0">
      <w:lvlJc w:val="left"/>
      <w:lvlText w:val="6"/>
      <w:numFmt w:val="bullet"/>
      <w:start w:val="1"/>
    </w:lvl>
  </w:abstractNum>
  <w:abstractNum w:abstractNumId="48">
    <w:nsid w:val="6A5F7029"/>
    <w:multiLevelType w:val="hybridMultilevel"/>
    <w:lvl w:ilvl="0">
      <w:lvlJc w:val="left"/>
      <w:lvlText w:val="7"/>
      <w:numFmt w:val="bullet"/>
      <w:start w:val="1"/>
    </w:lvl>
  </w:abstractNum>
  <w:abstractNum w:abstractNumId="49">
    <w:nsid w:val="7D5E18F8"/>
    <w:multiLevelType w:val="hybridMultilevel"/>
    <w:lvl w:ilvl="0">
      <w:lvlJc w:val="left"/>
      <w:lvlText w:val="1"/>
      <w:numFmt w:val="bullet"/>
      <w:start w:val="1"/>
    </w:lvl>
  </w:abstractNum>
  <w:abstractNum w:abstractNumId="50">
    <w:nsid w:val="5F3534A4"/>
    <w:multiLevelType w:val="hybridMultilevel"/>
    <w:lvl w:ilvl="0">
      <w:lvlJc w:val="left"/>
      <w:lvlText w:val="(%1)"/>
      <w:numFmt w:val="lowerLetter"/>
      <w:start w:val="1"/>
    </w:lvl>
  </w:abstractNum>
  <w:abstractNum w:abstractNumId="51">
    <w:nsid w:val="73A1821B"/>
    <w:multiLevelType w:val="hybridMultilevel"/>
    <w:lvl w:ilvl="0">
      <w:lvlJc w:val="left"/>
      <w:lvlText w:val="(%1)"/>
      <w:numFmt w:val="lowerLetter"/>
      <w:start w:val="3"/>
    </w:lvl>
  </w:abstractNum>
  <w:abstractNum w:abstractNumId="52">
    <w:nsid w:val="7DE67713"/>
    <w:multiLevelType w:val="hybridMultilevel"/>
    <w:lvl w:ilvl="0">
      <w:lvlJc w:val="left"/>
      <w:lvlText w:val="2"/>
      <w:numFmt w:val="bullet"/>
      <w:start w:val="1"/>
    </w:lvl>
  </w:abstractNum>
  <w:abstractNum w:abstractNumId="53">
    <w:nsid w:val="555C55B5"/>
    <w:multiLevelType w:val="hybridMultilevel"/>
    <w:lvl w:ilvl="0">
      <w:lvlJc w:val="left"/>
      <w:lvlText w:val="3"/>
      <w:numFmt w:val="bullet"/>
      <w:start w:val="1"/>
    </w:lvl>
  </w:abstractNum>
  <w:abstractNum w:abstractNumId="54">
    <w:nsid w:val="3FA62ACA"/>
    <w:multiLevelType w:val="hybridMultilevel"/>
    <w:lvl w:ilvl="0">
      <w:lvlJc w:val="left"/>
      <w:lvlText w:val="4"/>
      <w:numFmt w:val="bullet"/>
      <w:start w:val="1"/>
    </w:lvl>
  </w:abstractNum>
  <w:abstractNum w:abstractNumId="55">
    <w:nsid w:val="14FCE74E"/>
    <w:multiLevelType w:val="hybridMultilevel"/>
    <w:lvl w:ilvl="0">
      <w:lvlJc w:val="left"/>
      <w:lvlText w:val="5"/>
      <w:numFmt w:val="bullet"/>
      <w:start w:val="1"/>
    </w:lvl>
  </w:abstractNum>
  <w:abstractNum w:abstractNumId="56">
    <w:nsid w:val="6A3DD3E8"/>
    <w:multiLevelType w:val="hybridMultilevel"/>
    <w:lvl w:ilvl="0">
      <w:lvlJc w:val="left"/>
      <w:lvlText w:val="6"/>
      <w:numFmt w:val="bullet"/>
      <w:start w:val="1"/>
    </w:lvl>
  </w:abstractNum>
  <w:abstractNum w:abstractNumId="57">
    <w:nsid w:val="71C91298"/>
    <w:multiLevelType w:val="hybridMultilevel"/>
    <w:lvl w:ilvl="0">
      <w:lvlJc w:val="left"/>
      <w:lvlText w:val="7"/>
      <w:numFmt w:val="bullet"/>
      <w:start w:val="1"/>
    </w:lvl>
  </w:abstractNum>
  <w:abstractNum w:abstractNumId="58">
    <w:nsid w:val="9DAF632"/>
    <w:multiLevelType w:val="hybridMultilevel"/>
    <w:lvl w:ilvl="0">
      <w:lvlJc w:val="left"/>
      <w:lvlText w:val="8"/>
      <w:numFmt w:val="bullet"/>
      <w:start w:val="1"/>
    </w:lvl>
  </w:abstractNum>
  <w:abstractNum w:abstractNumId="59">
    <w:nsid w:val="53299938"/>
    <w:multiLevelType w:val="hybridMultilevel"/>
    <w:lvl w:ilvl="0">
      <w:lvlJc w:val="left"/>
      <w:lvlText w:val="(%1)"/>
      <w:numFmt w:val="lowerLetter"/>
      <w:start w:val="1"/>
    </w:lvl>
  </w:abstractNum>
  <w:abstractNum w:abstractNumId="60">
    <w:nsid w:val="1FBFE8E0"/>
    <w:multiLevelType w:val="hybridMultilevel"/>
    <w:lvl w:ilvl="0">
      <w:lvlJc w:val="left"/>
      <w:lvlText w:val="9"/>
      <w:numFmt w:val="bullet"/>
      <w:start w:val="1"/>
    </w:lvl>
  </w:abstractNum>
  <w:abstractNum w:abstractNumId="61">
    <w:nsid w:val="5092CA79"/>
    <w:multiLevelType w:val="hybridMultilevel"/>
    <w:lvl w:ilvl="0">
      <w:lvlJc w:val="left"/>
      <w:lvlText w:val="%1"/>
      <w:numFmt w:val="decimal"/>
      <w:start w:val="11"/>
    </w:lvl>
  </w:abstractNum>
  <w:abstractNum w:abstractNumId="62">
    <w:nsid w:val="1D545C4D"/>
    <w:multiLevelType w:val="hybridMultilevel"/>
    <w:lvl w:ilvl="0">
      <w:lvlJc w:val="left"/>
      <w:lvlText w:val="(%1)"/>
      <w:numFmt w:val="lowerLetter"/>
      <w:start w:val="1"/>
    </w:lvl>
  </w:abstractNum>
  <w:abstractNum w:abstractNumId="63">
    <w:nsid w:val="59ADEA3D"/>
    <w:multiLevelType w:val="hybridMultilevel"/>
    <w:lvl w:ilvl="0">
      <w:lvlJc w:val="left"/>
      <w:lvlText w:val="(%1)"/>
      <w:numFmt w:val="lowerLetter"/>
      <w:start w:val="1"/>
    </w:lvl>
  </w:abstractNum>
  <w:abstractNum w:abstractNumId="64">
    <w:nsid w:val="288F1A34"/>
    <w:multiLevelType w:val="hybridMultilevel"/>
    <w:lvl w:ilvl="0">
      <w:lvlJc w:val="left"/>
      <w:lvlText w:val="(%1)"/>
      <w:numFmt w:val="lowerLetter"/>
      <w:start w:val="2"/>
    </w:lvl>
  </w:abstractNum>
  <w:abstractNum w:abstractNumId="65">
    <w:nsid w:val="2A155DBC"/>
    <w:multiLevelType w:val="hybridMultilevel"/>
    <w:lvl w:ilvl="0">
      <w:lvlJc w:val="left"/>
      <w:lvlText w:val="%1"/>
      <w:numFmt w:val="decimal"/>
      <w:start w:val="19"/>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1)"/>
      <w:numFmt w:val="lowerLetter"/>
      <w:start w:val="1"/>
    </w:lvl>
    <w:lvl w:ilvl="1">
      <w:lvlJc w:val="left"/>
      <w:lvlText w:val="(%2)"/>
      <w:numFmt w:val="lowerRoman"/>
      <w:start w:val="1"/>
    </w:lvl>
  </w:abstractNum>
  <w:abstractNum w:abstractNumId="68">
    <w:nsid w:val="51088277"/>
    <w:multiLevelType w:val="hybridMultilevel"/>
    <w:lvl w:ilvl="0">
      <w:lvlJc w:val="left"/>
      <w:lvlText w:val="(%1)"/>
      <w:numFmt w:val="lowerLetter"/>
      <w:start w:val="1"/>
    </w:lvl>
    <w:lvl w:ilvl="1">
      <w:lvlJc w:val="left"/>
      <w:lvlText w:val="(%2)"/>
      <w:numFmt w:val="lowerRoman"/>
      <w:start w:val="1"/>
    </w:lvl>
  </w:abstractNum>
  <w:abstractNum w:abstractNumId="69">
    <w:nsid w:val="1CA0C5FA"/>
    <w:multiLevelType w:val="hybridMultilevel"/>
    <w:lvl w:ilvl="0">
      <w:lvlJc w:val="left"/>
      <w:lvlText w:val="(%1)"/>
      <w:numFmt w:val="lowerLetter"/>
      <w:start w:val="4"/>
    </w:lvl>
    <w:lvl w:ilvl="1">
      <w:lvlJc w:val="left"/>
      <w:lvlText w:val="(%2)"/>
      <w:numFmt w:val="lowerRoman"/>
      <w:start w:val="1"/>
    </w:lvl>
  </w:abstractNum>
  <w:abstractNum w:abstractNumId="70">
    <w:nsid w:val="53584BCB"/>
    <w:multiLevelType w:val="hybridMultilevel"/>
    <w:lvl w:ilvl="0">
      <w:lvlJc w:val="left"/>
      <w:lvlText w:val="(%1)"/>
      <w:numFmt w:val="lowerLetter"/>
      <w:start w:val="1"/>
    </w:lvl>
  </w:abstractNum>
  <w:abstractNum w:abstractNumId="71">
    <w:nsid w:val="415E286C"/>
    <w:multiLevelType w:val="hybridMultilevel"/>
    <w:lvl w:ilvl="0">
      <w:lvlJc w:val="left"/>
      <w:lvlText w:val="(%1)"/>
      <w:numFmt w:val="lowerLetter"/>
      <w:start w:val="2"/>
    </w:lvl>
  </w:abstractNum>
  <w:abstractNum w:abstractNumId="72">
    <w:nsid w:val="7C58FD05"/>
    <w:multiLevelType w:val="hybridMultilevel"/>
    <w:lvl w:ilvl="0">
      <w:lvlJc w:val="left"/>
      <w:lvlText w:val="(%1)"/>
      <w:numFmt w:val="lowerLetter"/>
      <w:start w:val="1"/>
    </w:lvl>
  </w:abstractNum>
  <w:abstractNum w:abstractNumId="73">
    <w:nsid w:val="23D86AAC"/>
    <w:multiLevelType w:val="hybridMultilevel"/>
    <w:lvl w:ilvl="0">
      <w:lvlJc w:val="left"/>
      <w:lvlText w:val="(%1)"/>
      <w:numFmt w:val="lowerLetter"/>
      <w:start w:val="1"/>
    </w:lvl>
  </w:abstractNum>
  <w:abstractNum w:abstractNumId="74">
    <w:nsid w:val="45E6D486"/>
    <w:multiLevelType w:val="hybridMultilevel"/>
    <w:lvl w:ilvl="0">
      <w:lvlJc w:val="left"/>
      <w:lvlText w:val="%1"/>
      <w:numFmt w:val="decimal"/>
      <w:start w:val="27"/>
    </w:lvl>
  </w:abstractNum>
  <w:abstractNum w:abstractNumId="75">
    <w:nsid w:val="5C10FE21"/>
    <w:multiLevelType w:val="hybridMultilevel"/>
    <w:lvl w:ilvl="0">
      <w:lvlJc w:val="left"/>
      <w:lvlText w:val="(%1)"/>
      <w:numFmt w:val="lowerLetter"/>
      <w:start w:val="1"/>
    </w:lvl>
    <w:lvl w:ilvl="1">
      <w:lvlJc w:val="left"/>
      <w:lvlText w:val="(%2)"/>
      <w:numFmt w:val="lowerRoman"/>
      <w:start w:val="1"/>
    </w:lvl>
  </w:abstractNum>
  <w:abstractNum w:abstractNumId="76">
    <w:nsid w:val="E7FFA2B"/>
    <w:multiLevelType w:val="hybridMultilevel"/>
    <w:lvl w:ilvl="0">
      <w:lvlJc w:val="left"/>
      <w:lvlText w:val="(%1)"/>
      <w:numFmt w:val="lowerLetter"/>
      <w:start w:val="1"/>
    </w:lvl>
    <w:lvl w:ilvl="1">
      <w:lvlJc w:val="left"/>
      <w:lvlText w:val="(%2)"/>
      <w:numFmt w:val="lowerRoman"/>
      <w:start w:val="1"/>
    </w:lvl>
  </w:abstractNum>
  <w:abstractNum w:abstractNumId="77">
    <w:nsid w:val="3C5991A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8">
    <w:nsid w:val="4BD8591A"/>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79">
    <w:nsid w:val="78DF6A55"/>
    <w:multiLevelType w:val="hybridMultilevel"/>
    <w:lvl w:ilvl="0">
      <w:lvlJc w:val="left"/>
      <w:lvlText w:val="(%1)"/>
      <w:numFmt w:val="lowerLetter"/>
      <w:start w:val="1"/>
    </w:lvl>
  </w:abstractNum>
  <w:abstractNum w:abstractNumId="80">
    <w:nsid w:val="39B7AAA2"/>
    <w:multiLevelType w:val="hybridMultilevel"/>
    <w:lvl w:ilvl="0">
      <w:lvlJc w:val="left"/>
      <w:lvlText w:val="(%1)"/>
      <w:numFmt w:val="lowerLetter"/>
      <w:start w:val="1"/>
    </w:lvl>
    <w:lvl w:ilvl="1">
      <w:lvlJc w:val="left"/>
      <w:lvlText w:val="(%2)"/>
      <w:numFmt w:val="lowerRoman"/>
      <w:start w:val="1"/>
    </w:lvl>
  </w:abstractNum>
  <w:abstractNum w:abstractNumId="81">
    <w:nsid w:val="2B0D8DBE"/>
    <w:multiLevelType w:val="hybridMultilevel"/>
    <w:lvl w:ilvl="0">
      <w:lvlJc w:val="left"/>
      <w:lvlText w:val="(%1)"/>
      <w:numFmt w:val="lowerLetter"/>
      <w:start w:val="3"/>
    </w:lvl>
  </w:abstractNum>
  <w:abstractNum w:abstractNumId="82">
    <w:nsid w:val="6C80EC70"/>
    <w:multiLevelType w:val="hybridMultilevel"/>
    <w:lvl w:ilvl="0">
      <w:lvlJc w:val="left"/>
      <w:lvlText w:val="%1"/>
      <w:numFmt w:val="decimal"/>
      <w:start w:val="32"/>
    </w:lvl>
    <w:lvl w:ilvl="1">
      <w:lvlJc w:val="left"/>
      <w:lvlText w:val="(%2)"/>
      <w:numFmt w:val="lowerLetter"/>
      <w:start w:val="1"/>
    </w:lvl>
  </w:abstractNum>
  <w:abstractNum w:abstractNumId="83">
    <w:nsid w:val="379E21B5"/>
    <w:multiLevelType w:val="hybridMultilevel"/>
    <w:lvl w:ilvl="0">
      <w:lvlJc w:val="left"/>
      <w:lvlText w:val="(%1)"/>
      <w:numFmt w:val="lowerLetter"/>
      <w:start w:val="5"/>
    </w:lvl>
  </w:abstractNum>
  <w:abstractNum w:abstractNumId="84">
    <w:nsid w:val="69E373"/>
    <w:multiLevelType w:val="hybridMultilevel"/>
    <w:lvl w:ilvl="0">
      <w:lvlJc w:val="left"/>
      <w:lvlText w:val="%1"/>
      <w:numFmt w:val="decimal"/>
      <w:start w:val="34"/>
    </w:lvl>
  </w:abstractNum>
  <w:abstractNum w:abstractNumId="85">
    <w:nsid w:val="2C27173B"/>
    <w:multiLevelType w:val="hybridMultilevel"/>
    <w:lvl w:ilvl="0">
      <w:lvlJc w:val="left"/>
      <w:lvlText w:val="%1"/>
      <w:numFmt w:val="decimal"/>
      <w:start w:val="36"/>
    </w:lvl>
  </w:abstractNum>
  <w:abstractNum w:abstractNumId="86">
    <w:nsid w:val="4C9B0904"/>
    <w:multiLevelType w:val="hybridMultilevel"/>
    <w:lvl w:ilvl="0">
      <w:lvlJc w:val="left"/>
      <w:lvlText w:val="%1"/>
      <w:numFmt w:val="decimal"/>
      <w:start w:val="38"/>
    </w:lvl>
  </w:abstractNum>
  <w:abstractNum w:abstractNumId="87">
    <w:nsid w:val="6AA7B75C"/>
    <w:multiLevelType w:val="hybridMultilevel"/>
    <w:lvl w:ilvl="0">
      <w:lvlJc w:val="left"/>
      <w:lvlText w:val="%1"/>
      <w:numFmt w:val="decimal"/>
      <w:start w:val="42"/>
    </w:lvl>
  </w:abstractNum>
  <w:abstractNum w:abstractNumId="88">
    <w:nsid w:val="1DF029D3"/>
    <w:multiLevelType w:val="hybridMultilevel"/>
    <w:lvl w:ilvl="0">
      <w:lvlJc w:val="left"/>
      <w:lvlText w:val="(%1)"/>
      <w:numFmt w:val="lowerLetter"/>
      <w:start w:val="1"/>
    </w:lvl>
  </w:abstractNum>
  <w:abstractNum w:abstractNumId="89">
    <w:nsid w:val="5675FF36"/>
    <w:multiLevelType w:val="hybridMultilevel"/>
    <w:lvl w:ilvl="0">
      <w:lvlJc w:val="left"/>
      <w:lvlText w:val="(%1)"/>
      <w:numFmt w:val="lowerLetter"/>
      <w:start w:val="3"/>
    </w:lvl>
  </w:abstractNum>
  <w:abstractNum w:abstractNumId="90">
    <w:nsid w:val="3DD15094"/>
    <w:multiLevelType w:val="hybridMultilevel"/>
    <w:lvl w:ilvl="0">
      <w:lvlJc w:val="left"/>
      <w:lvlText w:val="(%1)"/>
      <w:numFmt w:val="lowerLetter"/>
      <w:start w:val="1"/>
    </w:lvl>
  </w:abstractNum>
  <w:abstractNum w:abstractNumId="91">
    <w:nsid w:val="3DB012B3"/>
    <w:multiLevelType w:val="hybridMultilevel"/>
    <w:lvl w:ilvl="0">
      <w:lvlJc w:val="left"/>
      <w:lvlText w:val="%1"/>
      <w:numFmt w:val="decimal"/>
      <w:start w:val="48"/>
    </w:lvl>
  </w:abstractNum>
  <w:abstractNum w:abstractNumId="92">
    <w:nsid w:val="2708C9AF"/>
    <w:multiLevelType w:val="hybridMultilevel"/>
    <w:lvl w:ilvl="0">
      <w:lvlJc w:val="left"/>
      <w:lvlText w:val="%1"/>
      <w:numFmt w:val="decimal"/>
      <w:start w:val="50"/>
    </w:lvl>
  </w:abstractNum>
  <w:abstractNum w:abstractNumId="93">
    <w:nsid w:val="5B25ACE2"/>
    <w:multiLevelType w:val="hybridMultilevel"/>
    <w:lvl w:ilvl="0">
      <w:lvlJc w:val="left"/>
      <w:lvlText w:val="(%1)"/>
      <w:numFmt w:val="lowerLetter"/>
      <w:start w:val="1"/>
    </w:lvl>
  </w:abstractNum>
  <w:abstractNum w:abstractNumId="94">
    <w:nsid w:val="175DFCF0"/>
    <w:multiLevelType w:val="hybridMultilevel"/>
    <w:lvl w:ilvl="0">
      <w:lvlJc w:val="left"/>
      <w:lvlText w:val="(%1)"/>
      <w:numFmt w:val="lowerLetter"/>
      <w:start w:val="1"/>
    </w:lvl>
  </w:abstractNum>
  <w:abstractNum w:abstractNumId="95">
    <w:nsid w:val="4F97E3E4"/>
    <w:multiLevelType w:val="hybridMultilevel"/>
    <w:lvl w:ilvl="0">
      <w:lvlJc w:val="left"/>
      <w:lvlText w:val="(%1)"/>
      <w:numFmt w:val="lowerLetter"/>
      <w:start w:val="3"/>
    </w:lvl>
  </w:abstractNum>
  <w:abstractNum w:abstractNumId="96">
    <w:nsid w:val="53B0A9E"/>
    <w:multiLevelType w:val="hybridMultilevel"/>
    <w:lvl w:ilvl="0">
      <w:lvlJc w:val="left"/>
      <w:lvlText w:val="(%1)"/>
      <w:numFmt w:val="lowerLetter"/>
      <w:start w:val="1"/>
    </w:lvl>
  </w:abstractNum>
  <w:abstractNum w:abstractNumId="97">
    <w:nsid w:val="34FD6B4F"/>
    <w:multiLevelType w:val="hybridMultilevel"/>
    <w:lvl w:ilvl="0">
      <w:lvlJc w:val="left"/>
      <w:lvlText w:val="(%1)"/>
      <w:numFmt w:val="lowerLetter"/>
      <w:start w:val="1"/>
    </w:lvl>
  </w:abstractNum>
  <w:abstractNum w:abstractNumId="98">
    <w:nsid w:val="5915FF32"/>
    <w:multiLevelType w:val="hybridMultilevel"/>
    <w:lvl w:ilvl="0">
      <w:lvlJc w:val="left"/>
      <w:lvlText w:val="%1"/>
      <w:numFmt w:val="decimal"/>
      <w:start w:val="52"/>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lowerLetter"/>
      <w:start w:val="9"/>
    </w:lvl>
    <w:lvl w:ilvl="1">
      <w:lvlJc w:val="left"/>
      <w:lvlText w:val="(%2)"/>
      <w:numFmt w:val="lowerLetter"/>
      <w:start w:val="1"/>
    </w:lvl>
  </w:abstractNum>
  <w:abstractNum w:abstractNumId="101">
    <w:nsid w:val="2C6E4AFD"/>
    <w:multiLevelType w:val="hybridMultilevel"/>
    <w:lvl w:ilvl="0">
      <w:lvlJc w:val="left"/>
      <w:lvlText w:val="%1."/>
      <w:numFmt w:val="decimal"/>
      <w:start w:val="3"/>
    </w:lvl>
  </w:abstractNum>
  <w:abstractNum w:abstractNumId="102">
    <w:nsid w:val="17A1B582"/>
    <w:multiLevelType w:val="hybridMultilevel"/>
    <w:lvl w:ilvl="0">
      <w:lvlJc w:val="left"/>
      <w:lvlText w:val="(%1)"/>
      <w:numFmt w:val="decimal"/>
      <w:start w:val="5"/>
    </w:lvl>
  </w:abstractNum>
  <w:abstractNum w:abstractNumId="103">
    <w:nsid w:val="4DF72E4E"/>
    <w:multiLevelType w:val="hybridMultilevel"/>
    <w:lvl w:ilvl="0">
      <w:lvlJc w:val="left"/>
      <w:lvlText w:val="(%1)"/>
      <w:numFmt w:val="lowerLetter"/>
      <w:start w:val="26"/>
    </w:lvl>
  </w:abstractNum>
  <w:abstractNum w:abstractNumId="104">
    <w:nsid w:val="5046B5A9"/>
    <w:multiLevelType w:val="hybridMultilevel"/>
    <w:lvl w:ilvl="0">
      <w:lvlJc w:val="left"/>
      <w:lvlText w:val="%1"/>
      <w:numFmt w:val="decimal"/>
      <w:start w:val="1"/>
    </w:lvl>
    <w:lvl w:ilvl="1">
      <w:lvlJc w:val="left"/>
      <w:lvlText w:val="(%2)"/>
      <w:numFmt w:val="lowerLetter"/>
      <w:start w:val="1"/>
    </w:lvl>
  </w:abstractNum>
  <w:abstractNum w:abstractNumId="105">
    <w:nsid w:val="5D888A08"/>
    <w:multiLevelType w:val="hybridMultilevel"/>
    <w:lvl w:ilvl="0">
      <w:lvlJc w:val="left"/>
      <w:lvlText w:val="(%1)"/>
      <w:numFmt w:val="decimal"/>
      <w:start w:val="10"/>
    </w:lvl>
    <w:lvl w:ilvl="1">
      <w:lvlJc w:val="left"/>
      <w:lvlText w:val="(%2)"/>
      <w:numFmt w:val="lowerLetter"/>
      <w:start w:val="4"/>
    </w:lvl>
  </w:abstractNum>
  <w:abstractNum w:abstractNumId="106">
    <w:nsid w:val="2A082C70"/>
    <w:multiLevelType w:val="hybridMultilevel"/>
    <w:lvl w:ilvl="0">
      <w:lvlJc w:val="left"/>
      <w:lvlText w:val="(%1)"/>
      <w:numFmt w:val="lowerRoman"/>
      <w:start w:val="10"/>
    </w:lvl>
    <w:lvl w:ilvl="1">
      <w:lvlJc w:val="left"/>
      <w:lvlText w:val="%2."/>
      <w:numFmt w:val="decimal"/>
      <w:start w:val="4"/>
    </w:lvl>
  </w:abstractNum>
  <w:abstractNum w:abstractNumId="107">
    <w:nsid w:val="5EC6AFD4"/>
    <w:multiLevelType w:val="hybridMultilevel"/>
    <w:lvl w:ilvl="0">
      <w:lvlJc w:val="left"/>
      <w:lvlText w:val="(%1)"/>
      <w:numFmt w:val="lowerLetter"/>
      <w:start w:val="5"/>
    </w:lvl>
  </w:abstractNum>
  <w:abstractNum w:abstractNumId="108">
    <w:nsid w:val="19E21BB2"/>
    <w:multiLevelType w:val="hybridMultilevel"/>
    <w:lvl w:ilvl="0">
      <w:lvlJc w:val="left"/>
      <w:lvlText w:val="(%1)"/>
      <w:numFmt w:val="decimal"/>
      <w:start w:val="1"/>
    </w:lvl>
  </w:abstractNum>
  <w:abstractNum w:abstractNumId="109">
    <w:nsid w:val="75E0858A"/>
    <w:multiLevelType w:val="hybridMultilevel"/>
    <w:lvl w:ilvl="0">
      <w:lvlJc w:val="left"/>
      <w:lvlText w:val="%1."/>
      <w:numFmt w:val="decimal"/>
      <w:start w:val="5"/>
    </w:lvl>
  </w:abstractNum>
  <w:abstractNum w:abstractNumId="110">
    <w:nsid w:val="57A61A29"/>
    <w:multiLevelType w:val="hybridMultilevel"/>
    <w:lvl w:ilvl="0">
      <w:lvlJc w:val="left"/>
      <w:lvlText w:val="%1."/>
      <w:numFmt w:val="decimal"/>
      <w:start w:val="6"/>
    </w:lvl>
  </w:abstractNum>
  <w:abstractNum w:abstractNumId="111">
    <w:nsid w:val="5399C654"/>
    <w:multiLevelType w:val="hybridMultilevel"/>
    <w:lvl w:ilvl="0">
      <w:lvlJc w:val="left"/>
      <w:lvlText w:val="%1."/>
      <w:numFmt w:val="decimal"/>
      <w:start w:val="7"/>
    </w:lvl>
  </w:abstractNum>
  <w:abstractNum w:abstractNumId="112">
    <w:nsid w:val="20EE1348"/>
    <w:multiLevelType w:val="hybridMultilevel"/>
    <w:lvl w:ilvl="0">
      <w:lvlJc w:val="left"/>
      <w:lvlText w:val="(%1)"/>
      <w:numFmt w:val="decimal"/>
      <w:start w:val="15"/>
    </w:lvl>
  </w:abstractNum>
  <w:abstractNum w:abstractNumId="113">
    <w:nsid w:val="4427069A"/>
    <w:multiLevelType w:val="hybridMultilevel"/>
    <w:lvl w:ilvl="0">
      <w:lvlJc w:val="left"/>
      <w:lvlText w:val="%1."/>
      <w:numFmt w:val="decimal"/>
      <w:start w:val="8"/>
    </w:lvl>
  </w:abstractNum>
  <w:abstractNum w:abstractNumId="114">
    <w:nsid w:val="B37E80A"/>
    <w:multiLevelType w:val="hybridMultilevel"/>
    <w:lvl w:ilvl="0">
      <w:lvlJc w:val="left"/>
      <w:lvlText w:val="%1."/>
      <w:numFmt w:val="decimal"/>
      <w:start w:val="9"/>
    </w:lvl>
  </w:abstractNum>
  <w:abstractNum w:abstractNumId="115">
    <w:nsid w:val="2157F6BC"/>
    <w:multiLevelType w:val="hybridMultilevel"/>
    <w:lvl w:ilvl="0">
      <w:lvlJc w:val="left"/>
      <w:lvlText w:val="(%1)"/>
      <w:numFmt w:val="lowerRoman"/>
      <w:start w:val="1"/>
    </w:lvl>
  </w:abstractNum>
  <w:abstractNum w:abstractNumId="116">
    <w:nsid w:val="704E1DD5"/>
    <w:multiLevelType w:val="hybridMultilevel"/>
    <w:lvl w:ilvl="0">
      <w:lvlJc w:val="left"/>
      <w:lvlText w:val="%1."/>
      <w:numFmt w:val="decimal"/>
      <w:start w:val="1"/>
    </w:lvl>
  </w:abstractNum>
  <w:abstractNum w:abstractNumId="117">
    <w:nsid w:val="57D2F10E"/>
    <w:multiLevelType w:val="hybridMultilevel"/>
    <w:lvl w:ilvl="0">
      <w:lvlJc w:val="left"/>
      <w:lvlText w:val="%1."/>
      <w:numFmt w:val="decimal"/>
      <w:start w:val="3"/>
    </w:lvl>
  </w:abstractNum>
  <w:abstractNum w:abstractNumId="118">
    <w:nsid w:val="BFFAE18"/>
    <w:multiLevelType w:val="hybridMultilevel"/>
    <w:lvl w:ilvl="0">
      <w:lvlJc w:val="left"/>
      <w:lvlText w:val="%1."/>
      <w:numFmt w:val="decimal"/>
      <w:start w:val="4"/>
    </w:lvl>
  </w:abstractNum>
  <w:abstractNum w:abstractNumId="119">
    <w:nsid w:val="E3E47A8"/>
    <w:multiLevelType w:val="hybridMultilevel"/>
    <w:lvl w:ilvl="0">
      <w:lvlJc w:val="left"/>
      <w:lvlText w:val="%1"/>
      <w:numFmt w:val="decimal"/>
      <w:start w:val="1"/>
    </w:lvl>
    <w:lvl w:ilvl="1">
      <w:lvlJc w:val="left"/>
      <w:lvlText w:val="(%2)"/>
      <w:numFmt w:val="lowerLetter"/>
      <w:start w:val="2"/>
    </w:lvl>
  </w:abstractNum>
  <w:abstractNum w:abstractNumId="120">
    <w:nsid w:val="2E48F044"/>
    <w:multiLevelType w:val="hybridMultilevel"/>
    <w:lvl w:ilvl="0">
      <w:lvlJc w:val="left"/>
      <w:lvlText w:val="%1."/>
      <w:numFmt w:val="decimal"/>
      <w:start w:val="8"/>
    </w:lvl>
    <w:lvl w:ilvl="1">
      <w:lvlJc w:val="left"/>
      <w:lvlText w:val="%2"/>
      <w:numFmt w:val="lowerLetter"/>
      <w:start w:val="1"/>
    </w:lvl>
  </w:abstractNum>
  <w:abstractNum w:abstractNumId="121">
    <w:nsid w:val="49D0FEAC"/>
    <w:multiLevelType w:val="hybridMultilevel"/>
    <w:lvl w:ilvl="0">
      <w:lvlJc w:val="left"/>
      <w:lvlText w:val="%1."/>
      <w:numFmt w:val="decimal"/>
      <w:start w:val="10"/>
    </w:lvl>
  </w:abstractNum>
  <w:abstractNum w:abstractNumId="122">
    <w:nsid w:val="4BEE5A5B"/>
    <w:multiLevelType w:val="hybridMultilevel"/>
    <w:lvl w:ilvl="0">
      <w:lvlJc w:val="left"/>
      <w:lvlText w:val="%1."/>
      <w:numFmt w:val="decimal"/>
      <w:start w:val="14"/>
    </w:lvl>
  </w:abstractNum>
  <w:abstractNum w:abstractNumId="123">
    <w:nsid w:val="5551B9F3"/>
    <w:multiLevelType w:val="hybridMultilevel"/>
    <w:lvl w:ilvl="0">
      <w:lvlJc w:val="left"/>
      <w:lvlText w:val="%1."/>
      <w:numFmt w:val="decimal"/>
      <w:start w:val="1"/>
    </w:lvl>
    <w:lvl w:ilvl="1">
      <w:lvlJc w:val="left"/>
      <w:lvlText w:val="(%2)"/>
      <w:numFmt w:val="lowerLetter"/>
      <w:start w:val="1"/>
    </w:lvl>
  </w:abstractNum>
  <w:abstractNum w:abstractNumId="124">
    <w:nsid w:val="24F6AB8E"/>
    <w:multiLevelType w:val="hybridMultilevel"/>
    <w:lvl w:ilvl="0">
      <w:lvlJc w:val="left"/>
      <w:lvlText w:val="(%1)"/>
      <w:numFmt w:val="lowerLetter"/>
      <w:start w:val="4"/>
    </w:lvl>
  </w:abstractNum>
  <w:abstractNum w:abstractNumId="125">
    <w:nsid w:val="634C574C"/>
    <w:multiLevelType w:val="hybridMultilevel"/>
    <w:lvl w:ilvl="0">
      <w:lvlJc w:val="left"/>
      <w:lvlText w:val="%1"/>
      <w:numFmt w:val="decimal"/>
      <w:start w:val="1"/>
    </w:lvl>
    <w:lvl w:ilvl="1">
      <w:lvlJc w:val="left"/>
      <w:lvlText w:val="(%2)"/>
      <w:numFmt w:val="lowerLetter"/>
      <w:start w:val="12"/>
    </w:lvl>
  </w:abstractNum>
  <w:abstractNum w:abstractNumId="126">
    <w:nsid w:val="24E99DD7"/>
    <w:multiLevelType w:val="hybridMultilevel"/>
    <w:lvl w:ilvl="0">
      <w:lvlJc w:val="left"/>
      <w:lvlText w:val="%1."/>
      <w:numFmt w:val="decimal"/>
      <w:start w:val="2"/>
    </w:lvl>
    <w:lvl w:ilvl="1">
      <w:lvlJc w:val="left"/>
      <w:lvlText w:val="(%2)"/>
      <w:numFmt w:val="lowerLetter"/>
      <w:start w:val="1"/>
    </w:lvl>
  </w:abstractNum>
  <w:abstractNum w:abstractNumId="127">
    <w:nsid w:val="2A31B62D"/>
    <w:multiLevelType w:val="hybridMultilevel"/>
    <w:lvl w:ilvl="0">
      <w:lvlJc w:val="left"/>
      <w:lvlText w:val="%1"/>
      <w:numFmt w:val="decimal"/>
      <w:start w:val="1"/>
    </w:lvl>
    <w:lvl w:ilvl="1">
      <w:lvlJc w:val="left"/>
      <w:lvlText w:val="(%2)"/>
      <w:numFmt w:val="lowerLetter"/>
      <w:start w:val="7"/>
    </w:lvl>
  </w:abstractNum>
  <w:abstractNum w:abstractNumId="128">
    <w:nsid w:val="1849C29B"/>
    <w:multiLevelType w:val="hybridMultilevel"/>
    <w:lvl w:ilvl="0">
      <w:lvlJc w:val="left"/>
      <w:lvlText w:val="%1."/>
      <w:numFmt w:val="decimal"/>
      <w:start w:val="3"/>
    </w:lvl>
    <w:lvl w:ilvl="1">
      <w:lvlJc w:val="left"/>
      <w:lvlText w:val="(%2)"/>
      <w:numFmt w:val="lowerLetter"/>
      <w:start w:val="1"/>
    </w:lvl>
  </w:abstractNum>
  <w:abstractNum w:abstractNumId="129">
    <w:nsid w:val="7DFF9D09"/>
    <w:multiLevelType w:val="hybridMultilevel"/>
    <w:lvl w:ilvl="0">
      <w:lvlJc w:val="left"/>
      <w:lvlText w:val="%1."/>
      <w:numFmt w:val="decimal"/>
      <w:start w:val="4"/>
    </w:lvl>
    <w:lvl w:ilvl="1">
      <w:lvlJc w:val="left"/>
      <w:lvlText w:val="(%2)"/>
      <w:numFmt w:val="lowerLetter"/>
      <w:start w:val="1"/>
    </w:lvl>
  </w:abstractNum>
  <w:abstractNum w:abstractNumId="130">
    <w:nsid w:val="754342"/>
    <w:multiLevelType w:val="hybridMultilevel"/>
    <w:lvl w:ilvl="0">
      <w:lvlJc w:val="left"/>
      <w:lvlText w:val="(%1)"/>
      <w:numFmt w:val="lowerLetter"/>
      <w:start w:val="4"/>
    </w:lvl>
  </w:abstractNum>
  <w:abstractNum w:abstractNumId="131">
    <w:nsid w:val="69E7F3E5"/>
    <w:multiLevelType w:val="hybridMultilevel"/>
    <w:lvl w:ilvl="0">
      <w:lvlJc w:val="left"/>
      <w:lvlText w:val="(%1)"/>
      <w:numFmt w:val="lowerLetter"/>
      <w:start w:val="6"/>
    </w:lvl>
  </w:abstractNum>
  <w:abstractNum w:abstractNumId="132">
    <w:nsid w:val="2A6DE806"/>
    <w:multiLevelType w:val="hybridMultilevel"/>
    <w:lvl w:ilvl="0">
      <w:lvlJc w:val="left"/>
      <w:lvlText w:val="(%1)"/>
      <w:numFmt w:val="lowerLetter"/>
      <w:start w:val="7"/>
    </w:lvl>
  </w:abstractNum>
  <w:abstractNum w:abstractNumId="133">
    <w:nsid w:val="1816F8C4"/>
    <w:multiLevelType w:val="hybridMultilevel"/>
    <w:lvl w:ilvl="0">
      <w:lvlJc w:val="left"/>
      <w:lvlText w:val="(%1)"/>
      <w:numFmt w:val="lowerRoman"/>
      <w:start w:val="2"/>
    </w:lvl>
  </w:abstractNum>
  <w:abstractNum w:abstractNumId="134">
    <w:nsid w:val="37DF2233"/>
    <w:multiLevelType w:val="hybridMultilevel"/>
    <w:lvl w:ilvl="0">
      <w:lvlJc w:val="left"/>
      <w:lvlText w:val="1"/>
      <w:numFmt w:val="bullet"/>
      <w:start w:val="1"/>
    </w:lvl>
  </w:abstractNum>
  <w:abstractNum w:abstractNumId="135">
    <w:nsid w:val="7AB49DAF"/>
    <w:multiLevelType w:val="hybridMultilevel"/>
    <w:lvl w:ilvl="0">
      <w:lvlJc w:val="left"/>
      <w:lvlText w:val="(%1)"/>
      <w:numFmt w:val="upperLetter"/>
      <w:start w:val="1"/>
    </w:lvl>
  </w:abstractNum>
  <w:abstractNum w:abstractNumId="136">
    <w:nsid w:val="759F82CD"/>
    <w:multiLevelType w:val="hybridMultilevel"/>
    <w:lvl w:ilvl="0">
      <w:lvlJc w:val="left"/>
      <w:lvlText w:val="(%1)"/>
      <w:numFmt w:val="decimal"/>
      <w:start w:val="5"/>
    </w:lvl>
  </w:abstractNum>
  <w:abstractNum w:abstractNumId="137">
    <w:nsid w:val="61E74EA3"/>
    <w:multiLevelType w:val="hybridMultilevel"/>
    <w:lvl w:ilvl="0">
      <w:lvlJc w:val="left"/>
      <w:lvlText w:val="(%1)"/>
      <w:numFmt w:val="decimal"/>
      <w:start w:val="10"/>
    </w:lvl>
  </w:abstractNum>
  <w:abstractNum w:abstractNumId="138">
    <w:nsid w:val="597B4D84"/>
    <w:multiLevelType w:val="hybridMultilevel"/>
    <w:lvl w:ilvl="0">
      <w:lvlJc w:val="left"/>
      <w:lvlText w:val="%1"/>
      <w:numFmt w:val="upperLetter"/>
      <w:start w:val="1"/>
    </w:lvl>
    <w:lvl w:ilvl="1">
      <w:lvlJc w:val="left"/>
      <w:lvlText w:val="(%2)"/>
      <w:numFmt w:val="lowerLetter"/>
      <w:start w:val="1"/>
    </w:lvl>
  </w:abstractNum>
  <w:abstractNum w:abstractNumId="139">
    <w:nsid w:val="F819E7F"/>
    <w:multiLevelType w:val="hybridMultilevel"/>
    <w:lvl w:ilvl="0">
      <w:lvlJc w:val="left"/>
      <w:lvlText w:val="(%1)"/>
      <w:numFmt w:val="upperLetter"/>
      <w:start w:val="2"/>
    </w:lvl>
    <w:lvl w:ilvl="1">
      <w:lvlJc w:val="left"/>
      <w:lvlText w:val="(%2)"/>
      <w:numFmt w:val="lowerLetter"/>
      <w:start w:val="2"/>
    </w:lvl>
  </w:abstractNum>
  <w:abstractNum w:abstractNumId="140">
    <w:nsid w:val="57C7D42D"/>
    <w:multiLevelType w:val="hybridMultilevel"/>
    <w:lvl w:ilvl="0">
      <w:lvlJc w:val="left"/>
      <w:lvlText w:val="(%1)"/>
      <w:numFmt w:val="decimal"/>
      <w:start w:val="10"/>
    </w:lvl>
  </w:abstractNum>
  <w:abstractNum w:abstractNumId="141">
    <w:nsid w:val="312167AD"/>
    <w:multiLevelType w:val="hybridMultilevel"/>
    <w:lvl w:ilvl="0">
      <w:lvlJc w:val="left"/>
      <w:lvlText w:val="(%1)"/>
      <w:numFmt w:val="decimal"/>
      <w:start w:val="12"/>
    </w:lvl>
  </w:abstractNum>
  <w:abstractNum w:abstractNumId="142">
    <w:nsid w:val="631B64D4"/>
    <w:multiLevelType w:val="hybridMultilevel"/>
    <w:lvl w:ilvl="0">
      <w:lvlJc w:val="left"/>
      <w:lvlText w:val="(%1)"/>
      <w:numFmt w:val="upperLetter"/>
      <w:start w:val="1"/>
    </w:lvl>
  </w:abstractNum>
  <w:abstractNum w:abstractNumId="143">
    <w:nsid w:val="78B5E776"/>
    <w:multiLevelType w:val="hybridMultilevel"/>
    <w:lvl w:ilvl="0">
      <w:lvlJc w:val="left"/>
      <w:lvlText w:val="(%1)"/>
      <w:numFmt w:val="lowerRoman"/>
      <w:start w:val="1"/>
    </w:lvl>
  </w:abstractNum>
  <w:abstractNum w:abstractNumId="144">
    <w:nsid w:val="75486E47"/>
    <w:multiLevelType w:val="hybridMultilevel"/>
    <w:lvl w:ilvl="0">
      <w:lvlJc w:val="left"/>
      <w:lvlText w:val="(%1)"/>
      <w:numFmt w:val="lowerRoman"/>
      <w:start w:val="1"/>
    </w:lvl>
  </w:abstractNum>
  <w:abstractNum w:abstractNumId="145">
    <w:nsid w:val="6E534CDE"/>
    <w:multiLevelType w:val="hybridMultilevel"/>
    <w:lvl w:ilvl="0">
      <w:lvlJc w:val="left"/>
      <w:lvlText w:val="(%1)"/>
      <w:numFmt w:val="lowerRoman"/>
      <w:start w:val="2"/>
    </w:lvl>
  </w:abstractNum>
  <w:abstractNum w:abstractNumId="146">
    <w:nsid w:val="1A0DDE32"/>
    <w:multiLevelType w:val="hybridMultilevel"/>
    <w:lvl w:ilvl="0">
      <w:lvlJc w:val="left"/>
      <w:lvlText w:val="(%1)"/>
      <w:numFmt w:val="lowerRoman"/>
      <w:start w:val="1"/>
    </w:lvl>
  </w:abstractNum>
  <w:abstractNum w:abstractNumId="147">
    <w:nsid w:val="65968C1C"/>
    <w:multiLevelType w:val="hybridMultilevel"/>
    <w:lvl w:ilvl="0">
      <w:lvlJc w:val="left"/>
      <w:lvlText w:val="(%1)"/>
      <w:numFmt w:val="lowerRoman"/>
      <w:start w:val="1"/>
    </w:lvl>
  </w:abstractNum>
  <w:abstractNum w:abstractNumId="148">
    <w:nsid w:val="46263DEC"/>
    <w:multiLevelType w:val="hybridMultilevel"/>
    <w:lvl w:ilvl="0">
      <w:lvlJc w:val="left"/>
      <w:lvlText w:val="(%1)"/>
      <w:numFmt w:val="lowerRoman"/>
      <w:start w:val="1"/>
    </w:lvl>
  </w:abstractNum>
  <w:abstractNum w:abstractNumId="149">
    <w:nsid w:val="260D8C4A"/>
    <w:multiLevelType w:val="hybridMultilevel"/>
    <w:lvl w:ilvl="0">
      <w:lvlJc w:val="left"/>
      <w:lvlText w:val="(%1)"/>
      <w:numFmt w:val="lowerRoman"/>
      <w:start w:val="8"/>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2020-09-28T15:08:08Z</dcterms:created>
  <dcterms:modified xsi:type="dcterms:W3CDTF">2020-09-28T15:08:08Z</dcterms:modified>
</cp:coreProperties>
</file>