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Post-Effective Amendment No. 3</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S-1 ON FORM S-3</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00" w:type="dxa"/>
            <w:vAlign w:val="bottom"/>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35"/>
        </w:trPr>
        <w:tc>
          <w:tcPr>
            <w:tcW w:w="370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Alpharetta, Georgia 30009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Gavin Michael</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10000 Avalon Boulevard, Suite 1000</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Alpharetta, Georgia 30009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tbl>
      <w:tblPr>
        <w:tblLayout w:type="fixed"/>
        <w:tblInd w:w="168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48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304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J. Matthew Lyons</w:t>
            </w:r>
          </w:p>
        </w:tc>
        <w:tc>
          <w:tcPr>
            <w:tcW w:w="4840" w:type="dxa"/>
            <w:vAlign w:val="bottom"/>
          </w:tcPr>
          <w:p>
            <w:pPr>
              <w:jc w:val="center"/>
              <w:ind w:left="2568"/>
              <w:spacing w:after="0"/>
              <w:rPr>
                <w:sz w:val="20"/>
                <w:szCs w:val="20"/>
                <w:color w:val="auto"/>
              </w:rPr>
            </w:pPr>
            <w:r>
              <w:rPr>
                <w:rFonts w:ascii="Times New Roman" w:cs="Times New Roman" w:eastAsia="Times New Roman" w:hAnsi="Times New Roman"/>
                <w:sz w:val="14"/>
                <w:szCs w:val="14"/>
                <w:b w:val="1"/>
                <w:bCs w:val="1"/>
                <w:color w:val="auto"/>
              </w:rPr>
              <w:t>Marc D’Annunzio</w:t>
            </w:r>
          </w:p>
        </w:tc>
      </w:tr>
      <w:tr>
        <w:trPr>
          <w:trHeight w:val="148"/>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Austin D. March</w:t>
            </w:r>
          </w:p>
        </w:tc>
        <w:tc>
          <w:tcPr>
            <w:tcW w:w="484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 P.C.</w:t>
            </w:r>
          </w:p>
        </w:tc>
        <w:tc>
          <w:tcPr>
            <w:tcW w:w="484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10000 Avalon Boulevard, Suite 1000</w:t>
            </w:r>
          </w:p>
        </w:tc>
      </w:tr>
      <w:tr>
        <w:trPr>
          <w:trHeight w:val="148"/>
        </w:trPr>
        <w:tc>
          <w:tcPr>
            <w:tcW w:w="3040" w:type="dxa"/>
            <w:vAlign w:val="bottom"/>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900 S. Capital of Texas Highway</w:t>
            </w:r>
          </w:p>
        </w:tc>
        <w:tc>
          <w:tcPr>
            <w:tcW w:w="484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Alpharetta, Georgia 30009</w:t>
            </w:r>
          </w:p>
        </w:tc>
      </w:tr>
      <w:tr>
        <w:trPr>
          <w:trHeight w:val="149"/>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Las Cimas IV, 5th Floor</w:t>
            </w:r>
          </w:p>
        </w:tc>
        <w:tc>
          <w:tcPr>
            <w:tcW w:w="484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(678) 534-5849</w:t>
            </w:r>
          </w:p>
        </w:tc>
      </w:tr>
      <w:tr>
        <w:trPr>
          <w:trHeight w:val="148"/>
        </w:trPr>
        <w:tc>
          <w:tcPr>
            <w:tcW w:w="304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Austin, TX 78746</w:t>
            </w:r>
          </w:p>
        </w:tc>
        <w:tc>
          <w:tcPr>
            <w:tcW w:w="4840" w:type="dxa"/>
            <w:vAlign w:val="bottom"/>
          </w:tcPr>
          <w:p>
            <w:pPr>
              <w:spacing w:after="0"/>
              <w:rPr>
                <w:sz w:val="12"/>
                <w:szCs w:val="12"/>
                <w:color w:val="auto"/>
              </w:rPr>
            </w:pPr>
          </w:p>
        </w:tc>
      </w:tr>
      <w:tr>
        <w:trPr>
          <w:trHeight w:val="190"/>
        </w:trPr>
        <w:tc>
          <w:tcPr>
            <w:tcW w:w="304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(512) 338-5400</w:t>
            </w:r>
          </w:p>
        </w:tc>
        <w:tc>
          <w:tcPr>
            <w:tcW w:w="48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29"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left="120"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p>
      <w:pPr>
        <w:ind w:left="120" w:right="12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On November 12, 2021, Bakkt Holdings, Inc. (the “Company,” “we,” “us,” and “our”) filed a registration statement with the Securities and Exchange Commission (the “SEC”), on Form S-1 (File No. 333-261034), as amended by Amendment No. 1 thereto filed with the SEC on December 8, 2021, initially declared effective by the SEC on December 15, 2021 (as amended, the “Initial Registration Statement”). The Initial Registration Statement registered (i) the issuance and sale by us, and the resale by the Selling Securityholders, from time to time, of up to 190,726,638 shares of Class A common stock, par value $0.0001 per share (“Class A Common Stock”), issuable upon the exchange of an equal number of Paired Interests and</w:t>
      </w:r>
    </w:p>
    <w:p>
      <w:pPr>
        <w:spacing w:after="0" w:line="3" w:lineRule="exact"/>
        <w:rPr>
          <w:sz w:val="20"/>
          <w:szCs w:val="20"/>
          <w:color w:val="auto"/>
        </w:rPr>
      </w:pPr>
    </w:p>
    <w:p>
      <w:pPr>
        <w:ind w:left="120" w:right="100" w:hanging="4"/>
        <w:spacing w:after="0" w:line="253" w:lineRule="auto"/>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from time to time by the Selling Securityholders of (a) 32,500,000 shares of Class A Common Stock issued in the PIPE Financing; (b) 5,184,300 shares of Class A Common Stock issued to VPC Impact Acquisition Holdings Sponsor, LLC (the “Sponsor”) and certain of its affiliates that relate to securities acquired by them prior to the initial public offering; and (c) 3,967,362 shares of Class A Common Stock issued to the Sponsor upon the exercise of a portion of the Private Placement Warrants.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5, 2022, we filed a post-effective amendment on Form S-1 (“Post-Effective Amendment No. 1”) to the Initial Registration Statement to</w:t>
      </w:r>
    </w:p>
    <w:p>
      <w:pPr>
        <w:spacing w:after="0" w:line="27" w:lineRule="exact"/>
        <w:rPr>
          <w:sz w:val="20"/>
          <w:szCs w:val="20"/>
          <w:color w:val="auto"/>
        </w:rPr>
      </w:pPr>
    </w:p>
    <w:p>
      <w:pPr>
        <w:ind w:left="340" w:hanging="224"/>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information from the Company’s Annual Report on Form 10-K for the year ended December 31, 2021 that was filed on March 31, 2022 and</w:t>
      </w:r>
    </w:p>
    <w:p>
      <w:pPr>
        <w:spacing w:after="0" w:line="9" w:lineRule="exact"/>
        <w:rPr>
          <w:rFonts w:ascii="Times New Roman" w:cs="Times New Roman" w:eastAsia="Times New Roman" w:hAnsi="Times New Roman"/>
          <w:sz w:val="18"/>
          <w:szCs w:val="18"/>
          <w:color w:val="auto"/>
        </w:rPr>
      </w:pPr>
    </w:p>
    <w:p>
      <w:pPr>
        <w:ind w:left="120" w:right="360" w:hanging="4"/>
        <w:spacing w:after="0" w:line="260" w:lineRule="auto"/>
        <w:tabs>
          <w:tab w:leader="none" w:pos="3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certain other information in the Initial Registration Statement. No additional securities were registered under Post-Effective Amendment No. 1, which was declared effective by the SEC on April 12, 2022.</w:t>
      </w:r>
    </w:p>
    <w:p>
      <w:pPr>
        <w:spacing w:after="0" w:line="18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 April 20, 2023, we filed post-effective amendment No. 2 to Form S-1 on Form S-3 (“Post-Effective Amendment No. 2”) to (i) convert the Initial Registration Statement, as amended by Post-Effective Amendment No. 1, into a registration statement on Form S-3, and (ii) update certain information regarding the Selling Securityholders. No additional securities were registered under such post-effective amendment.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post-effective No. 3 to Form S-1 on Form S-3 (“Post-Effective Amendment No. 3”) is being filed to update certain information regarding the Selling Securityholders. No additional securities are being registered under this post-effective amendment and all applicable registration and filing fees were paid in connection with prior filings of the Initial Registration Statement.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defined, capitalized terms have the meanings ascribed to them in the section titled “</w:t>
      </w:r>
      <w:r>
        <w:rPr>
          <w:rFonts w:ascii="Times New Roman" w:cs="Times New Roman" w:eastAsia="Times New Roman" w:hAnsi="Times New Roman"/>
          <w:sz w:val="18"/>
          <w:szCs w:val="18"/>
          <w:i w:val="1"/>
          <w:iCs w:val="1"/>
          <w:color w:val="auto"/>
        </w:rPr>
        <w:t>About this Prospectus</w:t>
      </w:r>
      <w:r>
        <w:rPr>
          <w:rFonts w:ascii="Times New Roman" w:cs="Times New Roman" w:eastAsia="Times New Roman" w:hAnsi="Times New Roman"/>
          <w:sz w:val="18"/>
          <w:szCs w:val="18"/>
          <w:color w:val="auto"/>
        </w:rPr>
        <w:t>” below.</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ind w:left="120"/>
        <w:spacing w:after="0"/>
        <w:tabs>
          <w:tab w:leader="none" w:pos="4840" w:val="left"/>
        </w:tabs>
        <w:rPr>
          <w:sz w:val="20"/>
          <w:szCs w:val="20"/>
          <w:color w:val="auto"/>
        </w:rPr>
      </w:pPr>
      <w:r>
        <w:rPr>
          <w:rFonts w:ascii="Times New Roman" w:cs="Times New Roman" w:eastAsia="Times New Roman" w:hAnsi="Times New Roman"/>
          <w:sz w:val="18"/>
          <w:szCs w:val="18"/>
          <w:b w:val="1"/>
          <w:bCs w:val="1"/>
          <w:color w:val="auto"/>
        </w:rPr>
        <w:t>PROSPECTUS</w:t>
      </w:r>
      <w:r>
        <w:rPr>
          <w:sz w:val="20"/>
          <w:szCs w:val="20"/>
          <w:color w:val="auto"/>
        </w:rPr>
        <w:tab/>
      </w:r>
      <w:r>
        <w:rPr>
          <w:rFonts w:ascii="Times New Roman" w:cs="Times New Roman" w:eastAsia="Times New Roman" w:hAnsi="Times New Roman"/>
          <w:sz w:val="18"/>
          <w:szCs w:val="18"/>
          <w:b w:val="1"/>
          <w:bCs w:val="1"/>
          <w:color w:val="FF4338"/>
        </w:rPr>
        <w:t>Subject to Completion February 7, 2024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172,281,016 Shares of Class A Common Stock Issuable Upon the Exchange of Paired Interests</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4,798,470 Shares of Class A Common Stock Issued in the PIPE Financing</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2,235,441 Shares of Class A Common Stock Issued in Respect of Founder Shares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1,196,997 Shares of Class A Common Stock Previously Issued upon the Exchange of Paired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724535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149860</wp:posOffset>
            </wp:positionV>
            <wp:extent cx="90868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6"/>
          <w:szCs w:val="16"/>
          <w:color w:val="auto"/>
        </w:rPr>
        <w:t>This prospectus relates to the issuance by us and the resale by the Selling Securityholders (as defined in “</w:t>
      </w:r>
      <w:r>
        <w:rPr>
          <w:rFonts w:ascii="Times New Roman" w:cs="Times New Roman" w:eastAsia="Times New Roman" w:hAnsi="Times New Roman"/>
          <w:sz w:val="16"/>
          <w:szCs w:val="16"/>
          <w:i w:val="1"/>
          <w:iCs w:val="1"/>
          <w:color w:val="auto"/>
        </w:rPr>
        <w:t>Selling Securityholders</w:t>
      </w:r>
      <w:r>
        <w:rPr>
          <w:rFonts w:ascii="Times New Roman" w:cs="Times New Roman" w:eastAsia="Times New Roman" w:hAnsi="Times New Roman"/>
          <w:sz w:val="16"/>
          <w:szCs w:val="16"/>
          <w:color w:val="auto"/>
        </w:rPr>
        <w:t>” below) of up to 172,281,016 shares of Class A common stock, par value $0.0001 per share (“Class A Common Stock”), issuable upon the exchange of an equal number of Paired Interests. This prospectus also relates to the resale by the Selling Securityholders of (i) 4,798,470 shares of Class A Common Stock (the “PIPE Shares”) issued in the PIPE Financing;</w:t>
      </w:r>
    </w:p>
    <w:p>
      <w:pPr>
        <w:spacing w:after="0" w:line="1" w:lineRule="exact"/>
        <w:rPr>
          <w:sz w:val="20"/>
          <w:szCs w:val="20"/>
          <w:color w:val="auto"/>
        </w:rPr>
      </w:pPr>
    </w:p>
    <w:p>
      <w:pPr>
        <w:ind w:left="120" w:right="100" w:hanging="4"/>
        <w:spacing w:after="0" w:line="272" w:lineRule="auto"/>
        <w:tabs>
          <w:tab w:leader="none" w:pos="35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2,235,441 shares of Class A Common Stock issued to VPC Impact Acquisition Holdings Sponsor, LLC (the “Sponsor”) and certain of its affiliates that relate to securities acquired by them prior to the IPO or upon the exercise of the Private Placement Warrants (collectively, the “Founder Shares”); and (iii) up to 1,196,997 shares of Class A Common Stock previously issued upon the exchange of an equal number of Paired Interests. Unless otherwise defined, capitalized terms have the meanings ascribed to them in the section titled “</w:t>
      </w:r>
      <w:r>
        <w:rPr>
          <w:rFonts w:ascii="Times New Roman" w:cs="Times New Roman" w:eastAsia="Times New Roman" w:hAnsi="Times New Roman"/>
          <w:sz w:val="16"/>
          <w:szCs w:val="16"/>
          <w:i w:val="1"/>
          <w:iCs w:val="1"/>
          <w:color w:val="auto"/>
        </w:rPr>
        <w:t>About this Prospectus</w:t>
      </w:r>
      <w:r>
        <w:rPr>
          <w:rFonts w:ascii="Times New Roman" w:cs="Times New Roman" w:eastAsia="Times New Roman" w:hAnsi="Times New Roman"/>
          <w:sz w:val="16"/>
          <w:szCs w:val="16"/>
          <w:color w:val="auto"/>
        </w:rPr>
        <w:t>” below.</w:t>
      </w:r>
    </w:p>
    <w:p>
      <w:pPr>
        <w:spacing w:after="0" w:line="184"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6"/>
          <w:szCs w:val="16"/>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for more information about how the Selling Securityholders may sell their securities.</w:t>
      </w:r>
    </w:p>
    <w:p>
      <w:pPr>
        <w:spacing w:after="0" w:line="177"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6"/>
          <w:szCs w:val="16"/>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more information.</w:t>
      </w:r>
    </w:p>
    <w:p>
      <w:pPr>
        <w:spacing w:after="0" w:line="17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Our Class A Common Stock is listed on The New York Stock Exchange (“NYSE”) under the symbol “BKKT” and our warrants to purchase Class A Common Stock (the “Warrants”) are listed on NYSE under the symbol “BKKT WS.” On February 5, 2024, the last quoted sale price for our Class A Common Stock as reported on NYSE was $1.29 per share and the last quoted sale price for our Warrants as reported on NYSE was $0.23 per warrant.</w:t>
      </w:r>
    </w:p>
    <w:p>
      <w:pPr>
        <w:spacing w:after="0" w:line="175" w:lineRule="exact"/>
        <w:rPr>
          <w:sz w:val="20"/>
          <w:szCs w:val="20"/>
          <w:color w:val="auto"/>
        </w:rPr>
      </w:pPr>
    </w:p>
    <w:p>
      <w:pPr>
        <w:ind w:left="120" w:right="2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54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0"/>
          <w:szCs w:val="20"/>
          <w:b w:val="1"/>
          <w:bCs w:val="1"/>
          <w:i w:val="1"/>
          <w:iCs w:val="1"/>
          <w:u w:val="single" w:color="auto"/>
          <w:color w:val="0000EE"/>
        </w:rPr>
        <w:t>Risk Factors</w:t>
      </w:r>
      <w:r>
        <w:rPr>
          <w:rFonts w:ascii="Times New Roman" w:cs="Times New Roman" w:eastAsia="Times New Roman" w:hAnsi="Times New Roman"/>
          <w:sz w:val="20"/>
          <w:szCs w:val="20"/>
          <w:b w:val="1"/>
          <w:bCs w:val="1"/>
          <w:color w:val="auto"/>
        </w:rPr>
        <w:t>” of this prospectus and any risk factors described in any amendments or supplements to this prospectus and in the documents incorporated by reference herein.</w:t>
      </w:r>
    </w:p>
    <w:p>
      <w:pPr>
        <w:spacing w:after="0" w:line="180" w:lineRule="exact"/>
        <w:rPr>
          <w:sz w:val="20"/>
          <w:szCs w:val="20"/>
          <w:color w:val="auto"/>
        </w:rPr>
      </w:pPr>
    </w:p>
    <w:p>
      <w:pPr>
        <w:ind w:left="120" w:right="4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in this prospectus or any prospectus supplement or amendment hereto. We have not authorized anyone to provide you with different information.</w:t>
      </w:r>
    </w:p>
    <w:p>
      <w:pPr>
        <w:spacing w:after="0" w:line="160" w:lineRule="exact"/>
        <w:rPr>
          <w:sz w:val="20"/>
          <w:szCs w:val="20"/>
          <w:color w:val="auto"/>
        </w:rPr>
      </w:pPr>
    </w:p>
    <w:p>
      <w:pPr>
        <w:ind w:left="120" w:right="20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19"/>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 xml:space="preserve">Prospectus dated           </w:t>
      </w:r>
      <w:r>
        <w:rPr>
          <w:sz w:val="20"/>
          <w:szCs w:val="20"/>
          <w:color w:val="auto"/>
        </w:rPr>
        <w:tab/>
      </w:r>
      <w:r>
        <w:rPr>
          <w:rFonts w:ascii="Times New Roman" w:cs="Times New Roman" w:eastAsia="Times New Roman" w:hAnsi="Times New Roman"/>
          <w:sz w:val="15"/>
          <w:szCs w:val="15"/>
          <w:b w:val="1"/>
          <w:bCs w:val="1"/>
          <w:color w:val="auto"/>
        </w:rPr>
        <w:t>, 2024</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85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81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1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1580" w:type="dxa"/>
            <w:vAlign w:val="bottom"/>
            <w:tcBorders>
              <w:top w:val="single" w:sz="8" w:color="0000EE"/>
            </w:tcBorders>
          </w:tcPr>
          <w:p>
            <w:pPr>
              <w:spacing w:after="0"/>
              <w:rPr>
                <w:sz w:val="17"/>
                <w:szCs w:val="17"/>
                <w:color w:val="auto"/>
              </w:rPr>
            </w:pPr>
          </w:p>
        </w:tc>
        <w:tc>
          <w:tcPr>
            <w:tcW w:w="62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the Selling Securityholders and their permitted transferees may, from time to time, sell the securities offered by them described in this prospectus in one or more offerings through any means described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We will not receive any proceeds from the sale by such Selling Securityholders of the securities offered by them described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To the extent necessary, each time that the Selling Securityholders offer and sell securities, we or the Selling Securityholders may provide a prospectus supplement to this prospectus that contains specific information about the securities being offered and sold and the specific terms of that offering. To the extent permitted by law, we may also authorize one or more free writing prospectuses that may contain material information relating to these offerings. Such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(and any applicable free writing prospectuses), together with the additional information described under the heading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or incorporated by reference, in this prospectus, any applicable prospectus supplement or in any related free writing prospectus. Neither we nor the Selling Securityholders take any responsibility for, nor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w:t>
      </w:r>
    </w:p>
    <w:p>
      <w:pPr>
        <w:spacing w:after="0" w:line="194"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in this prospectus to the business combination that Bakkt Holdings, Inc., a Delaware corporation (f/k/a VPC Impact Acquisition Holdings, a Cayman Islands exempted company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9" w:lineRule="auto"/>
        <w:rPr>
          <w:sz w:val="20"/>
          <w:szCs w:val="20"/>
          <w:color w:val="auto"/>
        </w:rPr>
      </w:pPr>
      <w:r>
        <w:rPr>
          <w:rFonts w:ascii="Times New Roman" w:cs="Times New Roman" w:eastAsia="Times New Roman" w:hAnsi="Times New Roman"/>
          <w:sz w:val="17"/>
          <w:szCs w:val="17"/>
          <w:color w:val="auto"/>
        </w:rPr>
        <w:t>consummated on October 15, 2021 (the “Closing”) pursuant to that certain Agreement and Plan of Merger, dated as of January 11, 2021 (as amended, the “Merger Agreement”), by and among the Company, Pylon Merger Company LLC, a Delaware limited liability company and wholly owned subsidiary of the Company (“Merger Sub”), and Bakkt Opco Holdings, LLC, a Delaware limited liability company (f/k/a/ Bakkt Holdings, LLC (“Opco”)). Pursuant to the terms of the Merger Agreement, Merger Sub merged with and into Opco, with Opco surviving as a direct subsidiary of the Company (the “Merger”). Unless otherwise noted or the context otherwise requires, references to “we,” “us,” “our,” “Bakkt” and like terms refer</w:t>
      </w:r>
    </w:p>
    <w:p>
      <w:pPr>
        <w:spacing w:after="0" w:line="3" w:lineRule="exact"/>
        <w:rPr>
          <w:sz w:val="20"/>
          <w:szCs w:val="20"/>
          <w:color w:val="auto"/>
        </w:rPr>
      </w:pPr>
    </w:p>
    <w:p>
      <w:pPr>
        <w:ind w:left="120" w:right="20" w:hanging="4"/>
        <w:spacing w:after="0" w:line="25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to Opco and its subsidiaries and (ii) after the Closing, to Bakkt Holdings, Inc. and its subsidiaries, including Opco. In connection with the transactions contemplated by the Merger Agreement (the “Business Combination”), the Company effected a deregistration under the Cayman Islands Companies Law (2020 Revision) and a domestication under Section 388 of the Delaware General Corporation Law (“DGCL”), pursuant to which the Company’s jurisdiction of incorporation was changed from the Cayman Islands to the State of Delaware and changed its name to “Bakkt Holdings, Inc.”</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domestication, (i) all 12,285,160 outstanding Class A ordinary shares of the Company, par value $0.0001 per share, and 5,184,300 Class B ordinary shares of the Company, par value $0.0001 per share, issued to the Sponsor and certain of its affiliates, were exchanged for an equivalent number of shares of Class A Common Stock and (ii) all 10,368,601 outstanding warrants to purchase Class A ordinary shares at $11.50 per share issued in connection with the Company’s initial public offering (the “IPO”) and the 6,147,440 warrants issued to the Sponsor in a private placement concurrently with the IPO (the “Private Placement Warrants”) were exchanged for an equivalent number of Warrants to purchase Class A Common Stock. On November 17, 2021, in accordance with the terms of the Warrant Agreement governing the Company’s warrants (as amended, the “Warrant Agreement”), the Company issued and delivered the Private Warrant Shares to the Sponsor in satisfaction of the “cashless exercise” of all 6,147,440 of the Private Placement Warrants. The Company received no consideration from the delivery of the Private Warrant Shares.</w:t>
      </w:r>
    </w:p>
    <w:p>
      <w:pPr>
        <w:spacing w:after="0" w:line="19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At the Closing, in accordance with the Merger Agreement, Opco equity holders (the “Opco Equity Holders”) received an aggregate of 208,200,000 common units of Opco (“Opco Common Units”) and a corresponding number of shares of Class V common stock, par value $0.0001 per share, of the Company (“Class V Common Stock,” and each share of Class V Common Stock, when coupled with one Opco Common Unit, a “Paired Interest”) or warrants to purchase Opco Common Units and an equal number of Class V Common Stock. Pursuant to the Third Amended and Restated LLC Agreement of Opco (the “Opco LLC Agreement”), and an exchange agreement among the Company, Opco and the Opco Equity Holders (the “Exchange Agreement”), each entered into in connection with the Business Combination, each Paired Interest may be exchanged for one share of Class A Common Stock or a specified cash amount, subject to certain limitations. Also concurrently with the Closing, the Company entered into a Registration Rights Agreement (the “Registration Rights Agreement”) with the Sponsor, the Opco Equity Holders and certain other parties named therein, pursuant to which we gave certain registration rights to the Opco Equity Holders.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certain qualified institutional buyers and accredited investors (the “PIPE Investors”) purchased the PIPE Shares from the Company for a purchase price of $10.00 per share and an aggregate purchase price of $325 million (the “PIPE Financing”), pursuant to Subscription Agreements between the several PIPE Investors and the Company (the “Subscription Agreements”). Pursuant to the Subscription Agreements, the Company gave certain registration rights to the PIPE Investors with respect to the PIPE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into this prospectus. It does not contain all the information you should consider before investing in our securities. Before making an investment decision, you should read this entire prospectus carefully, including the sections titled “Risk Factors,” and in the documents we have incorporated by reference in this prospectus, along with our consolidated financial statements and related notes and other information that we incorporate by reference herein, including our most recent Annual Report on Form 10-K and our Quarterly Reports on Form 10-Q filed subsequently to such Form 10-K. For certain defined terms and background information, please see “About this Prospectus.”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640" w:right="340" w:hanging="289"/>
        <w:spacing w:after="0" w:line="284"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 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640" w:right="160" w:hanging="289"/>
        <w:spacing w:after="0" w:line="284"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simple, 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640" w:right="80" w:hanging="289"/>
        <w:spacing w:after="0" w:line="315" w:lineRule="auto"/>
        <w:tabs>
          <w:tab w:leader="none" w:pos="1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Crypto Rewards</w:t>
      </w:r>
      <w:r>
        <w:rPr>
          <w:rFonts w:ascii="Times New Roman" w:cs="Times New Roman" w:eastAsia="Times New Roman" w:hAnsi="Times New Roman"/>
          <w:sz w:val="17"/>
          <w:szCs w:val="17"/>
          <w:color w:val="auto"/>
        </w:rPr>
        <w:t>. We are in the process of enabling clients of all sizes to offer loyalty and rewards to their customers in the 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crypto – either by earning crypto rewards, or by redeeming existing reward currencies, such as points or miles, into crypto.</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640" w:hanging="289"/>
        <w:spacing w:after="0" w:line="266"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18"/>
          <w:szCs w:val="18"/>
          <w:color w:val="auto"/>
        </w:rPr>
        <w:t>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jc w:val="both"/>
        <w:ind w:left="300" w:right="80" w:firstLine="426"/>
        <w:spacing w:after="0" w:line="289" w:lineRule="auto"/>
        <w:rPr>
          <w:sz w:val="20"/>
          <w:szCs w:val="20"/>
          <w:color w:val="auto"/>
        </w:rPr>
      </w:pPr>
      <w:r>
        <w:rPr>
          <w:rFonts w:ascii="Times New Roman" w:cs="Times New Roman" w:eastAsia="Times New Roman" w:hAnsi="Times New Roman"/>
          <w:sz w:val="17"/>
          <w:szCs w:val="17"/>
          <w:color w:val="auto"/>
        </w:rPr>
        <w:t>For additional information, please see our Amended Form 10-Q, filed on February 7, 2024, that (i) amends and restates the disclosure in Part II, Item 1A “Risk Factors” to, among the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hanging="289"/>
        <w:spacing w:after="0"/>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640" w:right="280" w:hanging="289"/>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640" w:right="60" w:hanging="289"/>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640" w:right="540" w:hanging="289"/>
        <w:spacing w:after="0" w:line="26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640" w:right="180" w:hanging="289"/>
        <w:spacing w:after="0" w:line="258"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8" w:lineRule="exact"/>
        <w:rPr>
          <w:rFonts w:ascii="Times New Roman" w:cs="Times New Roman" w:eastAsia="Times New Roman" w:hAnsi="Times New Roman"/>
          <w:sz w:val="18"/>
          <w:szCs w:val="18"/>
          <w:color w:val="auto"/>
        </w:rPr>
      </w:pPr>
    </w:p>
    <w:p>
      <w:pPr>
        <w:ind w:left="1640" w:right="120" w:hanging="289"/>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64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67" w:lineRule="exact"/>
        <w:rPr>
          <w:rFonts w:ascii="Times New Roman" w:cs="Times New Roman" w:eastAsia="Times New Roman" w:hAnsi="Times New Roman"/>
          <w:sz w:val="18"/>
          <w:szCs w:val="18"/>
          <w:color w:val="auto"/>
        </w:rPr>
      </w:pPr>
    </w:p>
    <w:p>
      <w:pPr>
        <w:ind w:left="1640" w:right="30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640" w:right="32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64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640" w:right="680" w:hanging="289"/>
        <w:spacing w:after="0" w:line="282"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640" w:right="40" w:hanging="289"/>
        <w:spacing w:after="0" w:line="282"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320" w:top="455"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180" w:hanging="289"/>
        <w:spacing w:after="0" w:line="266"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640" w:right="180" w:hanging="289"/>
        <w:spacing w:after="0" w:line="282"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640" w:right="360" w:hanging="289"/>
        <w:spacing w:after="0" w:line="282" w:lineRule="auto"/>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640" w:right="620" w:hanging="289"/>
        <w:spacing w:after="0" w:line="282" w:lineRule="auto"/>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640" w:hanging="289"/>
        <w:spacing w:after="0" w:line="266"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67" w:lineRule="exact"/>
        <w:rPr>
          <w:sz w:val="20"/>
          <w:szCs w:val="20"/>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only two years of audited financial statements and related financial disclosure;</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Public Company Accounting Oversight Board, or PCAOB, regarding the communication of critical audit matters in the auditor’s report on the financial statements;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801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$1.235 billion in annual revenue; (2) the date we qualify as a “large accelerated filer, “ with at least $700.0 million of equity securities held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non-affiliates; (3) the date on which we have issued more than $1.0 billion in non-convertible debt securities during the prior three-year period;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 the last day of the fiscal year ending after the fifth anniversary of the IPO.</w:t>
      </w:r>
    </w:p>
    <w:p>
      <w:pPr>
        <w:spacing w:after="0" w:line="207"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As a result of this status, we have taken advantage of reduced reporting requirements in the documents incorporated by reference in this prospectus and may elect to take advantage of other reduced reporting requirements in our future filings with the SEC. In particular, in the documents incorporated by reference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92"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promulgated under the Securities Exchange Act of 1934, as amended (the “Exchange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820" w:type="dxa"/>
            <w:vAlign w:val="bottom"/>
            <w:tcBorders>
              <w:top w:val="single" w:sz="8" w:color="auto"/>
              <w:left w:val="single" w:sz="8" w:color="auto"/>
            </w:tcBorders>
          </w:tcPr>
          <w:p>
            <w:pPr>
              <w:spacing w:after="0"/>
              <w:rPr>
                <w:sz w:val="24"/>
                <w:szCs w:val="24"/>
                <w:color w:val="auto"/>
              </w:rPr>
            </w:pPr>
          </w:p>
        </w:tc>
        <w:tc>
          <w:tcPr>
            <w:tcW w:w="72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Hereunder</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We are registering the issuance by us and the resale by the Selling Securityholders of up to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172,281,016 shares Class A Common Stock issuable upon the exchange of an equal</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number of Paired Interests. We are also registering the resale by the Selling Securityholders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of (i) 4,798,470 PIPE Shares, (ii) 2,235,441 shares of Class A Common Stock issued in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respect of Founder Shares and (iii) 1,196,997 shares of Class A Common Stock previously</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issued upon the exchange of an equal number of Paired Interests.</w:t>
            </w:r>
          </w:p>
        </w:tc>
      </w:tr>
      <w:tr>
        <w:trPr>
          <w:trHeight w:val="441"/>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All aforementioned shares of Common Stock were initially registered in our Initial</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Registration Statement, and no new shares are being registered hereunder.</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w:t>
            </w:r>
          </w:p>
        </w:tc>
      </w:tr>
      <w:tr>
        <w:trPr>
          <w:trHeight w:val="214"/>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be sold by the Selling Securityholders for their respective accounts. We will not receive</w:t>
            </w:r>
          </w:p>
        </w:tc>
      </w:tr>
      <w:tr>
        <w:trPr>
          <w:trHeight w:val="218"/>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any of the proceeds from the sale of the securities hereunder.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more information.</w:t>
            </w:r>
          </w:p>
        </w:tc>
      </w:tr>
      <w:tr>
        <w:trPr>
          <w:trHeight w:val="459"/>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Outstanding</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95,418,117 shares of Class A Common Stock as of February 1, 2024.</w:t>
            </w:r>
          </w:p>
        </w:tc>
      </w:tr>
      <w:tr>
        <w:trPr>
          <w:trHeight w:val="454"/>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179,883,479 shares of Class V Common Stock (which, together with an equal number of</w:t>
            </w:r>
          </w:p>
        </w:tc>
      </w:tr>
      <w:tr>
        <w:trPr>
          <w:trHeight w:val="214"/>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Opco Common Units comprise an equal number of Paired Interests, please see</w:t>
            </w:r>
          </w:p>
        </w:tc>
      </w:tr>
      <w:tr>
        <w:trPr>
          <w:trHeight w:val="236"/>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Securities—Common Stock</w:t>
            </w:r>
            <w:r>
              <w:rPr>
                <w:rFonts w:ascii="Times New Roman" w:cs="Times New Roman" w:eastAsia="Times New Roman" w:hAnsi="Times New Roman"/>
                <w:sz w:val="18"/>
                <w:szCs w:val="18"/>
                <w:color w:val="auto"/>
              </w:rPr>
              <w:t>” for more information) as of February 1, 2024.</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or incorporated by reference in this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prospectus for a discussion of factors that you should consider carefully before deciding to</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459"/>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NYSE Symbol</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“BKKT” for our Class A Common Stock and “BKKT WS” for our Warrants.</w:t>
            </w:r>
          </w:p>
        </w:tc>
      </w:tr>
      <w:tr>
        <w:trPr>
          <w:trHeight w:val="172"/>
        </w:trPr>
        <w:tc>
          <w:tcPr>
            <w:tcW w:w="3820" w:type="dxa"/>
            <w:vAlign w:val="bottom"/>
            <w:tcBorders>
              <w:left w:val="single" w:sz="8" w:color="auto"/>
              <w:bottom w:val="single" w:sz="8" w:color="auto"/>
            </w:tcBorders>
          </w:tcPr>
          <w:p>
            <w:pPr>
              <w:spacing w:after="0"/>
              <w:rPr>
                <w:sz w:val="14"/>
                <w:szCs w:val="14"/>
                <w:color w:val="auto"/>
              </w:rPr>
            </w:pPr>
          </w:p>
        </w:tc>
        <w:tc>
          <w:tcPr>
            <w:tcW w:w="7200" w:type="dxa"/>
            <w:vAlign w:val="bottom"/>
            <w:tcBorders>
              <w:bottom w:val="single" w:sz="8" w:color="auto"/>
              <w:right w:val="single" w:sz="8" w:color="auto"/>
            </w:tcBorders>
          </w:tcPr>
          <w:p>
            <w:pPr>
              <w:spacing w:after="0"/>
              <w:rPr>
                <w:sz w:val="14"/>
                <w:szCs w:val="14"/>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consider carefully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r>
        <w:rPr>
          <w:rFonts w:ascii="Times New Roman" w:cs="Times New Roman" w:eastAsia="Times New Roman" w:hAnsi="Times New Roman"/>
          <w:sz w:val="18"/>
          <w:szCs w:val="18"/>
          <w:color w:val="auto"/>
        </w:rPr>
        <w:t>” in our Quarterly Reports on Form 10-Q filed subsequently to such Form 10-K that are incorporated herein by reference,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superseded from time to time by other reports we file with the SEC in the future,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The risks described in these documents are not the only ones we face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320" w:top="455"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This prospectus relates to the issuance by us and the resale by the Selling Securityholders of up to 172,281,016 shares Class A Common Stock issuable upon the exchange of an equal number of Paired Interests. This prospectus also relates to the resale by the Selling Securityholders of (i) 4,798,470 PIPE Shares, (ii) 2,235,441 Shares of Class A Common Stock issued in respect of Founder Shares and (iii) 1,196,997 shares of Class A Common Stock previously issued upon the exchange of an equal number of Paired Interests, which we are registering pursuant to the Registration Rights Agreement and the Subscription Agreements, as applicable.</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Selling Securityholders may from time to time offer and sell any or all of the Class A Common Stock set forth below pursuant to this prospectus and any accompanying prospectus supplement. When we refer to the “Selling Securityholders”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other than through a public sale. We cannot advise you as to whether the Selling Securityholders will in fact sell any or all of such Class A Common Stock. In addition, the Selling Securityholders may sell, transfer or otherwise dispose of, at any time and from time to time, the Class A Common Stock in transactions exempt from the registration requirements of the Securities Act of 1933, as amended (the “Securities Act”), after the date of this prospectus. For purposes of this table, we have assumed that the Selling Securityholders will have sold all of the Securities covered by this prospectus upon the completion of the offering.</w:t>
      </w:r>
    </w:p>
    <w:p>
      <w:pPr>
        <w:spacing w:after="0" w:line="170"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For information regarding transactions between us and the Selling Securityholders, see the section titled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of our proxy statement filed with the SEC on April 28, 2022, which is incorporated by reference herein.</w:t>
      </w:r>
    </w:p>
    <w:p>
      <w:pPr>
        <w:spacing w:after="0" w:line="16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color w:val="auto"/>
        </w:rPr>
        <w:t>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February 1, 2024, the names of the Selling Securityholders, the aggregate number of shares of Class A Common Stock that the Selling Securityholders may offer pursuant to this prospectus, the beneficial ownership of the Selling Securityholders both before and after the offering, and the shares of Class A Common Stock being offered by the Selling Securityholders. The following table does not reflect any other Company securities that the Selling Securityholder may own, beneficially or otherwise. 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purposes of the table below, we have assumed that all of the shares covered by this prospectus will be sold and that the Company will deliver shares of Class A Common Stock upon exchange of all Paired Interests.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60" w:type="dxa"/>
            <w:vAlign w:val="bottom"/>
            <w:gridSpan w:val="2"/>
            <w:vMerge w:val="continue"/>
          </w:tcPr>
          <w:p>
            <w:pPr>
              <w:spacing w:after="0"/>
              <w:rPr>
                <w:sz w:val="12"/>
                <w:szCs w:val="12"/>
                <w:color w:val="auto"/>
              </w:rPr>
            </w:pPr>
          </w:p>
        </w:tc>
        <w:tc>
          <w:tcPr>
            <w:tcW w:w="15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of</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Record Prior</w:t>
            </w: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4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54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Held of Record</w:t>
            </w:r>
          </w:p>
        </w:tc>
        <w:tc>
          <w:tcPr>
            <w:tcW w:w="0" w:type="dxa"/>
            <w:vAlign w:val="bottom"/>
          </w:tcPr>
          <w:p>
            <w:pPr>
              <w:spacing w:after="0"/>
              <w:rPr>
                <w:sz w:val="1"/>
                <w:szCs w:val="1"/>
                <w:color w:val="auto"/>
              </w:rPr>
            </w:pPr>
          </w:p>
        </w:tc>
      </w:tr>
      <w:tr>
        <w:trPr>
          <w:trHeight w:val="167"/>
        </w:trPr>
        <w:tc>
          <w:tcPr>
            <w:tcW w:w="5680" w:type="dxa"/>
            <w:vAlign w:val="bottom"/>
            <w:gridSpan w:val="2"/>
            <w:vMerge w:val="continue"/>
          </w:tcPr>
          <w:p>
            <w:pPr>
              <w:spacing w:after="0"/>
              <w:rPr>
                <w:sz w:val="14"/>
                <w:szCs w:val="14"/>
                <w:color w:val="auto"/>
              </w:rPr>
            </w:pPr>
          </w:p>
        </w:tc>
        <w:tc>
          <w:tcPr>
            <w:tcW w:w="14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540" w:type="dxa"/>
            <w:vAlign w:val="bottom"/>
            <w:gridSpan w:val="4"/>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48"/>
        </w:trPr>
        <w:tc>
          <w:tcPr>
            <w:tcW w:w="1920" w:type="dxa"/>
            <w:vAlign w:val="bottom"/>
            <w:tcBorders>
              <w:top w:val="single" w:sz="8" w:color="auto"/>
            </w:tcBorders>
          </w:tcPr>
          <w:p>
            <w:pPr>
              <w:spacing w:after="0"/>
              <w:rPr>
                <w:sz w:val="12"/>
                <w:szCs w:val="12"/>
                <w:color w:val="auto"/>
              </w:rPr>
            </w:pPr>
          </w:p>
        </w:tc>
        <w:tc>
          <w:tcPr>
            <w:tcW w:w="37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Intercontinental Exchange Holdings, Inc.</w:t>
            </w:r>
            <w:r>
              <w:rPr>
                <w:rFonts w:ascii="Times New Roman" w:cs="Times New Roman" w:eastAsia="Times New Roman" w:hAnsi="Times New Roman"/>
                <w:sz w:val="24"/>
                <w:szCs w:val="24"/>
                <w:color w:val="auto"/>
                <w:vertAlign w:val="superscript"/>
              </w:rPr>
              <w:t>(1)</w:t>
            </w:r>
          </w:p>
        </w:tc>
        <w:tc>
          <w:tcPr>
            <w:tcW w:w="144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174,793,798</w:t>
            </w:r>
          </w:p>
        </w:tc>
        <w:tc>
          <w:tcPr>
            <w:tcW w:w="146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174,793,798</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VPC Impact Acquisition Holdings Sponsor, LLC</w:t>
            </w:r>
            <w:r>
              <w:rPr>
                <w:rFonts w:ascii="Times New Roman" w:cs="Times New Roman" w:eastAsia="Times New Roman" w:hAnsi="Times New Roman"/>
                <w:sz w:val="25"/>
                <w:szCs w:val="25"/>
                <w:color w:val="auto"/>
                <w:vertAlign w:val="superscript"/>
              </w:rPr>
              <w:t>(2)</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2,099,390</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2,099,390</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Beaumont Glory Limited</w:t>
            </w:r>
            <w:r>
              <w:rPr>
                <w:rFonts w:ascii="Times New Roman" w:cs="Times New Roman" w:eastAsia="Times New Roman" w:hAnsi="Times New Roman"/>
                <w:sz w:val="25"/>
                <w:szCs w:val="25"/>
                <w:color w:val="auto"/>
                <w:vertAlign w:val="superscript"/>
              </w:rPr>
              <w:t>(3)</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2,263,876</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2,263,876</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Galaxy Digital Ventures LLC</w:t>
            </w:r>
            <w:r>
              <w:rPr>
                <w:rFonts w:ascii="Times New Roman" w:cs="Times New Roman" w:eastAsia="Times New Roman" w:hAnsi="Times New Roman"/>
                <w:sz w:val="25"/>
                <w:szCs w:val="25"/>
                <w:color w:val="auto"/>
                <w:vertAlign w:val="superscript"/>
              </w:rPr>
              <w:t>(4)</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1,100,777</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1,100,777</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Securityholders Affiliated with CMT</w:t>
            </w:r>
            <w:r>
              <w:rPr>
                <w:rFonts w:ascii="Times New Roman" w:cs="Times New Roman" w:eastAsia="Times New Roman" w:hAnsi="Times New Roman"/>
                <w:sz w:val="25"/>
                <w:szCs w:val="25"/>
                <w:color w:val="auto"/>
                <w:vertAlign w:val="superscript"/>
              </w:rPr>
              <w:t>(5)</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644,608</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644,608</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Eagle Seven Digital Investments, LLC</w:t>
            </w:r>
            <w:r>
              <w:rPr>
                <w:rFonts w:ascii="Times New Roman" w:cs="Times New Roman" w:eastAsia="Times New Roman" w:hAnsi="Times New Roman"/>
                <w:sz w:val="25"/>
                <w:szCs w:val="25"/>
                <w:color w:val="auto"/>
                <w:vertAlign w:val="superscript"/>
              </w:rPr>
              <w:t>(6)</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565,969</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565,969</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Marini</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6,232</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6,232</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Kurt Summers</w:t>
            </w:r>
            <w:r>
              <w:rPr>
                <w:rFonts w:ascii="Times New Roman" w:cs="Times New Roman" w:eastAsia="Times New Roman" w:hAnsi="Times New Roman"/>
                <w:sz w:val="25"/>
                <w:szCs w:val="25"/>
                <w:color w:val="auto"/>
                <w:vertAlign w:val="superscript"/>
              </w:rPr>
              <w:t>(7)</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Adrienne Harris</w:t>
            </w:r>
            <w:r>
              <w:rPr>
                <w:rFonts w:ascii="Times New Roman" w:cs="Times New Roman" w:eastAsia="Times New Roman" w:hAnsi="Times New Roman"/>
                <w:sz w:val="25"/>
                <w:szCs w:val="25"/>
                <w:color w:val="auto"/>
                <w:vertAlign w:val="superscript"/>
              </w:rPr>
              <w:t>(7)</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4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4,714,336 shares of Class A Common Stock held directly and (ii) 170,079,462 shares of Class A Common Stock that may be acquired upon the exchange of a corresponding number of Paired Interests. For information regarding the relationship between the Selling Securityholder and the Company, please see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of our proxy statement filed with the SEC on April 28, 2022, which is incorporated by reference herein.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62,322 shares of Class A Common Stock held directly and (ii) 2,201,554 shares of Class A Common Stock that may be acquired upon the exchange of a corresponding number of Paired Interests.</w:t>
      </w: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Michael Novogratz may be deemed the beneficial owner of the shares held directly by the Selling Securityholder.</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539,480 shares of Class A Common Stock held directly by CMT Digital Ventures Fund I LLC, (ii) 52,564 shares of Class A Common Stock held directly by CMT Capital Markets Trading 401(k) Plan #2B and (iii) 52,564 shares of Class A Common Stock held directly by MACWA 401(k) Plan (CMT).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Stuart Shalowitz may be deemed the beneficial owner of the shares held directly by the Selling Securityholder.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Securityholder was a member of the Board prior to the Business Combination.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and warrants is incorporated by reference to Exhibit 4.7 to our Annual Report on Form 10-K for the fiscal year ended December 31, 2022, filed with the SEC on March 24,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Class A Common Stock and warrants is American Stock Transfer &amp; Trust Company. The transfer agent and registrar’s address is 6201 15th Avenue, Brooklyn, New York 11219.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Class A Common Stock and Warrants are listed on the NYSE under the symbols “BKKT” and “BKKT WS,” respectively. The Class V Common Stock is not listed on any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the Company’s affiliates or persons selling shares of Class A Common Stock or Warrants on behalf of the Company’s affiliates are entitled to sell, within any three-month period, a number of shares that does not exceed the greater of:</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then outstanding equity securities of the same class;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Class A Common Stock or Warrants, as applicable, during the four calendar weeks preceding the date of filing of a notice on Form 144 with respect to the sale.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and so, Rule 144 is available for the resale of the above noted restricted securities, so long as the conditions in the third bullet above are satisfied as of that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by us and the resale by the Selling Securityholders of up to 172,281,016 shares Class A Common Stock issuable upon the exchange of an equal number of Paired Interests. This prospectus also relates to the resale by the Selling Securityholders of (i) 4,798,470 PIPE Shares, (ii) 2,235,441 shares of Class A Common Stock issued in respect of Founder Shares and (iii) 1,196,997 shares of Class A Common Stock previously issued upon the exchange of an equal number of Paired Interests.</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NYSE;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prospectus supplement hereto that provide for periodic sales of their securities on the basis of parameters described in such trading plans;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Securityholders.</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8"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each Subscription Agreement, we must use commercially reasonable efforts to keep the registration statement of which this prospectus constitutes a part effective until the earlier of (i) October 15,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2024, (ii) the date on which all shares issued pursuant the Subscription Agreements have been sold, and (iii) the first date on each subscriber named in such Subscription Agreement (“Subscriber”) can sell all of the shares purchased by such Subscriber under such Subscription Agreement (or shares received in exchange therefor, collectively, the “Subscribed Shares”)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Austin, Texas, which has acted as our counsel in connection with this offering, will pass upon the validity of our securities being offered by this prospectus.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38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Financials—SEC Filings</w:t>
      </w:r>
      <w:r>
        <w:rPr>
          <w:rFonts w:ascii="Times New Roman" w:cs="Times New Roman" w:eastAsia="Times New Roman" w:hAnsi="Times New Roman"/>
          <w:sz w:val="18"/>
          <w:szCs w:val="18"/>
          <w:color w:val="auto"/>
        </w:rPr>
        <w:t>,” the information that we file and furnish to the SEC as soon as reasonably practicable thereafter. Information contained on our website is not a part of or incorporated by reference into this prospectus.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You may inspect a copy of the registration statement through the SEC’s website, as provided above.</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modified or superseded for purposes of this prospectus to the extent that a statement contained in this prospectus or a subsequently filed document incorporated by reference modifies or replaces that statement.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5">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6">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57">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28"/>
        </w:numPr>
        <w:rPr>
          <w:rFonts w:ascii="Times New Roman" w:cs="Times New Roman" w:eastAsia="Times New Roman" w:hAnsi="Times New Roman"/>
          <w:sz w:val="17"/>
          <w:szCs w:val="17"/>
          <w:color w:val="000000"/>
        </w:rPr>
      </w:pPr>
      <w:hyperlink r:id="rId58">
        <w:r>
          <w:rPr>
            <w:rFonts w:ascii="Times New Roman" w:cs="Times New Roman" w:eastAsia="Times New Roman" w:hAnsi="Times New Roman"/>
            <w:sz w:val="17"/>
            <w:szCs w:val="17"/>
            <w:color w:val="auto"/>
          </w:rPr>
          <w:t xml:space="preserve">our Quarterly Reports on Form 10-Q for the quarterly periods ended March 31, 2023 and June 30, 2023, filed with the SEC on </w:t>
        </w:r>
        <w:r>
          <w:rPr>
            <w:rFonts w:ascii="Times New Roman" w:cs="Times New Roman" w:eastAsia="Times New Roman" w:hAnsi="Times New Roman"/>
            <w:sz w:val="17"/>
            <w:szCs w:val="17"/>
            <w:u w:val="single" w:color="auto"/>
            <w:color w:val="0000EE"/>
          </w:rPr>
          <w:t>May 11,</w:t>
        </w:r>
      </w:hyperlink>
      <w:r>
        <w:rPr>
          <w:rFonts w:ascii="Times New Roman" w:cs="Times New Roman" w:eastAsia="Times New Roman" w:hAnsi="Times New Roman"/>
          <w:sz w:val="17"/>
          <w:szCs w:val="17"/>
          <w:color w:val="auto"/>
        </w:rPr>
        <w:t xml:space="preserve"> </w:t>
      </w:r>
      <w:hyperlink r:id="rId58">
        <w:r>
          <w:rPr>
            <w:rFonts w:ascii="Times New Roman" w:cs="Times New Roman" w:eastAsia="Times New Roman" w:hAnsi="Times New Roman"/>
            <w:sz w:val="17"/>
            <w:szCs w:val="17"/>
            <w:u w:val="single" w:color="auto"/>
            <w:color w:val="0000EE"/>
          </w:rPr>
          <w:t>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59">
        <w:r>
          <w:rPr>
            <w:rFonts w:ascii="Times New Roman" w:cs="Times New Roman" w:eastAsia="Times New Roman" w:hAnsi="Times New Roman"/>
            <w:sz w:val="17"/>
            <w:szCs w:val="17"/>
            <w:u w:val="single" w:color="auto"/>
            <w:color w:val="0000EE"/>
          </w:rPr>
          <w:t>August 10, 2023</w:t>
        </w:r>
      </w:hyperlink>
      <w:hyperlink r:id="rId58">
        <w:r>
          <w:rPr>
            <w:rFonts w:ascii="Times New Roman" w:cs="Times New Roman" w:eastAsia="Times New Roman" w:hAnsi="Times New Roman"/>
            <w:sz w:val="17"/>
            <w:szCs w:val="17"/>
            <w:color w:val="000000"/>
          </w:rPr>
          <w:t xml:space="preserve">, respectively, and our Quarterly Report on Form 10-Q for the quarterly period ended September 30, 2023, </w:t>
        </w:r>
      </w:hyperlink>
      <w:r>
        <w:rPr>
          <w:rFonts w:ascii="Times New Roman" w:cs="Times New Roman" w:eastAsia="Times New Roman" w:hAnsi="Times New Roman"/>
          <w:sz w:val="17"/>
          <w:szCs w:val="17"/>
          <w:color w:val="0000EE"/>
        </w:rPr>
        <w:t xml:space="preserve">filed </w:t>
      </w:r>
      <w:r>
        <w:rPr>
          <w:rFonts w:ascii="Times New Roman" w:cs="Times New Roman" w:eastAsia="Times New Roman" w:hAnsi="Times New Roman"/>
          <w:sz w:val="17"/>
          <w:szCs w:val="17"/>
          <w:color w:val="000000"/>
        </w:rPr>
        <w:t xml:space="preserve">with the SEC on </w:t>
      </w:r>
      <w:hyperlink r:id="rId60">
        <w:r>
          <w:rPr>
            <w:rFonts w:ascii="Times New Roman" w:cs="Times New Roman" w:eastAsia="Times New Roman" w:hAnsi="Times New Roman"/>
            <w:sz w:val="17"/>
            <w:szCs w:val="17"/>
            <w:u w:val="single" w:color="auto"/>
            <w:color w:val="0000EE"/>
          </w:rPr>
          <w:t>November 14, 2023</w:t>
        </w:r>
      </w:hyperlink>
      <w:r>
        <w:rPr>
          <w:rFonts w:ascii="Times New Roman" w:cs="Times New Roman" w:eastAsia="Times New Roman" w:hAnsi="Times New Roman"/>
          <w:sz w:val="17"/>
          <w:szCs w:val="17"/>
          <w:color w:val="000000"/>
        </w:rPr>
        <w:t xml:space="preserve">, as amended by our Quarterly Report on </w:t>
      </w:r>
      <w:hyperlink r:id="rId61">
        <w:r>
          <w:rPr>
            <w:rFonts w:ascii="Times New Roman" w:cs="Times New Roman" w:eastAsia="Times New Roman" w:hAnsi="Times New Roman"/>
            <w:sz w:val="17"/>
            <w:szCs w:val="17"/>
            <w:u w:val="single" w:color="auto"/>
            <w:color w:val="0000EE"/>
          </w:rPr>
          <w:t>Form 10-Q/A</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filed with the SEC on February 7, 2024;</w:t>
      </w:r>
    </w:p>
    <w:p>
      <w:pPr>
        <w:spacing w:after="0" w:line="63" w:lineRule="exact"/>
        <w:rPr>
          <w:rFonts w:ascii="Times New Roman" w:cs="Times New Roman" w:eastAsia="Times New Roman" w:hAnsi="Times New Roman"/>
          <w:sz w:val="17"/>
          <w:szCs w:val="17"/>
          <w:color w:val="000000"/>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2">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5">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66">
        <w:r>
          <w:rPr>
            <w:rFonts w:ascii="Times New Roman" w:cs="Times New Roman" w:eastAsia="Times New Roman" w:hAnsi="Times New Roman"/>
            <w:sz w:val="18"/>
            <w:szCs w:val="18"/>
            <w:u w:val="single" w:color="auto"/>
            <w:color w:val="0000EE"/>
          </w:rPr>
          <w:t>April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7">
        <w:r>
          <w:rPr>
            <w:rFonts w:ascii="Times New Roman" w:cs="Times New Roman" w:eastAsia="Times New Roman" w:hAnsi="Times New Roman"/>
            <w:sz w:val="18"/>
            <w:szCs w:val="18"/>
            <w:u w:val="single" w:color="auto"/>
            <w:color w:val="0000EE"/>
          </w:rPr>
          <w:t>April 18, 2023</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68">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58"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in connection with this registration statement and the listing of our Class A Common Stock and Warrants, other than underwriting discounts and commissions.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12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173"/>
        </w:trPr>
        <w:tc>
          <w:tcPr>
            <w:tcW w:w="6360" w:type="dxa"/>
            <w:vAlign w:val="bottom"/>
          </w:tcPr>
          <w:p>
            <w:pPr>
              <w:spacing w:after="0"/>
              <w:rPr>
                <w:sz w:val="15"/>
                <w:szCs w:val="15"/>
                <w:color w:val="auto"/>
              </w:rPr>
            </w:pPr>
          </w:p>
        </w:tc>
        <w:tc>
          <w:tcPr>
            <w:tcW w:w="112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or to be Paid</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$560,293.59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560,293.59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
        </w:trPr>
        <w:tc>
          <w:tcPr>
            <w:tcW w:w="636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7"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the Board.</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96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60" w:type="dxa"/>
            <w:vAlign w:val="bottom"/>
            <w:gridSpan w:val="8"/>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00" w:type="dxa"/>
            <w:vAlign w:val="bottom"/>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00" w:type="dxa"/>
            <w:vAlign w:val="bottom"/>
          </w:tcPr>
          <w:p>
            <w:pPr>
              <w:spacing w:after="0"/>
              <w:rPr>
                <w:sz w:val="23"/>
                <w:szCs w:val="23"/>
                <w:color w:val="auto"/>
              </w:rPr>
            </w:pPr>
          </w:p>
        </w:tc>
        <w:tc>
          <w:tcPr>
            <w:tcW w:w="9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Agreement and Plan of Merger, dated January 11, 2021, by and among the Company, Merger Sub, and the Company (incorporated by</w:t>
              </w:r>
            </w:hyperlink>
          </w:p>
        </w:tc>
        <w:tc>
          <w:tcPr>
            <w:tcW w:w="2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reference to Exhibit 2.1 to the Company’s Form 8-K filed with the SEC on January 11, 2021).</w:t>
              </w:r>
            </w:hyperlink>
          </w:p>
        </w:tc>
        <w:tc>
          <w:tcPr>
            <w:tcW w:w="3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Amendment to Agreement and Plan of Merger, dated March 30,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(incorporated by reference to Exhibit 2.1 to the Company’s Form 8-K filed with the SEC on March 31, 2021).</w:t>
              </w:r>
            </w:hyperlink>
          </w:p>
        </w:tc>
        <w:tc>
          <w:tcPr>
            <w:tcW w:w="1500" w:type="dxa"/>
            <w:vAlign w:val="bottom"/>
            <w:tcBorders>
              <w:top w:val="single" w:sz="8" w:color="0000EE"/>
            </w:tcBorders>
            <w:gridSpan w:val="2"/>
          </w:tcPr>
          <w:p>
            <w:pPr>
              <w:spacing w:after="0"/>
              <w:rPr>
                <w:sz w:val="17"/>
                <w:szCs w:val="17"/>
                <w:color w:val="auto"/>
              </w:rPr>
            </w:pPr>
          </w:p>
        </w:tc>
        <w:tc>
          <w:tcPr>
            <w:tcW w:w="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50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filed with the SEC on October 21, 2021).</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920" w:type="dxa"/>
            <w:vAlign w:val="bottom"/>
            <w:gridSpan w:val="19"/>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92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40" w:type="dxa"/>
            <w:vAlign w:val="bottom"/>
          </w:tcPr>
          <w:p>
            <w:pPr>
              <w:spacing w:after="0"/>
              <w:rPr>
                <w:sz w:val="23"/>
                <w:szCs w:val="23"/>
                <w:color w:val="auto"/>
              </w:rPr>
            </w:pPr>
          </w:p>
        </w:tc>
        <w:tc>
          <w:tcPr>
            <w:tcW w:w="9880" w:type="dxa"/>
            <w:vAlign w:val="bottom"/>
            <w:gridSpan w:val="23"/>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By-Laws of the Company, as currently in effect (incorporated by reference to Exhibit 3.2 to the Company’s Form 8-K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on October 21,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4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Specimen Class A Common Stock Certificate of the Company (incorporated by reference to Exhibit 3.2 to the Company’s Form 8-K</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filed with the SEC on October 21,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4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Specimen Warrant Certificate of the Company (incorporated by reference to Exhibit 4.2 to the Company’s Form 8-K filed with the SEC</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on October 21,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40" w:type="dxa"/>
            <w:vAlign w:val="bottom"/>
          </w:tcPr>
          <w:p>
            <w:pPr>
              <w:spacing w:after="0"/>
              <w:rPr>
                <w:sz w:val="24"/>
                <w:szCs w:val="24"/>
                <w:color w:val="auto"/>
              </w:rPr>
            </w:pPr>
          </w:p>
        </w:tc>
        <w:tc>
          <w:tcPr>
            <w:tcW w:w="95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Warrant Agreement, dated September 22, 2020, by and between the Company and Continental Stock Transfer &amp; Trust Company, as</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warrant agent (incorporated by reference to Exhibit 4.1 of the Company’s Form 8-K filed with the SEC on September 28, 2020).</w:t>
              </w:r>
            </w:hyperlink>
          </w:p>
        </w:tc>
        <w:tc>
          <w:tcPr>
            <w:tcW w:w="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40" w:type="dxa"/>
            <w:vAlign w:val="bottom"/>
          </w:tcPr>
          <w:p>
            <w:pPr>
              <w:spacing w:after="0"/>
              <w:rPr>
                <w:sz w:val="24"/>
                <w:szCs w:val="24"/>
                <w:color w:val="auto"/>
              </w:rPr>
            </w:pPr>
          </w:p>
        </w:tc>
        <w:tc>
          <w:tcPr>
            <w:tcW w:w="9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Third Amended and Restated Limited Liability Company Agreement, dated October 15, 2021, by and among Opco and the Opco</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Equity Holders (incorporated by reference to Exhibit 4.3 to the Company’s Form 8-K filed with the SEC on October 21,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640" w:type="dxa"/>
            <w:vAlign w:val="bottom"/>
          </w:tcPr>
          <w:p>
            <w:pPr>
              <w:spacing w:after="0"/>
              <w:rPr>
                <w:sz w:val="24"/>
                <w:szCs w:val="24"/>
                <w:color w:val="auto"/>
              </w:rPr>
            </w:pPr>
          </w:p>
        </w:tc>
        <w:tc>
          <w:tcPr>
            <w:tcW w:w="92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Registration Rights Agreement, dated as of April 1, 2023, by and between Bakkt Holdings, Inc. and Apex Fintech Solutions Inc.</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(incorporated by reference to Exhibit 4.1 to the Company’s Form 8-K filed with the SEC on April 3,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64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Amendment Agreement, dated as of August 9, 2023, by and among Bakkt Holdings, Inc., Apex Fintech Solutions Inc. and PEAK6</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Investments LLC (incorporated by reference to Exhibit 4.2 to the Company’s Form 10-Q filed with the SEC on August 10, 2023)</w:t>
              </w:r>
            </w:hyperlink>
          </w:p>
        </w:tc>
        <w:tc>
          <w:tcPr>
            <w:tcW w:w="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4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Opinion of Wilson Sonsini Goodrich &amp; Rosati, Professional Corporation (incorporated by reference to Exhibit 5.1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Registration Statement on Form S-1, as amended (File No. 333-261034) filed with the SEC on November 12, 2021).</w:t>
              </w:r>
            </w:hyperlink>
          </w:p>
        </w:tc>
        <w:tc>
          <w:tcPr>
            <w:tcW w:w="1140" w:type="dxa"/>
            <w:vAlign w:val="bottom"/>
            <w:tcBorders>
              <w:top w:val="single" w:sz="8" w:color="0000EE"/>
            </w:tcBorders>
            <w:gridSpan w:val="8"/>
          </w:tcPr>
          <w:p>
            <w:pPr>
              <w:spacing w:after="0"/>
              <w:rPr>
                <w:sz w:val="17"/>
                <w:szCs w:val="17"/>
                <w:color w:val="auto"/>
              </w:rPr>
            </w:pP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24"/>
                <w:szCs w:val="24"/>
                <w:color w:val="auto"/>
              </w:rPr>
            </w:pP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the Company.</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tcPr>
          <w:p>
            <w:pPr>
              <w:spacing w:after="0"/>
              <w:rPr>
                <w:sz w:val="24"/>
                <w:szCs w:val="24"/>
                <w:color w:val="auto"/>
              </w:rPr>
            </w:pP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VPC Impact Acquisition Holdings.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4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RSM US LLP, independent auditors of Bakkt Crypto Solutions, LLC (f/k/a Apex Crypto LLC).</w:t>
            </w:r>
          </w:p>
        </w:tc>
        <w:tc>
          <w:tcPr>
            <w:tcW w:w="1220" w:type="dxa"/>
            <w:vAlign w:val="bottom"/>
            <w:tcBorders>
              <w:top w:val="single" w:sz="8" w:color="0000EE"/>
            </w:tcBorders>
            <w:gridSpan w:val="2"/>
          </w:tcPr>
          <w:p>
            <w:pPr>
              <w:spacing w:after="0"/>
              <w:rPr>
                <w:sz w:val="24"/>
                <w:szCs w:val="24"/>
                <w:color w:val="auto"/>
              </w:rPr>
            </w:pPr>
          </w:p>
        </w:tc>
        <w:tc>
          <w:tcPr>
            <w:tcW w:w="9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64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Consent of Wilson Sonsini Goodrich &amp; Rosati, Professional Corporation (included in the opinion filed as Exhibit 5.1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Registration Statement on Form S-1 (File No. 333-261034) filed with the SEC on November 12, 2021).</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tcPr>
          <w:p>
            <w:pPr>
              <w:spacing w:after="0"/>
              <w:rPr>
                <w:sz w:val="24"/>
                <w:szCs w:val="24"/>
                <w:color w:val="auto"/>
              </w:rPr>
            </w:pPr>
          </w:p>
        </w:tc>
        <w:tc>
          <w:tcPr>
            <w:tcW w:w="97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Powers of Attorney (included on the signature page to the Company’s Registration Statement on Form S-1 (File No. 333-261034) filed</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with the SEC on November 12, 2021).</w:t>
              </w:r>
            </w:hyperlink>
          </w:p>
        </w:tc>
        <w:tc>
          <w:tcPr>
            <w:tcW w:w="71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64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Powers of Attorney (included as Exhibit 24.2 to Post-Effective Amendment No. 2 to this Registration Statement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April 20, 2023).</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60" w:right="40" w:hanging="1144"/>
        <w:spacing w:after="0" w:line="282" w:lineRule="auto"/>
        <w:tabs>
          <w:tab w:leader="none" w:pos="1260" w:val="left"/>
        </w:tabs>
        <w:numPr>
          <w:ilvl w:val="0"/>
          <w:numId w:val="32"/>
        </w:numPr>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Filing Fee Table (included as Exhibit 107 to Post-Effective Amendment No. 2 to this Registration Statement filed with the SEC on April</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20,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94"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4"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80"/>
        <w:spacing w:after="0" w:line="266" w:lineRule="auto"/>
        <w:rPr>
          <w:sz w:val="20"/>
          <w:szCs w:val="20"/>
          <w:color w:val="auto"/>
        </w:rPr>
      </w:pPr>
      <w:r>
        <w:rPr>
          <w:rFonts w:ascii="Times New Roman" w:cs="Times New Roman" w:eastAsia="Times New Roman" w:hAnsi="Times New Roman"/>
          <w:sz w:val="18"/>
          <w:szCs w:val="18"/>
          <w:color w:val="auto"/>
        </w:rPr>
        <w:t>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sz w:val="20"/>
          <w:szCs w:val="20"/>
          <w:color w:val="auto"/>
        </w:rPr>
      </w:pPr>
    </w:p>
    <w:p>
      <w:pPr>
        <w:ind w:left="1080" w:hanging="532"/>
        <w:spacing w:after="0" w:line="258"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Securities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8"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3 to this registration statement to be signed on its behalf by the undersigned, thereunto duly authorized in the City of Alpharetta, State of Georgia, on February 7,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7, 2024.</w:t>
      </w:r>
    </w:p>
    <w:p>
      <w:pPr>
        <w:sectPr>
          <w:pgSz w:w="11900" w:h="16838" w:orient="portrait"/>
          <w:cols w:equalWidth="0" w:num="1">
            <w:col w:w="11100"/>
          </w:cols>
          <w:pgMar w:left="320" w:top="455" w:right="479" w:bottom="1440" w:gutter="0" w:footer="0" w:header="0"/>
        </w:sectPr>
      </w:pP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 w:type="dxa"/>
            <w:vAlign w:val="bottom"/>
          </w:tcPr>
          <w:p>
            <w:pPr>
              <w:spacing w:after="0"/>
              <w:rPr>
                <w:sz w:val="16"/>
                <w:szCs w:val="16"/>
                <w:color w:val="auto"/>
              </w:rPr>
            </w:pPr>
          </w:p>
        </w:tc>
      </w:tr>
      <w:tr>
        <w:trPr>
          <w:trHeight w:val="412"/>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99"/>
              </w:rPr>
              <w:t>/s/ Gavin Michael</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Gavin Michael</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Karen Alexander</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Charles Goodroe</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Sean Collins</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David C. Clifton</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De’Ana Dow</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Richard Lumb</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Andrew A. Main</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8"/>
              </w:rPr>
              <w:t>Jill Simeone</w:t>
            </w:r>
          </w:p>
        </w:tc>
        <w:tc>
          <w:tcPr>
            <w:tcW w:w="40" w:type="dxa"/>
            <w:vAlign w:val="bottom"/>
          </w:tcPr>
          <w:p>
            <w:pPr>
              <w:spacing w:after="0"/>
              <w:rPr>
                <w:sz w:val="19"/>
                <w:szCs w:val="19"/>
                <w:color w:val="auto"/>
              </w:rPr>
            </w:pPr>
          </w:p>
        </w:tc>
      </w:tr>
      <w:tr>
        <w:trPr>
          <w:trHeight w:val="427"/>
        </w:trPr>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7"/>
              </w:rPr>
              <w:t>Gordon Watson</w:t>
            </w:r>
          </w:p>
        </w:tc>
        <w:tc>
          <w:tcPr>
            <w:tcW w:w="40" w:type="dxa"/>
            <w:vAlign w:val="bottom"/>
          </w:tcPr>
          <w:p>
            <w:pPr>
              <w:spacing w:after="0"/>
              <w:rPr>
                <w:sz w:val="19"/>
                <w:szCs w:val="19"/>
                <w:color w:val="auto"/>
              </w:rPr>
            </w:pPr>
          </w:p>
        </w:tc>
      </w:tr>
      <w:tr>
        <w:trPr>
          <w:trHeight w:val="42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Gavin Michael</w:t>
            </w:r>
          </w:p>
        </w:tc>
        <w:tc>
          <w:tcPr>
            <w:tcW w:w="40" w:type="dxa"/>
            <w:vAlign w:val="bottom"/>
            <w:tcBorders>
              <w:bottom w:val="single" w:sz="8" w:color="auto"/>
            </w:tcBorders>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6518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2">
            <w:col w:w="5200" w:space="180"/>
            <w:col w:w="5720"/>
          </w:cols>
          <w:pgMar w:left="320" w:top="455" w:right="47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Post-Effective Amendment No. 3 to the Form S-1 on Form S-3 Registration Statement (File No. 333-261034) and related Prospectus of Bakkt Holdings, Inc. for the registration of 180,511,924 shares of Class A common stock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to Post-Effective Amendment No. 3 to Form S-1 on Form S-3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3 to the Registration Statement (No.333-261034) to Form S-1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Roman"/>
      <w:start w:val="2"/>
    </w:lvl>
  </w:abstractNum>
  <w:abstractNum w:abstractNumId="1">
    <w:nsid w:val="257130A3"/>
    <w:multiLevelType w:val="hybridMultilevel"/>
    <w:lvl w:ilvl="0">
      <w:lvlJc w:val="left"/>
      <w:lvlText w:val="(%1)"/>
      <w:numFmt w:val="lowerRoman"/>
      <w:start w:val="1"/>
    </w:lvl>
  </w:abstractNum>
  <w:abstractNum w:abstractNumId="2">
    <w:nsid w:val="62BBD95A"/>
    <w:multiLevelType w:val="hybridMultilevel"/>
    <w:lvl w:ilvl="0">
      <w:lvlJc w:val="left"/>
      <w:lvlText w:val="(%1)"/>
      <w:numFmt w:val="lowerRoman"/>
      <w:start w:val="2"/>
    </w:lvl>
  </w:abstractNum>
  <w:abstractNum w:abstractNumId="3">
    <w:nsid w:val="436C6125"/>
    <w:multiLevelType w:val="hybridMultilevel"/>
    <w:lvl w:ilvl="0">
      <w:lvlJc w:val="left"/>
      <w:lvlText w:val="(%1)"/>
      <w:numFmt w:val="lowerRoman"/>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678"/>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07"/>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5072367"/>
    <w:multiLevelType w:val="hybridMultilevel"/>
    <w:lvl w:ilvl="0">
      <w:lvlJc w:val="left"/>
      <w:lvlText w:val="(%1)"/>
      <w:numFmt w:val="decimal"/>
      <w:start w:val="2"/>
    </w:lvl>
    <w:lvl w:ilvl="1">
      <w:lvlJc w:val="left"/>
      <w:lvlText w:val="(%2)"/>
      <w:numFmt w:val="lowerRoman"/>
      <w:start w:val="1"/>
    </w:lvl>
  </w:abstractNum>
  <w:abstractNum w:abstractNumId="35">
    <w:nsid w:val="3804823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6">
    <w:nsid w:val="77465F0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6"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55" Type="http://schemas.openxmlformats.org/officeDocument/2006/relationships/hyperlink" Target="http://www.sec.gov/ix?doc=/Archives/edgar/data/1820302/000182030223000016/bakkt-20221231.htm" TargetMode="External"/><Relationship Id="rId56" Type="http://schemas.openxmlformats.org/officeDocument/2006/relationships/hyperlink" Target="http://www.sec.gov/Archives/edgar/data/1820302/000182030223000043/bakkt-2023proxy41923.htm" TargetMode="External"/><Relationship Id="rId57" Type="http://schemas.openxmlformats.org/officeDocument/2006/relationships/hyperlink" Target="http://www.sec.gov/Archives/edgar/data/1820302/000182030223000016/bakkt-20221231.htm" TargetMode="External"/><Relationship Id="rId58" Type="http://schemas.openxmlformats.org/officeDocument/2006/relationships/hyperlink" Target="http://www.sec.gov/ix?doc=/Archives/edgar/data/1820302/000182030223000062/bakkt-20230331.htm" TargetMode="External"/><Relationship Id="rId59" Type="http://schemas.openxmlformats.org/officeDocument/2006/relationships/hyperlink" Target="http://www.sec.gov/ix?doc=/Archives/edgar/data/1820302/000182030223000080/bakkt-20230630.htm" TargetMode="External"/><Relationship Id="rId60" Type="http://schemas.openxmlformats.org/officeDocument/2006/relationships/hyperlink" Target="http://www.sec.gov/ix?doc=/Archives/edgar/data/1820302/000182030223000091/bakkt-20230930.htm" TargetMode="External"/><Relationship Id="rId61" Type="http://schemas.openxmlformats.org/officeDocument/2006/relationships/hyperlink" Target="http://www.sec.gov/ix?doc=/Archives/edgar/data/1820302/000182030224000011/bakkt-20230930.htm" TargetMode="External"/><Relationship Id="rId62" Type="http://schemas.openxmlformats.org/officeDocument/2006/relationships/hyperlink" Target="http://www.sec.gov/ix?doc=/Archives/edgar/data/1820302/000182030223000006/bakkt-20230309.htm" TargetMode="External"/><Relationship Id="rId63" Type="http://schemas.openxmlformats.org/officeDocument/2006/relationships/hyperlink" Target="http://www.sec.gov/ix?doc=/Archives/edgar/data/1820302/000119312523089016/d482123d8k.htm" TargetMode="External"/><Relationship Id="rId64" Type="http://schemas.openxmlformats.org/officeDocument/2006/relationships/hyperlink" Target="http://www.sec.gov/ix?doc=/Archives/edgar/data/0001820302/000182030223000033/bakkt-20230418.htm" TargetMode="External"/><Relationship Id="rId65" Type="http://schemas.openxmlformats.org/officeDocument/2006/relationships/hyperlink" Target="http://www.sec.gov/ix?doc=/Archives/edgar/data/1820302/000182030223000065/bakkt-20230606.htm" TargetMode="External"/><Relationship Id="rId66" Type="http://schemas.openxmlformats.org/officeDocument/2006/relationships/hyperlink" Target="http://www.sec.gov/ix?doc=/Archives/edgar/data/0001820302/000119312522096343/d322705d8ka.htm" TargetMode="External"/><Relationship Id="rId67" Type="http://schemas.openxmlformats.org/officeDocument/2006/relationships/hyperlink" Target="http://www.sec.gov/ix?doc=/Archives/edgar/data/0001820302/000182030223000030/bakkt-20230401.htm" TargetMode="External"/><Relationship Id="rId68" Type="http://schemas.openxmlformats.org/officeDocument/2006/relationships/hyperlink" Target="http://www.sec.gov/Archives/edgar/data/1820302/000119312521299620/d211377d8a12b.htm" TargetMode="External"/><Relationship Id="rId72" Type="http://schemas.openxmlformats.org/officeDocument/2006/relationships/hyperlink" Target="http://www.sec.gov/Archives/edgar/data/1820302/000119312521005832/d913171dex21.htm" TargetMode="External"/><Relationship Id="rId73" Type="http://schemas.openxmlformats.org/officeDocument/2006/relationships/hyperlink" Target="http://www.sec.gov/Archives/edgar/data/1820302/000119312521101249/d107545dex21.htm" TargetMode="External"/><Relationship Id="rId74" Type="http://schemas.openxmlformats.org/officeDocument/2006/relationships/hyperlink" Target="http://www.sec.gov/Archives/edgar/data/1820302/000119312521286927/d204551dex21.htm" TargetMode="External"/><Relationship Id="rId75" Type="http://schemas.openxmlformats.org/officeDocument/2006/relationships/hyperlink" Target="http://www.sec.gov/Archives/edgar/data/1820302/000119312521303985/d219325dex31.htm" TargetMode="External"/><Relationship Id="rId77" Type="http://schemas.openxmlformats.org/officeDocument/2006/relationships/hyperlink" Target="http://www.sec.gov/Archives/edgar/data/1820302/000119312521303985/d219325dex32.htm" TargetMode="External"/><Relationship Id="rId78" Type="http://schemas.openxmlformats.org/officeDocument/2006/relationships/hyperlink" Target="http://www.sec.gov/Archives/edgar/data/1820302/000119312521303985/d219325dex41.htm" TargetMode="External"/><Relationship Id="rId79" Type="http://schemas.openxmlformats.org/officeDocument/2006/relationships/hyperlink" Target="http://www.sec.gov/Archives/edgar/data/1820302/000119312521303985/d219325dex42.htm" TargetMode="External"/><Relationship Id="rId80" Type="http://schemas.openxmlformats.org/officeDocument/2006/relationships/hyperlink" Target="http://www.sec.gov/Archives/edgar/data/1820302/000119312520256308/d38926dex41.htm" TargetMode="External"/><Relationship Id="rId81" Type="http://schemas.openxmlformats.org/officeDocument/2006/relationships/hyperlink" Target="http://www.sec.gov/Archives/edgar/data/1820302/000119312521303985/d219325dex43.htm" TargetMode="External"/><Relationship Id="rId82" Type="http://schemas.openxmlformats.org/officeDocument/2006/relationships/hyperlink" Target="http://www.sec.gov/Archives/edgar/data/1820302/000119312523089016/d482123dex41.htm" TargetMode="External"/><Relationship Id="rId83" Type="http://schemas.openxmlformats.org/officeDocument/2006/relationships/hyperlink" Target="http://www.sec.gov/Archives/edgar/data/1820302/000182030223000080/exhibit42amendmentagreemen.htm" TargetMode="External"/><Relationship Id="rId84" Type="http://schemas.openxmlformats.org/officeDocument/2006/relationships/hyperlink" Target="http://www.sec.gov/Archives/edgar/data/1820302/000119312521328170/d226097dex51.htm" TargetMode="External"/><Relationship Id="rId85" Type="http://schemas.openxmlformats.org/officeDocument/2006/relationships/hyperlink" Target="http://www.sec.gov/Archives/edgar/data/0001820302/000119312521328170/d226097ds1.htm#sig" TargetMode="External"/><Relationship Id="rId86" Type="http://schemas.openxmlformats.org/officeDocument/2006/relationships/hyperlink" Target="http://www.sec.gov/Archives/edgar/data/1820302/000119312523108804/d474504dex242.htm" TargetMode="External"/><Relationship Id="rId87" Type="http://schemas.openxmlformats.org/officeDocument/2006/relationships/hyperlink" Target="http://www.sec.gov/Archives/edgar/data/1820302/000119312523108804/d47450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2024-02-07T16:35:48Z</dcterms:created>
  <dcterms:modified xsi:type="dcterms:W3CDTF">2024-02-07T16:35:48Z</dcterms:modified>
</cp:coreProperties>
</file>