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Victory Park Capital Advisors, LLC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North Riverside Plaza, Suite 5200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60606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VPC Impact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Holdings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333-254935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Zemnick: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16,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As it appears from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5 that you will be a controlled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following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combination, please add a risk factor that discusses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effect, risks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of being designated a controlled company.</w:t>
      </w: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Unaudited Pro Forma Condensed Combined Financial Information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Introduction, page 210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that Bakkt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Pubco will acquire a controlling interest in Bakkt and will be the accounting acquirer.</w:t>
      </w:r>
    </w:p>
    <w:p>
      <w:pPr>
        <w:ind w:left="120" w:right="327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you considered that since Bakkt Equity Holders Scott R. Zemnick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 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retain control over Bakkt Pubco, the transaction would be subject to guidance for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control transactions. That is, the combination would lack substance. Please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4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UNAUDITED PRO FORMA CONDENSED COMBINED FINANCIAL INFORMATION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Accounting Adjustments to Pro Forma Condensed Combined Balance Sheet,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in footnote (G) that there have been adjustments to historical mezzanine</w:t>
      </w:r>
    </w:p>
    <w:p>
      <w:pPr>
        <w:ind w:left="960"/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in Bakkt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historical financial statements. Please revise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 (G) to describe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terms for the incentive units.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why the non-controlling interest is classified as stockholder's equity instead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mezzanine or temporary equity. We note your disclosure that "each Bakkt Opco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Unit, when coupled with one Bakkt Pubco Class V Share may be exchanged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Bakkt Pubco Class A Share or the Cash Amount in accordance with and subject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Surviving Company LLC Agreement and the Exchange Agreement". It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appears that this equity may not be permanent since the Units can be exchanged for cash.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See ASC 480-10-S99. Please describe the terms and the accounting analysis that supports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factors affecting our performance, page 274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response to prior comment 9. Given that Bakkt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B2S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 appear to have engaged in operations, please tell us what operating metrics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regularly reviewed for Bakkt and B2S Holdings and what consideration was given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disclosing information about those metrics. Refer to Section III.B of SEC Release No. 33-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8350.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Corporate Structure, page 276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14 and references to the disclosure on page F-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45"/>
        <w:spacing w:after="0" w:line="235" w:lineRule="auto"/>
        <w:tabs>
          <w:tab w:leader="none" w:pos="1158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based on that disclosure a supplemental discussion based on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information is warranted, especially since Bakkt had negative revenues in 2019.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Further, presenting and analyzing pro forma revenue and cost of revenue seems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meaningful information in order to discuss the decrease in revenue as shown on your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F-40. The revenue discussed for 2020 is primarily that of Bridge2 Solutions. In light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factors, explain in greater detail why this pro forma information is not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R. Zemnick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an investor. In addition, please explain why Bridge2</w:t>
      </w:r>
    </w:p>
    <w:p>
      <w:pPr>
        <w:spacing w:after="0" w:line="238" w:lineRule="auto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Solutions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revenue of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  <w:tab/>
        <w:t>NameVPC</w:t>
      </w:r>
    </w:p>
    <w:p>
      <w:pPr>
        <w:ind w:left="74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$30,774K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Impact</w:t>
      </w:r>
    </w:p>
    <w:p>
      <w:pPr>
        <w:ind w:left="1900"/>
        <w:spacing w:after="0" w:line="238" w:lineRule="auto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Acquisition</w:t>
      </w:r>
    </w:p>
    <w:p>
      <w:pPr>
        <w:ind w:left="296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Bakkt's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Holdings</w:t>
      </w:r>
    </w:p>
    <w:p>
      <w:pPr>
        <w:ind w:left="4120"/>
        <w:spacing w:after="0" w:line="237" w:lineRule="auto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</w:t>
        <w:tab/>
        <w:t>statements of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February 22,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19,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through</w:t>
      </w:r>
    </w:p>
    <w:p>
      <w:pPr>
        <w:ind w:left="1060"/>
        <w:spacing w:after="0" w:line="238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  <w:tab/>
        <w:t>Page 2December 31, 2020 is more than Bakkt's reported revenue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$28,495K.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R. Zemnick</w:t>
      </w:r>
    </w:p>
    <w:p>
      <w:pPr>
        <w:spacing w:after="0"/>
        <w:tabs>
          <w:tab w:leader="none" w:pos="126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 Zemnick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VPC Impact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NameVPC Impact Acquisition Holdings</w:t>
      </w:r>
    </w:p>
    <w:p>
      <w:pPr>
        <w:jc w:val="center"/>
        <w:ind w:right="7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319,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Statements of Operations, page F-24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response to prior comments 17 and 20, you state that you apply the guidance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5-03 of Regulation S-X. However, this does not appear to be the case given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explain that you do not operate your business in a manner that allows costs to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distinguished between their nature and function and you continue to present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expenses by nature and function. Please explain how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126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and benefits expense complies with Rule 5-03 of Regulation S-X when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expenses are not allocated across your other operating expenses. The amounts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should be allocated on a reasonable basis in order to comply with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LLC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13. Fair Value Measurements, page F-57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19 states that "Bitcoin that Bakkt holds in a custodial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capacity on behalf of its customers are not included in Bakkt s consolidated balance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sheets". Please provide an analysis of whether you have legal and accounting control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Bitcoin. That is, explain in greater detail why the Bitcoin is an off-balance sheet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asset. See ASC 606-10-55-36 and 36A.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Amanda Kim, Senior Staff Accountant, at (202) 551-3241 or Stephen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Jan Woo, Legal Branch Chief,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551-3453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Era Anagnosti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38E1F29"/>
    <w:multiLevelType w:val="hybridMultilevel"/>
    <w:lvl w:ilvl="0">
      <w:lvlJc w:val="left"/>
      <w:lvlText w:val="%1"/>
      <w:numFmt w:val="decimal"/>
      <w:start w:val="216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%2."/>
      <w:numFmt w:val="decimal"/>
      <w:start w:val="40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7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8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2022-03-08T21:36:45Z</dcterms:created>
  <dcterms:modified xsi:type="dcterms:W3CDTF">2022-03-08T21:36:45Z</dcterms:modified>
</cp:coreProperties>
</file>