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1442720</wp:posOffset>
            </wp:positionH>
            <wp:positionV relativeFrom="page">
              <wp:posOffset>1049020</wp:posOffset>
            </wp:positionV>
            <wp:extent cx="466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1075055</wp:posOffset>
            </wp:positionV>
            <wp:extent cx="466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jc w:val="center"/>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55880</wp:posOffset>
            </wp:positionV>
            <wp:extent cx="25031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83820</wp:posOffset>
            </wp:positionV>
            <wp:extent cx="25031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jc w:val="center"/>
        <w:spacing w:after="0" w:line="204" w:lineRule="auto"/>
        <w:rPr>
          <w:sz w:val="20"/>
          <w:szCs w:val="20"/>
          <w:color w:val="auto"/>
        </w:rPr>
      </w:pPr>
      <w:r>
        <w:rPr>
          <w:rFonts w:ascii="Arial" w:cs="Arial" w:eastAsia="Arial" w:hAnsi="Arial"/>
          <w:sz w:val="22"/>
          <w:szCs w:val="22"/>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jc w:val="center"/>
        <w:spacing w:after="0"/>
        <w:rPr>
          <w:sz w:val="20"/>
          <w:szCs w:val="20"/>
          <w:color w:val="auto"/>
        </w:rPr>
      </w:pPr>
      <w:r>
        <w:rPr>
          <w:rFonts w:ascii="Arial" w:cs="Arial" w:eastAsia="Arial" w:hAnsi="Arial"/>
          <w:sz w:val="22"/>
          <w:szCs w:val="22"/>
          <w:b w:val="1"/>
          <w:bCs w:val="1"/>
          <w:color w:val="auto"/>
        </w:rPr>
        <w:t>August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55880</wp:posOffset>
            </wp:positionV>
            <wp:extent cx="25031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Bakkt Holdings, Inc.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55880</wp:posOffset>
            </wp:positionV>
            <wp:extent cx="2503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12" w:lineRule="exact"/>
        <w:rPr>
          <w:sz w:val="24"/>
          <w:szCs w:val="24"/>
          <w:color w:val="auto"/>
        </w:rPr>
      </w:pPr>
    </w:p>
    <w:tbl>
      <w:tblPr>
        <w:tblLayout w:type="fixed"/>
        <w:tblInd w:w="980" w:type="dxa"/>
        <w:tblCellMar>
          <w:top w:w="0" w:type="dxa"/>
          <w:left w:w="0" w:type="dxa"/>
          <w:bottom w:w="0" w:type="dxa"/>
          <w:right w:w="0" w:type="dxa"/>
        </w:tblCellMar>
      </w:tblPr>
      <w:tr>
        <w:trPr>
          <w:trHeight w:val="234"/>
        </w:trPr>
        <w:tc>
          <w:tcPr>
            <w:tcW w:w="3700" w:type="dxa"/>
            <w:vAlign w:val="bottom"/>
          </w:tcPr>
          <w:p>
            <w:pPr>
              <w:jc w:val="center"/>
              <w:ind w:right="197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560"/>
              <w:spacing w:after="0"/>
              <w:rPr>
                <w:sz w:val="20"/>
                <w:szCs w:val="20"/>
                <w:color w:val="auto"/>
              </w:rPr>
            </w:pPr>
            <w:r>
              <w:rPr>
                <w:rFonts w:ascii="Arial" w:cs="Arial" w:eastAsia="Arial" w:hAnsi="Arial"/>
                <w:sz w:val="18"/>
                <w:szCs w:val="18"/>
                <w:b w:val="1"/>
                <w:bCs w:val="1"/>
                <w:color w:val="auto"/>
              </w:rPr>
              <w:t>001-39544</w:t>
            </w:r>
          </w:p>
        </w:tc>
        <w:tc>
          <w:tcPr>
            <w:tcW w:w="2920" w:type="dxa"/>
            <w:vAlign w:val="bottom"/>
          </w:tcPr>
          <w:p>
            <w:pPr>
              <w:jc w:val="center"/>
              <w:ind w:left="1701"/>
              <w:spacing w:after="0"/>
              <w:rPr>
                <w:sz w:val="20"/>
                <w:szCs w:val="20"/>
                <w:color w:val="auto"/>
              </w:rPr>
            </w:pPr>
            <w:r>
              <w:rPr>
                <w:rFonts w:ascii="Arial" w:cs="Arial" w:eastAsia="Arial" w:hAnsi="Arial"/>
                <w:sz w:val="18"/>
                <w:szCs w:val="18"/>
                <w:b w:val="1"/>
                <w:bCs w:val="1"/>
                <w:color w:val="auto"/>
                <w:w w:val="89"/>
              </w:rPr>
              <w:t>98-1550750</w:t>
            </w:r>
          </w:p>
        </w:tc>
        <w:tc>
          <w:tcPr>
            <w:tcW w:w="0" w:type="dxa"/>
            <w:vAlign w:val="bottom"/>
          </w:tcPr>
          <w:p>
            <w:pPr>
              <w:spacing w:after="0"/>
              <w:rPr>
                <w:sz w:val="1"/>
                <w:szCs w:val="1"/>
                <w:color w:val="auto"/>
              </w:rPr>
            </w:pPr>
          </w:p>
        </w:tc>
      </w:tr>
      <w:tr>
        <w:trPr>
          <w:trHeight w:val="162"/>
        </w:trPr>
        <w:tc>
          <w:tcPr>
            <w:tcW w:w="3700" w:type="dxa"/>
            <w:vAlign w:val="bottom"/>
          </w:tcPr>
          <w:p>
            <w:pPr>
              <w:jc w:val="center"/>
              <w:ind w:right="1979"/>
              <w:spacing w:after="0"/>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540"/>
              <w:spacing w:after="0"/>
              <w:rPr>
                <w:sz w:val="20"/>
                <w:szCs w:val="20"/>
                <w:color w:val="auto"/>
              </w:rPr>
            </w:pPr>
            <w:r>
              <w:rPr>
                <w:rFonts w:ascii="Arial" w:cs="Arial" w:eastAsia="Arial" w:hAnsi="Arial"/>
                <w:sz w:val="14"/>
                <w:szCs w:val="14"/>
                <w:b w:val="1"/>
                <w:bCs w:val="1"/>
                <w:color w:val="auto"/>
              </w:rPr>
              <w:t>(Commission</w:t>
            </w:r>
          </w:p>
        </w:tc>
        <w:tc>
          <w:tcPr>
            <w:tcW w:w="2920" w:type="dxa"/>
            <w:vAlign w:val="bottom"/>
          </w:tcPr>
          <w:p>
            <w:pPr>
              <w:jc w:val="center"/>
              <w:ind w:left="1701"/>
              <w:spacing w:after="0"/>
              <w:rPr>
                <w:sz w:val="20"/>
                <w:szCs w:val="20"/>
                <w:color w:val="auto"/>
              </w:rPr>
            </w:pPr>
            <w:r>
              <w:rPr>
                <w:rFonts w:ascii="Arial" w:cs="Arial" w:eastAsia="Arial" w:hAnsi="Arial"/>
                <w:sz w:val="14"/>
                <w:szCs w:val="14"/>
                <w:b w:val="1"/>
                <w:bCs w:val="1"/>
                <w:color w:val="auto"/>
                <w:w w:val="98"/>
              </w:rPr>
              <w:t>(IRS Employer</w:t>
            </w:r>
          </w:p>
        </w:tc>
        <w:tc>
          <w:tcPr>
            <w:tcW w:w="0" w:type="dxa"/>
            <w:vAlign w:val="bottom"/>
          </w:tcPr>
          <w:p>
            <w:pPr>
              <w:spacing w:after="0"/>
              <w:rPr>
                <w:sz w:val="1"/>
                <w:szCs w:val="1"/>
                <w:color w:val="auto"/>
              </w:rPr>
            </w:pPr>
          </w:p>
        </w:tc>
      </w:tr>
      <w:tr>
        <w:trPr>
          <w:trHeight w:val="204"/>
        </w:trPr>
        <w:tc>
          <w:tcPr>
            <w:tcW w:w="3700" w:type="dxa"/>
            <w:vAlign w:val="bottom"/>
          </w:tcPr>
          <w:p>
            <w:pPr>
              <w:jc w:val="center"/>
              <w:ind w:right="1979"/>
              <w:spacing w:after="0"/>
              <w:rPr>
                <w:sz w:val="20"/>
                <w:szCs w:val="20"/>
                <w:color w:val="auto"/>
              </w:rPr>
            </w:pPr>
            <w:r>
              <w:rPr>
                <w:rFonts w:ascii="Arial" w:cs="Arial" w:eastAsia="Arial" w:hAnsi="Arial"/>
                <w:sz w:val="14"/>
                <w:szCs w:val="14"/>
                <w:b w:val="1"/>
                <w:bCs w:val="1"/>
                <w:color w:val="auto"/>
                <w:w w:val="92"/>
              </w:rPr>
              <w:t>of incorporation)</w:t>
            </w:r>
          </w:p>
        </w:tc>
        <w:tc>
          <w:tcPr>
            <w:tcW w:w="242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920" w:type="dxa"/>
            <w:vAlign w:val="bottom"/>
          </w:tcPr>
          <w:p>
            <w:pPr>
              <w:jc w:val="center"/>
              <w:ind w:left="1701"/>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58"/>
        </w:trPr>
        <w:tc>
          <w:tcPr>
            <w:tcW w:w="3700" w:type="dxa"/>
            <w:vAlign w:val="bottom"/>
          </w:tcPr>
          <w:p>
            <w:pPr>
              <w:jc w:val="center"/>
              <w:ind w:right="59"/>
              <w:spacing w:after="0"/>
              <w:rPr>
                <w:sz w:val="20"/>
                <w:szCs w:val="20"/>
                <w:color w:val="auto"/>
              </w:rPr>
            </w:pPr>
            <w:r>
              <w:rPr>
                <w:rFonts w:ascii="Arial" w:cs="Arial" w:eastAsia="Arial" w:hAnsi="Arial"/>
                <w:sz w:val="18"/>
                <w:szCs w:val="18"/>
                <w:b w:val="1"/>
                <w:bCs w:val="1"/>
                <w:color w:val="auto"/>
                <w:w w:val="89"/>
              </w:rPr>
              <w:t>10000 Avalon Boulevard, Suite 1000,</w:t>
            </w:r>
          </w:p>
        </w:tc>
        <w:tc>
          <w:tcPr>
            <w:tcW w:w="2420" w:type="dxa"/>
            <w:vAlign w:val="bottom"/>
          </w:tcPr>
          <w:p>
            <w:pPr>
              <w:spacing w:after="0"/>
              <w:rPr>
                <w:sz w:val="24"/>
                <w:szCs w:val="24"/>
                <w:color w:val="auto"/>
              </w:rPr>
            </w:pPr>
          </w:p>
        </w:tc>
        <w:tc>
          <w:tcPr>
            <w:tcW w:w="2920" w:type="dxa"/>
            <w:vAlign w:val="bottom"/>
            <w:vMerge w:val="restart"/>
          </w:tcPr>
          <w:p>
            <w:pPr>
              <w:jc w:val="right"/>
              <w:ind w:right="1221"/>
              <w:spacing w:after="0"/>
              <w:rPr>
                <w:sz w:val="20"/>
                <w:szCs w:val="20"/>
                <w:color w:val="auto"/>
              </w:rPr>
            </w:pPr>
            <w:r>
              <w:rPr>
                <w:rFonts w:ascii="Arial" w:cs="Arial" w:eastAsia="Arial" w:hAnsi="Arial"/>
                <w:sz w:val="18"/>
                <w:szCs w:val="18"/>
                <w:b w:val="1"/>
                <w:bCs w:val="1"/>
                <w:color w:val="auto"/>
              </w:rPr>
              <w:t>30009</w:t>
            </w:r>
          </w:p>
        </w:tc>
        <w:tc>
          <w:tcPr>
            <w:tcW w:w="0" w:type="dxa"/>
            <w:vAlign w:val="bottom"/>
          </w:tcPr>
          <w:p>
            <w:pPr>
              <w:spacing w:after="0"/>
              <w:rPr>
                <w:sz w:val="1"/>
                <w:szCs w:val="1"/>
                <w:color w:val="auto"/>
              </w:rPr>
            </w:pPr>
          </w:p>
        </w:tc>
      </w:tr>
      <w:tr>
        <w:trPr>
          <w:trHeight w:val="140"/>
        </w:trPr>
        <w:tc>
          <w:tcPr>
            <w:tcW w:w="3700" w:type="dxa"/>
            <w:vAlign w:val="bottom"/>
            <w:vMerge w:val="restart"/>
          </w:tcPr>
          <w:p>
            <w:pPr>
              <w:jc w:val="center"/>
              <w:ind w:right="79"/>
              <w:spacing w:after="0"/>
              <w:rPr>
                <w:sz w:val="20"/>
                <w:szCs w:val="20"/>
                <w:color w:val="auto"/>
              </w:rPr>
            </w:pPr>
            <w:r>
              <w:rPr>
                <w:rFonts w:ascii="Arial" w:cs="Arial" w:eastAsia="Arial" w:hAnsi="Arial"/>
                <w:sz w:val="18"/>
                <w:szCs w:val="18"/>
                <w:b w:val="1"/>
                <w:bCs w:val="1"/>
                <w:color w:val="auto"/>
                <w:w w:val="92"/>
              </w:rPr>
              <w:t>Alpharetta, Georgia</w:t>
            </w:r>
          </w:p>
        </w:tc>
        <w:tc>
          <w:tcPr>
            <w:tcW w:w="2420" w:type="dxa"/>
            <w:vAlign w:val="bottom"/>
          </w:tcPr>
          <w:p>
            <w:pPr>
              <w:spacing w:after="0"/>
              <w:rPr>
                <w:sz w:val="12"/>
                <w:szCs w:val="12"/>
                <w:color w:val="auto"/>
              </w:rPr>
            </w:pPr>
          </w:p>
        </w:tc>
        <w:tc>
          <w:tcPr>
            <w:tcW w:w="2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700" w:type="dxa"/>
            <w:vAlign w:val="bottom"/>
            <w:vMerge w:val="continue"/>
          </w:tcPr>
          <w:p>
            <w:pPr>
              <w:spacing w:after="0"/>
              <w:rPr>
                <w:sz w:val="8"/>
                <w:szCs w:val="8"/>
                <w:color w:val="auto"/>
              </w:rPr>
            </w:pPr>
          </w:p>
        </w:tc>
        <w:tc>
          <w:tcPr>
            <w:tcW w:w="24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370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8"/>
                <w:szCs w:val="18"/>
                <w:color w:val="auto"/>
              </w:rPr>
            </w:pPr>
          </w:p>
        </w:tc>
        <w:tc>
          <w:tcPr>
            <w:tcW w:w="292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188595</wp:posOffset>
            </wp:positionV>
            <wp:extent cx="2503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left="20" w:right="680"/>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4" w:lineRule="exact"/>
        <w:rPr>
          <w:sz w:val="24"/>
          <w:szCs w:val="24"/>
          <w:color w:val="auto"/>
        </w:rPr>
      </w:pPr>
    </w:p>
    <w:p>
      <w:pPr>
        <w:ind w:left="360" w:hanging="270"/>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360" w:hanging="270"/>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60" w:hanging="270"/>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60" w:hanging="270"/>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33"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552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Title of each class</w:t>
            </w:r>
          </w:p>
        </w:tc>
        <w:tc>
          <w:tcPr>
            <w:tcW w:w="2260" w:type="dxa"/>
            <w:vAlign w:val="bottom"/>
          </w:tcPr>
          <w:p>
            <w:pPr>
              <w:jc w:val="center"/>
              <w:ind w:left="36"/>
              <w:spacing w:after="0"/>
              <w:rPr>
                <w:sz w:val="20"/>
                <w:szCs w:val="20"/>
                <w:color w:val="auto"/>
              </w:rPr>
            </w:pPr>
            <w:r>
              <w:rPr>
                <w:rFonts w:ascii="Arial" w:cs="Arial" w:eastAsia="Arial" w:hAnsi="Arial"/>
                <w:sz w:val="14"/>
                <w:szCs w:val="14"/>
                <w:b w:val="1"/>
                <w:bCs w:val="1"/>
                <w:color w:val="auto"/>
                <w:w w:val="92"/>
              </w:rPr>
              <w:t>Trading Symbol(s)</w:t>
            </w:r>
          </w:p>
        </w:tc>
        <w:tc>
          <w:tcPr>
            <w:tcW w:w="346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62"/>
        </w:trPr>
        <w:tc>
          <w:tcPr>
            <w:tcW w:w="5520" w:type="dxa"/>
            <w:vAlign w:val="bottom"/>
            <w:tcBorders>
              <w:bottom w:val="single" w:sz="8" w:color="auto"/>
            </w:tcBorders>
            <w:vMerge w:val="continue"/>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5520" w:type="dxa"/>
            <w:vAlign w:val="bottom"/>
          </w:tcPr>
          <w:p>
            <w:pPr>
              <w:jc w:val="center"/>
              <w:ind w:left="156"/>
              <w:spacing w:after="0"/>
              <w:rPr>
                <w:sz w:val="20"/>
                <w:szCs w:val="20"/>
                <w:color w:val="auto"/>
              </w:rPr>
            </w:pPr>
            <w:r>
              <w:rPr>
                <w:rFonts w:ascii="Arial" w:cs="Arial" w:eastAsia="Arial" w:hAnsi="Arial"/>
                <w:sz w:val="18"/>
                <w:szCs w:val="18"/>
                <w:b w:val="1"/>
                <w:bCs w:val="1"/>
                <w:color w:val="auto"/>
                <w:w w:val="89"/>
              </w:rPr>
              <w:t>Class A Common Stock, par value $0.0001 per share</w:t>
            </w:r>
          </w:p>
        </w:tc>
        <w:tc>
          <w:tcPr>
            <w:tcW w:w="2260" w:type="dxa"/>
            <w:vAlign w:val="bottom"/>
          </w:tcPr>
          <w:p>
            <w:pPr>
              <w:jc w:val="center"/>
              <w:ind w:left="56"/>
              <w:spacing w:after="0"/>
              <w:rPr>
                <w:sz w:val="20"/>
                <w:szCs w:val="20"/>
                <w:color w:val="auto"/>
              </w:rPr>
            </w:pPr>
            <w:r>
              <w:rPr>
                <w:rFonts w:ascii="Arial" w:cs="Arial" w:eastAsia="Arial" w:hAnsi="Arial"/>
                <w:sz w:val="18"/>
                <w:szCs w:val="18"/>
                <w:b w:val="1"/>
                <w:bCs w:val="1"/>
                <w:color w:val="auto"/>
              </w:rPr>
              <w:t>BKKT</w:t>
            </w:r>
          </w:p>
        </w:tc>
        <w:tc>
          <w:tcPr>
            <w:tcW w:w="346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38"/>
        </w:trPr>
        <w:tc>
          <w:tcPr>
            <w:tcW w:w="5520" w:type="dxa"/>
            <w:vAlign w:val="bottom"/>
          </w:tcPr>
          <w:p>
            <w:pPr>
              <w:jc w:val="center"/>
              <w:ind w:left="176"/>
              <w:spacing w:after="0"/>
              <w:rPr>
                <w:sz w:val="20"/>
                <w:szCs w:val="20"/>
                <w:color w:val="auto"/>
              </w:rPr>
            </w:pPr>
            <w:r>
              <w:rPr>
                <w:rFonts w:ascii="Arial" w:cs="Arial" w:eastAsia="Arial" w:hAnsi="Arial"/>
                <w:sz w:val="18"/>
                <w:szCs w:val="18"/>
                <w:b w:val="1"/>
                <w:bCs w:val="1"/>
                <w:color w:val="auto"/>
                <w:w w:val="89"/>
              </w:rPr>
              <w:t>Warrants to purchase Class A Common Stock</w:t>
            </w:r>
          </w:p>
        </w:tc>
        <w:tc>
          <w:tcPr>
            <w:tcW w:w="2260" w:type="dxa"/>
            <w:vAlign w:val="bottom"/>
          </w:tcPr>
          <w:p>
            <w:pPr>
              <w:jc w:val="center"/>
              <w:ind w:left="56"/>
              <w:spacing w:after="0"/>
              <w:rPr>
                <w:sz w:val="20"/>
                <w:szCs w:val="20"/>
                <w:color w:val="auto"/>
              </w:rPr>
            </w:pPr>
            <w:r>
              <w:rPr>
                <w:rFonts w:ascii="Arial" w:cs="Arial" w:eastAsia="Arial" w:hAnsi="Arial"/>
                <w:sz w:val="18"/>
                <w:szCs w:val="18"/>
                <w:b w:val="1"/>
                <w:bCs w:val="1"/>
                <w:color w:val="auto"/>
                <w:w w:val="99"/>
              </w:rPr>
              <w:t>BKKT WS</w:t>
            </w:r>
          </w:p>
        </w:tc>
        <w:tc>
          <w:tcPr>
            <w:tcW w:w="346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jc w:val="both"/>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6" w:lineRule="exact"/>
        <w:rPr>
          <w:sz w:val="24"/>
          <w:szCs w:val="24"/>
          <w:color w:val="auto"/>
        </w:rPr>
      </w:pPr>
    </w:p>
    <w:p>
      <w:pPr>
        <w:ind w:right="16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1169670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50800</wp:posOffset>
            </wp:positionV>
            <wp:extent cx="466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76835</wp:posOffset>
            </wp:positionV>
            <wp:extent cx="4663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Conditions.</w:t>
      </w:r>
    </w:p>
    <w:p>
      <w:pPr>
        <w:spacing w:after="0" w:line="2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On August 10, 2023, Bakkt Holdings, Inc. (the “Company”) issued a press release regarding the Company’s results for the quarter ended June 30, 2023. A copy of the press release is attached hereto as Exhibit 99.1 and incorporated herein by reference.</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information in this Item 2.02, including Exhibit 99.1 attached hereto, is being furnished and shall not be deemed “filed” for purposes of Section 18 of the Securities Exchange Act of 1934, as amended (the “Exchange Act”), or otherwise subject to the liabilities of such section, nor shall it be deemed incorporated by reference in any filing under the Exchange Act or the Securities Act of 1933, as amended, except as shall be expressly set forth by specific reference in such filing.</w:t>
      </w:r>
    </w:p>
    <w:p>
      <w:pPr>
        <w:spacing w:after="0" w:line="1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208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Exhibit No.</w:t>
            </w:r>
          </w:p>
        </w:tc>
        <w:tc>
          <w:tcPr>
            <w:tcW w:w="8980" w:type="dxa"/>
            <w:vAlign w:val="bottom"/>
            <w:tcBorders>
              <w:bottom w:val="single" w:sz="8" w:color="auto"/>
            </w:tcBorders>
            <w:gridSpan w:val="2"/>
          </w:tcPr>
          <w:p>
            <w:pPr>
              <w:ind w:left="4040"/>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2260" w:type="dxa"/>
            <w:vAlign w:val="bottom"/>
            <w:gridSpan w:val="2"/>
          </w:tcPr>
          <w:p>
            <w:pPr>
              <w:jc w:val="right"/>
              <w:ind w:right="810"/>
              <w:spacing w:after="0" w:line="169" w:lineRule="exact"/>
              <w:rPr>
                <w:sz w:val="20"/>
                <w:szCs w:val="20"/>
                <w:color w:val="auto"/>
              </w:rPr>
            </w:pPr>
            <w:r>
              <w:rPr>
                <w:rFonts w:ascii="Arial" w:cs="Arial" w:eastAsia="Arial" w:hAnsi="Arial"/>
                <w:sz w:val="18"/>
                <w:szCs w:val="18"/>
                <w:color w:val="auto"/>
              </w:rPr>
              <w:t>99.1</w:t>
            </w:r>
          </w:p>
        </w:tc>
        <w:tc>
          <w:tcPr>
            <w:tcW w:w="4640" w:type="dxa"/>
            <w:vAlign w:val="bottom"/>
            <w:tcBorders>
              <w:bottom w:val="single" w:sz="8" w:color="0000FF"/>
            </w:tcBorders>
          </w:tcPr>
          <w:p>
            <w:pPr>
              <w:spacing w:after="0" w:line="169" w:lineRule="exact"/>
              <w:rPr>
                <w:sz w:val="20"/>
                <w:szCs w:val="20"/>
                <w:color w:val="auto"/>
              </w:rPr>
            </w:pPr>
            <w:r>
              <w:rPr>
                <w:rFonts w:ascii="Arial" w:cs="Arial" w:eastAsia="Arial" w:hAnsi="Arial"/>
                <w:sz w:val="18"/>
                <w:szCs w:val="18"/>
                <w:color w:val="0000FF"/>
                <w:w w:val="89"/>
              </w:rPr>
              <w:t>Press release issued by Bakkt Holdings, Inc. on August 10, 2023</w:t>
            </w:r>
          </w:p>
        </w:tc>
        <w:tc>
          <w:tcPr>
            <w:tcW w:w="4340" w:type="dxa"/>
            <w:vAlign w:val="bottom"/>
          </w:tcPr>
          <w:p>
            <w:pPr>
              <w:spacing w:after="0"/>
              <w:rPr>
                <w:sz w:val="15"/>
                <w:szCs w:val="15"/>
                <w:color w:val="auto"/>
              </w:rPr>
            </w:pPr>
          </w:p>
        </w:tc>
      </w:tr>
      <w:tr>
        <w:trPr>
          <w:trHeight w:val="277"/>
        </w:trPr>
        <w:tc>
          <w:tcPr>
            <w:tcW w:w="2260" w:type="dxa"/>
            <w:vAlign w:val="bottom"/>
            <w:gridSpan w:val="2"/>
          </w:tcPr>
          <w:p>
            <w:pPr>
              <w:jc w:val="right"/>
              <w:ind w:right="830"/>
              <w:spacing w:after="0"/>
              <w:rPr>
                <w:sz w:val="20"/>
                <w:szCs w:val="20"/>
                <w:color w:val="auto"/>
              </w:rPr>
            </w:pPr>
            <w:r>
              <w:rPr>
                <w:rFonts w:ascii="Arial" w:cs="Arial" w:eastAsia="Arial" w:hAnsi="Arial"/>
                <w:sz w:val="18"/>
                <w:szCs w:val="18"/>
                <w:color w:val="auto"/>
              </w:rPr>
              <w:t>104</w:t>
            </w:r>
          </w:p>
        </w:tc>
        <w:tc>
          <w:tcPr>
            <w:tcW w:w="89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505"/>
        </w:trPr>
        <w:tc>
          <w:tcPr>
            <w:tcW w:w="1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Dated: August 10, 2023</w:t>
      </w:r>
    </w:p>
    <w:p>
      <w:pPr>
        <w:spacing w:after="0" w:line="262"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BAKKT HOLDINGS, INC.</w:t>
      </w:r>
    </w:p>
    <w:p>
      <w:pPr>
        <w:spacing w:after="0" w:line="270" w:lineRule="exact"/>
        <w:rPr>
          <w:sz w:val="20"/>
          <w:szCs w:val="20"/>
          <w:color w:val="auto"/>
        </w:rPr>
      </w:pPr>
    </w:p>
    <w:p>
      <w:pPr>
        <w:ind w:left="5800"/>
        <w:spacing w:after="0"/>
        <w:tabs>
          <w:tab w:leader="none" w:pos="6220" w:val="left"/>
        </w:tabs>
        <w:rPr>
          <w:sz w:val="20"/>
          <w:szCs w:val="20"/>
          <w:color w:val="auto"/>
        </w:rPr>
      </w:pPr>
      <w:r>
        <w:rPr>
          <w:rFonts w:ascii="Arial" w:cs="Arial" w:eastAsia="Arial" w:hAnsi="Arial"/>
          <w:sz w:val="18"/>
          <w:szCs w:val="18"/>
          <w:color w:val="auto"/>
        </w:rPr>
        <w:t>By:</w:t>
        <w:tab/>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14605</wp:posOffset>
            </wp:positionV>
            <wp:extent cx="33604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 w:lineRule="exact"/>
        <w:rPr>
          <w:sz w:val="20"/>
          <w:szCs w:val="20"/>
          <w:color w:val="auto"/>
        </w:rPr>
      </w:pPr>
    </w:p>
    <w:p>
      <w:pPr>
        <w:ind w:left="6240"/>
        <w:spacing w:after="0"/>
        <w:tabs>
          <w:tab w:leader="none" w:pos="70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Marc D’Annunzio</w:t>
      </w:r>
    </w:p>
    <w:p>
      <w:pPr>
        <w:spacing w:after="0" w:line="36" w:lineRule="exact"/>
        <w:rPr>
          <w:sz w:val="20"/>
          <w:szCs w:val="20"/>
          <w:color w:val="auto"/>
        </w:rPr>
      </w:pPr>
    </w:p>
    <w:p>
      <w:pPr>
        <w:ind w:left="6240"/>
        <w:spacing w:after="0"/>
        <w:tabs>
          <w:tab w:leader="none" w:pos="7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General Counsel and Secretary</w:t>
      </w:r>
    </w:p>
    <w:p>
      <w:pPr>
        <w:sectPr>
          <w:pgSz w:w="11900" w:h="16838" w:orient="portrait"/>
          <w:cols w:equalWidth="0" w:num="1">
            <w:col w:w="11240"/>
          </w:cols>
          <w:pgMar w:left="320" w:top="14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24765</wp:posOffset>
            </wp:positionV>
            <wp:extent cx="1028700" cy="540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Bakkt Reports Second Quarter 2023 Results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Second quarter 2023 results include Apex Crypto, which was acquired on April 1, 2023 and rebranded Bakkt Crypto Solutons</w:t>
      </w:r>
    </w:p>
    <w:p>
      <w:pPr>
        <w:spacing w:after="0" w:line="162" w:lineRule="exact"/>
        <w:rPr>
          <w:sz w:val="20"/>
          <w:szCs w:val="20"/>
          <w:color w:val="auto"/>
        </w:rPr>
      </w:pPr>
    </w:p>
    <w:p>
      <w:pPr>
        <w:jc w:val="center"/>
        <w:spacing w:after="0" w:line="274" w:lineRule="auto"/>
        <w:rPr>
          <w:sz w:val="20"/>
          <w:szCs w:val="20"/>
          <w:color w:val="auto"/>
        </w:rPr>
      </w:pPr>
      <w:r>
        <w:rPr>
          <w:rFonts w:ascii="Arial" w:cs="Arial" w:eastAsia="Arial" w:hAnsi="Arial"/>
          <w:sz w:val="20"/>
          <w:szCs w:val="20"/>
          <w:i w:val="1"/>
          <w:iCs w:val="1"/>
          <w:color w:val="auto"/>
        </w:rPr>
        <w:t>In accordance with GAAP, crypto services revenues and crypto costs and executon, clearing and brokerage fees are being presented on a gross basis</w:t>
      </w:r>
    </w:p>
    <w:p>
      <w:pPr>
        <w:spacing w:after="0" w:line="109" w:lineRule="exact"/>
        <w:rPr>
          <w:sz w:val="20"/>
          <w:szCs w:val="20"/>
          <w:color w:val="auto"/>
        </w:rPr>
      </w:pPr>
    </w:p>
    <w:p>
      <w:pPr>
        <w:jc w:val="center"/>
        <w:spacing w:after="0" w:line="274" w:lineRule="auto"/>
        <w:rPr>
          <w:sz w:val="20"/>
          <w:szCs w:val="20"/>
          <w:color w:val="auto"/>
        </w:rPr>
      </w:pPr>
      <w:r>
        <w:rPr>
          <w:rFonts w:ascii="Arial" w:cs="Arial" w:eastAsia="Arial" w:hAnsi="Arial"/>
          <w:sz w:val="20"/>
          <w:szCs w:val="20"/>
          <w:i w:val="1"/>
          <w:iCs w:val="1"/>
          <w:color w:val="auto"/>
        </w:rPr>
        <w:t>Gross crypto services revenues of $335.3 million, which are partally ofset by crypto costs and executon, clearing and brokerage fees of $334.0 million, refect impact of Apex Crypto’s trading actvity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Total revenues of $347.6 million include gross crypto revenues and net loyalty revenues</w:t>
      </w:r>
    </w:p>
    <w:p>
      <w:pPr>
        <w:spacing w:after="0" w:line="162" w:lineRule="exact"/>
        <w:rPr>
          <w:sz w:val="20"/>
          <w:szCs w:val="20"/>
          <w:color w:val="auto"/>
        </w:rPr>
      </w:pPr>
    </w:p>
    <w:p>
      <w:pPr>
        <w:jc w:val="center"/>
        <w:ind w:left="340" w:right="40"/>
        <w:spacing w:after="0" w:line="289" w:lineRule="auto"/>
        <w:rPr>
          <w:sz w:val="20"/>
          <w:szCs w:val="20"/>
          <w:color w:val="auto"/>
        </w:rPr>
      </w:pPr>
      <w:r>
        <w:rPr>
          <w:rFonts w:ascii="Arial" w:cs="Arial" w:eastAsia="Arial" w:hAnsi="Arial"/>
          <w:sz w:val="20"/>
          <w:szCs w:val="20"/>
          <w:i w:val="1"/>
          <w:iCs w:val="1"/>
          <w:color w:val="auto"/>
        </w:rPr>
        <w:t>Total operatng expenses of $398.7 million includes crypto costs and executon, clearing and brokerage fees and $17.0 million of acquisiton-related expenses of which $12.1 million is non-cash</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Strong expansion of our client base with seven new clients recently signed, including in Latn America</w:t>
      </w:r>
    </w:p>
    <w:p>
      <w:pPr>
        <w:spacing w:after="0" w:line="162" w:lineRule="exact"/>
        <w:rPr>
          <w:sz w:val="20"/>
          <w:szCs w:val="20"/>
          <w:color w:val="auto"/>
        </w:rPr>
      </w:pPr>
    </w:p>
    <w:p>
      <w:pPr>
        <w:jc w:val="center"/>
        <w:ind w:left="340" w:right="160"/>
        <w:spacing w:after="0" w:line="274" w:lineRule="auto"/>
        <w:rPr>
          <w:sz w:val="20"/>
          <w:szCs w:val="20"/>
          <w:color w:val="auto"/>
        </w:rPr>
      </w:pPr>
      <w:r>
        <w:rPr>
          <w:rFonts w:ascii="Arial" w:cs="Arial" w:eastAsia="Arial" w:hAnsi="Arial"/>
          <w:sz w:val="20"/>
          <w:szCs w:val="20"/>
          <w:i w:val="1"/>
          <w:iCs w:val="1"/>
          <w:color w:val="auto"/>
        </w:rPr>
        <w:t>Updated full year 2023 outlook for revenues, operatng cash fow and free cash fow (non-GAAP) refects impact from acquisiton of Apex Crypto and current macroeconomic environment.</w:t>
      </w:r>
    </w:p>
    <w:p>
      <w:pPr>
        <w:spacing w:after="0" w:line="109" w:lineRule="exact"/>
        <w:rPr>
          <w:sz w:val="20"/>
          <w:szCs w:val="20"/>
          <w:color w:val="auto"/>
        </w:rPr>
      </w:pPr>
    </w:p>
    <w:p>
      <w:pPr>
        <w:jc w:val="center"/>
        <w:ind w:left="340" w:right="120"/>
        <w:spacing w:after="0" w:line="332" w:lineRule="auto"/>
        <w:rPr>
          <w:sz w:val="20"/>
          <w:szCs w:val="20"/>
          <w:color w:val="auto"/>
        </w:rPr>
      </w:pPr>
      <w:r>
        <w:rPr>
          <w:rFonts w:ascii="Arial" w:cs="Arial" w:eastAsia="Arial" w:hAnsi="Arial"/>
          <w:sz w:val="18"/>
          <w:szCs w:val="18"/>
          <w:i w:val="1"/>
          <w:iCs w:val="1"/>
          <w:color w:val="auto"/>
        </w:rPr>
        <w:t>Operatng cash fow usage for full year 2023 expected to be $78 million - $84 million, down over 20% from previous guidance. Second half 2023 operatng cash fow usage expected to be down over 75% from frst half refectng our focus on prudent expense management</w:t>
      </w:r>
    </w:p>
    <w:p>
      <w:pPr>
        <w:spacing w:after="0" w:line="318" w:lineRule="exact"/>
        <w:rPr>
          <w:sz w:val="20"/>
          <w:szCs w:val="20"/>
          <w:color w:val="auto"/>
        </w:rPr>
      </w:pPr>
    </w:p>
    <w:p>
      <w:pPr>
        <w:ind w:right="320"/>
        <w:spacing w:after="0" w:line="289" w:lineRule="auto"/>
        <w:rPr>
          <w:sz w:val="20"/>
          <w:szCs w:val="20"/>
          <w:color w:val="auto"/>
        </w:rPr>
      </w:pPr>
      <w:r>
        <w:rPr>
          <w:rFonts w:ascii="Arial" w:cs="Arial" w:eastAsia="Arial" w:hAnsi="Arial"/>
          <w:sz w:val="20"/>
          <w:szCs w:val="20"/>
          <w:b w:val="1"/>
          <w:bCs w:val="1"/>
          <w:color w:val="auto"/>
        </w:rPr>
        <w:t xml:space="preserve">ALPHARETTA, GA – August 10, 2023 </w:t>
      </w:r>
      <w:r>
        <w:rPr>
          <w:rFonts w:ascii="Arial" w:cs="Arial" w:eastAsia="Arial" w:hAnsi="Arial"/>
          <w:sz w:val="20"/>
          <w:szCs w:val="20"/>
          <w:color w:val="auto"/>
        </w:rPr>
        <w:t>– Bakkt Holdings, Inc. (“Bakkt”) (NYSE: BKKT) announced its fnancial and operatonal results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ended June 30, 2023.</w:t>
      </w:r>
    </w:p>
    <w:p>
      <w:pPr>
        <w:spacing w:after="0" w:line="202" w:lineRule="exact"/>
        <w:rPr>
          <w:sz w:val="20"/>
          <w:szCs w:val="20"/>
          <w:color w:val="auto"/>
        </w:rPr>
      </w:pPr>
    </w:p>
    <w:p>
      <w:pPr>
        <w:ind w:right="60"/>
        <w:spacing w:after="0" w:line="308" w:lineRule="auto"/>
        <w:rPr>
          <w:sz w:val="20"/>
          <w:szCs w:val="20"/>
          <w:color w:val="auto"/>
        </w:rPr>
      </w:pPr>
      <w:r>
        <w:rPr>
          <w:rFonts w:ascii="Arial" w:cs="Arial" w:eastAsia="Arial" w:hAnsi="Arial"/>
          <w:sz w:val="18"/>
          <w:szCs w:val="18"/>
          <w:color w:val="auto"/>
        </w:rPr>
        <w:t xml:space="preserve">“We are pleased with the rapid momentum we built in the second quarter,” said Gavin Michael, President and CEO of Bakkt. “The closing of our acquisiton of Apex Crypto at the beginning of the quarter was a pivotal moment for us. Our focused executon enabled us to provide a seamless experience for our clients, which included launching a new app for </w:t>
      </w:r>
      <w:r>
        <w:rPr>
          <w:rFonts w:ascii="Arial" w:cs="Arial" w:eastAsia="Arial" w:hAnsi="Arial"/>
          <w:sz w:val="18"/>
          <w:szCs w:val="18"/>
          <w:i w:val="1"/>
          <w:iCs w:val="1"/>
          <w:color w:val="auto"/>
        </w:rPr>
        <w:t>Webull</w:t>
      </w:r>
      <w:r>
        <w:rPr>
          <w:rFonts w:ascii="Arial" w:cs="Arial" w:eastAsia="Arial" w:hAnsi="Arial"/>
          <w:sz w:val="18"/>
          <w:szCs w:val="18"/>
          <w:color w:val="auto"/>
        </w:rPr>
        <w:t xml:space="preserve"> in record tme. We’ve been successfully expanding our broad reach in the crypto ecosystem with strong tracton in new clients signed, and excitng new collaboratons formed with </w:t>
      </w:r>
      <w:r>
        <w:rPr>
          <w:rFonts w:ascii="Arial" w:cs="Arial" w:eastAsia="Arial" w:hAnsi="Arial"/>
          <w:sz w:val="18"/>
          <w:szCs w:val="18"/>
          <w:i w:val="1"/>
          <w:iCs w:val="1"/>
          <w:color w:val="auto"/>
        </w:rPr>
        <w:t>Plaid</w:t>
      </w:r>
      <w:r>
        <w:rPr>
          <w:rFonts w:ascii="Arial" w:cs="Arial" w:eastAsia="Arial" w:hAnsi="Arial"/>
          <w:sz w:val="18"/>
          <w:szCs w:val="18"/>
          <w:color w:val="auto"/>
        </w:rPr>
        <w:t xml:space="preserve"> and </w:t>
      </w:r>
      <w:r>
        <w:rPr>
          <w:rFonts w:ascii="Arial" w:cs="Arial" w:eastAsia="Arial" w:hAnsi="Arial"/>
          <w:sz w:val="18"/>
          <w:szCs w:val="18"/>
          <w:i w:val="1"/>
          <w:iCs w:val="1"/>
          <w:color w:val="auto"/>
        </w:rPr>
        <w:t>Fireblocks</w:t>
      </w:r>
      <w:r>
        <w:rPr>
          <w:rFonts w:ascii="Arial" w:cs="Arial" w:eastAsia="Arial" w:hAnsi="Arial"/>
          <w:sz w:val="18"/>
          <w:szCs w:val="18"/>
          <w:color w:val="auto"/>
        </w:rPr>
        <w:t>. We are making strong progress on our internatonal go-to-market strategy and expect to launch our crypto capabilites in Latn</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in the fourth quarter. In parallel, we are actvely working to expand into the United Kingdom, European Union, Hong Kong and Australia. We are excited about the momentum we are building and our best-in-class platorm positons us well for contnued success.”</w:t>
      </w: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Strategic Highlights</w:t>
      </w:r>
    </w:p>
    <w:p>
      <w:pPr>
        <w:spacing w:after="0" w:line="27" w:lineRule="exact"/>
        <w:rPr>
          <w:sz w:val="20"/>
          <w:szCs w:val="20"/>
          <w:color w:val="auto"/>
        </w:rPr>
      </w:pPr>
    </w:p>
    <w:p>
      <w:pPr>
        <w:spacing w:after="0" w:line="289" w:lineRule="auto"/>
        <w:rPr>
          <w:sz w:val="20"/>
          <w:szCs w:val="20"/>
          <w:color w:val="auto"/>
        </w:rPr>
      </w:pPr>
      <w:r>
        <w:rPr>
          <w:rFonts w:ascii="Arial" w:cs="Arial" w:eastAsia="Arial" w:hAnsi="Arial"/>
          <w:sz w:val="20"/>
          <w:szCs w:val="20"/>
          <w:b w:val="1"/>
          <w:bCs w:val="1"/>
          <w:u w:val="single" w:color="auto"/>
          <w:color w:val="auto"/>
        </w:rPr>
        <w:t>Crypto trading</w:t>
      </w:r>
      <w:r>
        <w:rPr>
          <w:rFonts w:ascii="Arial" w:cs="Arial" w:eastAsia="Arial" w:hAnsi="Arial"/>
          <w:sz w:val="20"/>
          <w:szCs w:val="20"/>
          <w:b w:val="1"/>
          <w:bCs w:val="1"/>
          <w:color w:val="auto"/>
        </w:rPr>
        <w:t xml:space="preserve"> - </w:t>
      </w:r>
      <w:r>
        <w:rPr>
          <w:rFonts w:ascii="Arial" w:cs="Arial" w:eastAsia="Arial" w:hAnsi="Arial"/>
          <w:sz w:val="20"/>
          <w:szCs w:val="20"/>
          <w:color w:val="auto"/>
        </w:rPr>
        <w:t>Closed Apex Crypto acquisiton and substantally complete with integraton of our businesses, including rebranding to Bakkt</w:t>
      </w:r>
      <w:r>
        <w:rPr>
          <w:rFonts w:ascii="Arial" w:cs="Arial" w:eastAsia="Arial" w:hAnsi="Arial"/>
          <w:sz w:val="20"/>
          <w:szCs w:val="20"/>
          <w:b w:val="1"/>
          <w:bCs w:val="1"/>
          <w:color w:val="auto"/>
        </w:rPr>
        <w:t xml:space="preserve"> </w:t>
      </w:r>
      <w:r>
        <w:rPr>
          <w:rFonts w:ascii="Arial" w:cs="Arial" w:eastAsia="Arial" w:hAnsi="Arial"/>
          <w:sz w:val="20"/>
          <w:szCs w:val="20"/>
          <w:color w:val="auto"/>
        </w:rPr>
        <w:t>Crypto Solutons. Strong progress expanding our platorm and client network including:</w:t>
      </w:r>
    </w:p>
    <w:p>
      <w:pPr>
        <w:sectPr>
          <w:pgSz w:w="11900" w:h="16838" w:orient="portrait"/>
          <w:cols w:equalWidth="0" w:num="1">
            <w:col w:w="11240"/>
          </w:cols>
          <w:pgMar w:left="320" w:top="74"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439420</wp:posOffset>
            </wp:positionH>
            <wp:positionV relativeFrom="page">
              <wp:posOffset>88900</wp:posOffset>
            </wp:positionV>
            <wp:extent cx="1028700" cy="540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40385"/>
                    </a:xfrm>
                    <a:prstGeom prst="rect">
                      <a:avLst/>
                    </a:prstGeom>
                    <a:noFill/>
                  </pic:spPr>
                </pic:pic>
              </a:graphicData>
            </a:graphic>
          </wp:anchor>
        </w:drawing>
      </w:r>
    </w:p>
    <w:p>
      <w:pPr>
        <w:spacing w:after="0" w:line="217" w:lineRule="exact"/>
        <w:rPr>
          <w:sz w:val="20"/>
          <w:szCs w:val="20"/>
          <w:color w:val="auto"/>
        </w:rPr>
      </w:pPr>
    </w:p>
    <w:p>
      <w:pPr>
        <w:ind w:left="660" w:right="180" w:hanging="328"/>
        <w:spacing w:after="0" w:line="233" w:lineRule="auto"/>
        <w:tabs>
          <w:tab w:leader="none" w:pos="660" w:val="left"/>
        </w:tabs>
        <w:numPr>
          <w:ilvl w:val="0"/>
          <w:numId w:val="2"/>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Webull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developed and launched new Webull Pay app and ACH funding</w:t>
      </w:r>
      <w:r>
        <w:rPr>
          <w:rFonts w:ascii="Arial" w:cs="Arial" w:eastAsia="Arial" w:hAnsi="Arial"/>
          <w:sz w:val="24"/>
          <w:szCs w:val="24"/>
          <w:color w:val="auto"/>
          <w:vertAlign w:val="superscript"/>
        </w:rPr>
        <w:t>1</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functonality for Webull Pay customers in approximately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40 days. Signifcant opportunity to leverage ACH funding</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functonality for new and other existng clients.</w:t>
      </w:r>
    </w:p>
    <w:p>
      <w:pPr>
        <w:spacing w:after="0" w:line="2" w:lineRule="exact"/>
        <w:rPr>
          <w:rFonts w:ascii="Arial" w:cs="Arial" w:eastAsia="Arial" w:hAnsi="Arial"/>
          <w:sz w:val="19"/>
          <w:szCs w:val="19"/>
          <w:color w:val="auto"/>
        </w:rPr>
      </w:pPr>
    </w:p>
    <w:p>
      <w:pPr>
        <w:ind w:left="660" w:right="200" w:hanging="328"/>
        <w:spacing w:after="0" w:line="238"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Expansion of client base - </w:t>
      </w:r>
      <w:r>
        <w:rPr>
          <w:rFonts w:ascii="Arial" w:cs="Arial" w:eastAsia="Arial" w:hAnsi="Arial"/>
          <w:sz w:val="20"/>
          <w:szCs w:val="20"/>
          <w:color w:val="auto"/>
        </w:rPr>
        <w:t>our advanced crypto trading capabilites are atractng strong interest from new clients, mostly in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fntech industry. Recently signed clients include </w:t>
      </w:r>
      <w:r>
        <w:rPr>
          <w:rFonts w:ascii="Arial" w:cs="Arial" w:eastAsia="Arial" w:hAnsi="Arial"/>
          <w:sz w:val="20"/>
          <w:szCs w:val="20"/>
          <w:i w:val="1"/>
          <w:iCs w:val="1"/>
          <w:color w:val="auto"/>
        </w:rPr>
        <w:t>invstr, Swan Bitcoin, Blockchain.com, Zaden, ibex</w:t>
      </w:r>
      <w:r>
        <w:rPr>
          <w:rFonts w:ascii="Arial" w:cs="Arial" w:eastAsia="Arial" w:hAnsi="Arial"/>
          <w:sz w:val="20"/>
          <w:szCs w:val="20"/>
          <w:color w:val="auto"/>
        </w:rPr>
        <w:t xml:space="preserve"> and </w:t>
      </w:r>
      <w:r>
        <w:rPr>
          <w:rFonts w:ascii="Arial" w:cs="Arial" w:eastAsia="Arial" w:hAnsi="Arial"/>
          <w:sz w:val="20"/>
          <w:szCs w:val="20"/>
          <w:i w:val="1"/>
          <w:iCs w:val="1"/>
          <w:color w:val="auto"/>
        </w:rPr>
        <w:t>CryptoMom</w:t>
      </w:r>
      <w:r>
        <w:rPr>
          <w:rFonts w:ascii="Arial" w:cs="Arial" w:eastAsia="Arial" w:hAnsi="Arial"/>
          <w:sz w:val="20"/>
          <w:szCs w:val="20"/>
          <w:color w:val="auto"/>
        </w:rPr>
        <w:t xml:space="preserve">. We will extend our reach into Latn America with </w:t>
      </w:r>
      <w:r>
        <w:rPr>
          <w:rFonts w:ascii="Arial" w:cs="Arial" w:eastAsia="Arial" w:hAnsi="Arial"/>
          <w:sz w:val="20"/>
          <w:szCs w:val="20"/>
          <w:i w:val="1"/>
          <w:iCs w:val="1"/>
          <w:color w:val="auto"/>
        </w:rPr>
        <w:t>ibex</w:t>
      </w:r>
      <w:r>
        <w:rPr>
          <w:rFonts w:ascii="Arial" w:cs="Arial" w:eastAsia="Arial" w:hAnsi="Arial"/>
          <w:sz w:val="20"/>
          <w:szCs w:val="20"/>
          <w:color w:val="auto"/>
        </w:rPr>
        <w:t>. Our commercial agreement with Apex Fintech Solutons has been valuable in helping to drive some of these new client relatonships.</w:t>
      </w:r>
    </w:p>
    <w:p>
      <w:pPr>
        <w:spacing w:after="0" w:line="1" w:lineRule="exact"/>
        <w:rPr>
          <w:rFonts w:ascii="Arial" w:cs="Arial" w:eastAsia="Arial" w:hAnsi="Arial"/>
          <w:sz w:val="20"/>
          <w:szCs w:val="20"/>
          <w:color w:val="auto"/>
        </w:rPr>
      </w:pPr>
    </w:p>
    <w:p>
      <w:pPr>
        <w:ind w:left="660" w:right="20" w:hanging="328"/>
        <w:spacing w:after="0" w:line="253"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Partnership with </w:t>
      </w:r>
      <w:r>
        <w:rPr>
          <w:rFonts w:ascii="Arial" w:cs="Arial" w:eastAsia="Arial" w:hAnsi="Arial"/>
          <w:sz w:val="20"/>
          <w:szCs w:val="20"/>
          <w:b w:val="1"/>
          <w:bCs w:val="1"/>
          <w:i w:val="1"/>
          <w:iCs w:val="1"/>
          <w:color w:val="auto"/>
        </w:rPr>
        <w:t>Plaid</w:t>
      </w:r>
      <w:r>
        <w:rPr>
          <w:rFonts w:ascii="Arial" w:cs="Arial" w:eastAsia="Arial" w:hAnsi="Arial"/>
          <w:sz w:val="20"/>
          <w:szCs w:val="20"/>
          <w:b w:val="1"/>
          <w:bCs w:val="1"/>
          <w:color w:val="auto"/>
        </w:rPr>
        <w:t xml:space="preserve"> </w:t>
      </w:r>
      <w:r>
        <w:rPr>
          <w:rFonts w:ascii="Arial" w:cs="Arial" w:eastAsia="Arial" w:hAnsi="Arial"/>
          <w:sz w:val="20"/>
          <w:szCs w:val="20"/>
          <w:color w:val="auto"/>
        </w:rPr>
        <w:t>– joining forces with</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Plaid</w:t>
      </w:r>
      <w:r>
        <w:rPr>
          <w:rFonts w:ascii="Arial" w:cs="Arial" w:eastAsia="Arial" w:hAnsi="Arial"/>
          <w:sz w:val="20"/>
          <w:szCs w:val="20"/>
          <w:b w:val="1"/>
          <w:bCs w:val="1"/>
          <w:color w:val="auto"/>
        </w:rPr>
        <w:t xml:space="preserve"> </w:t>
      </w:r>
      <w:r>
        <w:rPr>
          <w:rFonts w:ascii="Arial" w:cs="Arial" w:eastAsia="Arial" w:hAnsi="Arial"/>
          <w:sz w:val="20"/>
          <w:szCs w:val="20"/>
          <w:color w:val="auto"/>
        </w:rPr>
        <w:t>where we will be one of</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Plaid’s</w:t>
      </w:r>
      <w:r>
        <w:rPr>
          <w:rFonts w:ascii="Arial" w:cs="Arial" w:eastAsia="Arial" w:hAnsi="Arial"/>
          <w:sz w:val="20"/>
          <w:szCs w:val="20"/>
          <w:b w:val="1"/>
          <w:bCs w:val="1"/>
          <w:color w:val="auto"/>
        </w:rPr>
        <w:t xml:space="preserve"> </w:t>
      </w:r>
      <w:r>
        <w:rPr>
          <w:rFonts w:ascii="Arial" w:cs="Arial" w:eastAsia="Arial" w:hAnsi="Arial"/>
          <w:sz w:val="20"/>
          <w:szCs w:val="20"/>
          <w:color w:val="auto"/>
        </w:rPr>
        <w:t>crypto soluton partners for their customers who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are interested in ofering crypto solutons to their end users. </w:t>
      </w:r>
      <w:r>
        <w:rPr>
          <w:rFonts w:ascii="Arial" w:cs="Arial" w:eastAsia="Arial" w:hAnsi="Arial"/>
          <w:sz w:val="20"/>
          <w:szCs w:val="20"/>
          <w:i w:val="1"/>
          <w:iCs w:val="1"/>
          <w:color w:val="auto"/>
        </w:rPr>
        <w:t>Plaid</w:t>
      </w:r>
      <w:r>
        <w:rPr>
          <w:rFonts w:ascii="Arial" w:cs="Arial" w:eastAsia="Arial" w:hAnsi="Arial"/>
          <w:sz w:val="20"/>
          <w:szCs w:val="20"/>
          <w:color w:val="auto"/>
        </w:rPr>
        <w:t xml:space="preserve"> has an extensive network of more than 8,000 fntechs using their platorm. Through the Plaid and Bakkt partnership, those fntechs will be able to easily and safely explore ofering (Bakkt) crypto solutons to their users.</w:t>
      </w:r>
    </w:p>
    <w:p>
      <w:pPr>
        <w:spacing w:after="0" w:line="359" w:lineRule="exact"/>
        <w:rPr>
          <w:sz w:val="20"/>
          <w:szCs w:val="20"/>
          <w:color w:val="auto"/>
        </w:rPr>
      </w:pPr>
    </w:p>
    <w:p>
      <w:pPr>
        <w:ind w:right="640"/>
        <w:spacing w:after="0" w:line="274" w:lineRule="auto"/>
        <w:rPr>
          <w:sz w:val="20"/>
          <w:szCs w:val="20"/>
          <w:color w:val="auto"/>
        </w:rPr>
      </w:pPr>
      <w:r>
        <w:rPr>
          <w:rFonts w:ascii="Arial" w:cs="Arial" w:eastAsia="Arial" w:hAnsi="Arial"/>
          <w:sz w:val="20"/>
          <w:szCs w:val="20"/>
          <w:b w:val="1"/>
          <w:bCs w:val="1"/>
          <w:u w:val="single" w:color="auto"/>
          <w:color w:val="auto"/>
        </w:rPr>
        <w:t>Crypto custody:</w:t>
      </w:r>
      <w:r>
        <w:rPr>
          <w:rFonts w:ascii="Arial" w:cs="Arial" w:eastAsia="Arial" w:hAnsi="Arial"/>
          <w:sz w:val="20"/>
          <w:szCs w:val="20"/>
          <w:b w:val="1"/>
          <w:bCs w:val="1"/>
          <w:color w:val="auto"/>
        </w:rPr>
        <w:t xml:space="preserve"> </w:t>
      </w:r>
      <w:r>
        <w:rPr>
          <w:rFonts w:ascii="Arial" w:cs="Arial" w:eastAsia="Arial" w:hAnsi="Arial"/>
          <w:sz w:val="20"/>
          <w:szCs w:val="20"/>
          <w:color w:val="auto"/>
        </w:rPr>
        <w:t>Contnuing to invest in our best-in-class custody ofering to enhance our ofering with applicaton redesign and new</w:t>
      </w:r>
      <w:r>
        <w:rPr>
          <w:rFonts w:ascii="Arial" w:cs="Arial" w:eastAsia="Arial" w:hAnsi="Arial"/>
          <w:sz w:val="20"/>
          <w:szCs w:val="20"/>
          <w:b w:val="1"/>
          <w:bCs w:val="1"/>
          <w:color w:val="auto"/>
        </w:rPr>
        <w:t xml:space="preserve"> </w:t>
      </w:r>
      <w:r>
        <w:rPr>
          <w:rFonts w:ascii="Arial" w:cs="Arial" w:eastAsia="Arial" w:hAnsi="Arial"/>
          <w:sz w:val="20"/>
          <w:szCs w:val="20"/>
          <w:color w:val="auto"/>
        </w:rPr>
        <w:t>functonality to launch additonal products. Successful expansion of our platorm includes:</w:t>
      </w:r>
    </w:p>
    <w:p>
      <w:pPr>
        <w:spacing w:after="0" w:line="109" w:lineRule="exact"/>
        <w:rPr>
          <w:sz w:val="20"/>
          <w:szCs w:val="20"/>
          <w:color w:val="auto"/>
        </w:rPr>
      </w:pPr>
    </w:p>
    <w:p>
      <w:pPr>
        <w:ind w:left="660" w:hanging="328"/>
        <w:spacing w:after="0" w:line="253"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Expansion of client base </w:t>
      </w:r>
      <w:r>
        <w:rPr>
          <w:rFonts w:ascii="Arial" w:cs="Arial" w:eastAsia="Arial" w:hAnsi="Arial"/>
          <w:sz w:val="20"/>
          <w:szCs w:val="20"/>
          <w:color w:val="auto"/>
        </w:rPr>
        <w:t>– our secure, reliable and trusted custody platorm is beneftng from a fight to quality with strong</w:t>
      </w:r>
      <w:r>
        <w:rPr>
          <w:rFonts w:ascii="Arial" w:cs="Arial" w:eastAsia="Arial" w:hAnsi="Arial"/>
          <w:sz w:val="20"/>
          <w:szCs w:val="20"/>
          <w:b w:val="1"/>
          <w:bCs w:val="1"/>
          <w:color w:val="auto"/>
        </w:rPr>
        <w:t xml:space="preserve"> </w:t>
      </w:r>
      <w:r>
        <w:rPr>
          <w:rFonts w:ascii="Arial" w:cs="Arial" w:eastAsia="Arial" w:hAnsi="Arial"/>
          <w:sz w:val="20"/>
          <w:szCs w:val="20"/>
          <w:color w:val="auto"/>
        </w:rPr>
        <w:t>increase in inbound client interest. We have successfully signed new custody clients and are engaged in late-stage negotatons with multple prospects across broad client vertcals.</w:t>
      </w:r>
    </w:p>
    <w:p>
      <w:pPr>
        <w:spacing w:after="0" w:line="1" w:lineRule="exact"/>
        <w:rPr>
          <w:rFonts w:ascii="Arial" w:cs="Arial" w:eastAsia="Arial" w:hAnsi="Arial"/>
          <w:sz w:val="20"/>
          <w:szCs w:val="20"/>
          <w:color w:val="auto"/>
        </w:rPr>
      </w:pPr>
    </w:p>
    <w:p>
      <w:pPr>
        <w:ind w:left="660" w:right="40" w:hanging="328"/>
        <w:spacing w:after="0" w:line="256"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Collaboraton with </w:t>
      </w:r>
      <w:r>
        <w:rPr>
          <w:rFonts w:ascii="Arial" w:cs="Arial" w:eastAsia="Arial" w:hAnsi="Arial"/>
          <w:sz w:val="20"/>
          <w:szCs w:val="20"/>
          <w:b w:val="1"/>
          <w:bCs w:val="1"/>
          <w:i w:val="1"/>
          <w:iCs w:val="1"/>
          <w:color w:val="auto"/>
        </w:rPr>
        <w:t>Fireblocks</w:t>
      </w:r>
      <w:r>
        <w:rPr>
          <w:rFonts w:ascii="Arial" w:cs="Arial" w:eastAsia="Arial" w:hAnsi="Arial"/>
          <w:sz w:val="20"/>
          <w:szCs w:val="20"/>
          <w:b w:val="1"/>
          <w:bCs w:val="1"/>
          <w:color w:val="auto"/>
        </w:rPr>
        <w:t xml:space="preserve"> </w:t>
      </w:r>
      <w:r>
        <w:rPr>
          <w:rFonts w:ascii="Arial" w:cs="Arial" w:eastAsia="Arial" w:hAnsi="Arial"/>
          <w:sz w:val="20"/>
          <w:szCs w:val="20"/>
          <w:color w:val="auto"/>
        </w:rPr>
        <w:t>– signed new mult-faceted agreement, which includes providing Fireblocks Of-Exchange customers</w:t>
      </w:r>
      <w:r>
        <w:rPr>
          <w:rFonts w:ascii="Arial" w:cs="Arial" w:eastAsia="Arial" w:hAnsi="Arial"/>
          <w:sz w:val="20"/>
          <w:szCs w:val="20"/>
          <w:b w:val="1"/>
          <w:bCs w:val="1"/>
          <w:color w:val="auto"/>
        </w:rPr>
        <w:t xml:space="preserve"> </w:t>
      </w:r>
      <w:r>
        <w:rPr>
          <w:rFonts w:ascii="Arial" w:cs="Arial" w:eastAsia="Arial" w:hAnsi="Arial"/>
          <w:sz w:val="20"/>
          <w:szCs w:val="20"/>
          <w:color w:val="auto"/>
        </w:rPr>
        <w:t>with our Disaster Recovery Services. We will also join the Fireblocks Qualifed Custodian Network, part of the Fireblocks Network that is used every day by thousands of organizatons to transfer over $3 trillion in digital assets, which will provide us with access to a broad network of over 1,800 insttutons.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1671320</wp:posOffset>
            </wp:positionH>
            <wp:positionV relativeFrom="paragraph">
              <wp:posOffset>-949325</wp:posOffset>
            </wp:positionV>
            <wp:extent cx="285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Bakkt Second Quarter Financial Highlights (unaudited)</w:t>
      </w:r>
    </w:p>
    <w:p>
      <w:pPr>
        <w:spacing w:after="0" w:line="22" w:lineRule="exact"/>
        <w:rPr>
          <w:sz w:val="20"/>
          <w:szCs w:val="20"/>
          <w:color w:val="auto"/>
        </w:rPr>
      </w:pPr>
    </w:p>
    <w:p>
      <w:pPr>
        <w:ind w:right="40"/>
        <w:spacing w:after="0" w:line="373" w:lineRule="auto"/>
        <w:rPr>
          <w:sz w:val="20"/>
          <w:szCs w:val="20"/>
          <w:color w:val="auto"/>
        </w:rPr>
      </w:pPr>
      <w:r>
        <w:rPr>
          <w:rFonts w:ascii="Arial" w:cs="Arial" w:eastAsia="Arial" w:hAnsi="Arial"/>
          <w:sz w:val="16"/>
          <w:szCs w:val="16"/>
          <w:color w:val="auto"/>
        </w:rPr>
        <w:t>Second quarter 2023 results include Apex Crypto, which we acquired on April 1, 2023. In accordance with GAAP, we are presentng crypto services revenue and crypto costs and executon, clearing and brokerage fees on a gross basis since we are a principal in those transactons.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shd w:val="clear" w:color="auto" w:fill="000000"/>
          </w:tcPr>
          <w:p>
            <w:pPr>
              <w:spacing w:after="0"/>
              <w:rPr>
                <w:sz w:val="20"/>
                <w:szCs w:val="20"/>
                <w:color w:val="auto"/>
              </w:rPr>
            </w:pPr>
          </w:p>
        </w:tc>
        <w:tc>
          <w:tcPr>
            <w:tcW w:w="3540" w:type="dxa"/>
            <w:vAlign w:val="bottom"/>
            <w:shd w:val="clear" w:color="auto" w:fill="000000"/>
          </w:tcPr>
          <w:p>
            <w:pPr>
              <w:spacing w:after="0"/>
              <w:rPr>
                <w:sz w:val="20"/>
                <w:szCs w:val="20"/>
                <w:color w:val="auto"/>
              </w:rPr>
            </w:pPr>
          </w:p>
        </w:tc>
        <w:tc>
          <w:tcPr>
            <w:tcW w:w="2260" w:type="dxa"/>
            <w:vAlign w:val="bottom"/>
            <w:shd w:val="clear" w:color="auto" w:fill="000000"/>
          </w:tcPr>
          <w:p>
            <w:pPr>
              <w:spacing w:after="0"/>
              <w:rPr>
                <w:sz w:val="20"/>
                <w:szCs w:val="20"/>
                <w:color w:val="auto"/>
              </w:rPr>
            </w:pPr>
          </w:p>
        </w:tc>
        <w:tc>
          <w:tcPr>
            <w:tcW w:w="1980" w:type="dxa"/>
            <w:vAlign w:val="bottom"/>
            <w:shd w:val="clear" w:color="auto" w:fill="000000"/>
          </w:tcPr>
          <w:p>
            <w:pPr>
              <w:spacing w:after="0"/>
              <w:rPr>
                <w:sz w:val="20"/>
                <w:szCs w:val="20"/>
                <w:color w:val="auto"/>
              </w:rPr>
            </w:pPr>
          </w:p>
        </w:tc>
        <w:tc>
          <w:tcPr>
            <w:tcW w:w="1680" w:type="dxa"/>
            <w:vAlign w:val="bottom"/>
            <w:shd w:val="clear" w:color="auto" w:fill="000000"/>
          </w:tcPr>
          <w:p>
            <w:pPr>
              <w:jc w:val="right"/>
              <w:spacing w:after="0"/>
              <w:rPr>
                <w:sz w:val="20"/>
                <w:szCs w:val="20"/>
                <w:color w:val="auto"/>
              </w:rPr>
            </w:pPr>
            <w:r>
              <w:rPr>
                <w:rFonts w:ascii="Arial" w:cs="Arial" w:eastAsia="Arial" w:hAnsi="Arial"/>
                <w:sz w:val="18"/>
                <w:szCs w:val="18"/>
                <w:b w:val="1"/>
                <w:bCs w:val="1"/>
                <w:color w:val="FFFFFF"/>
              </w:rPr>
              <w:t>Increase/</w:t>
            </w:r>
          </w:p>
        </w:tc>
        <w:tc>
          <w:tcPr>
            <w:tcW w:w="0" w:type="dxa"/>
            <w:vAlign w:val="bottom"/>
          </w:tcPr>
          <w:p>
            <w:pPr>
              <w:spacing w:after="0"/>
              <w:rPr>
                <w:sz w:val="1"/>
                <w:szCs w:val="1"/>
                <w:color w:val="auto"/>
              </w:rPr>
            </w:pPr>
          </w:p>
        </w:tc>
      </w:tr>
      <w:tr>
        <w:trPr>
          <w:trHeight w:val="271"/>
        </w:trPr>
        <w:tc>
          <w:tcPr>
            <w:tcW w:w="20" w:type="dxa"/>
            <w:vAlign w:val="bottom"/>
            <w:tcBorders>
              <w:bottom w:val="single" w:sz="8" w:color="auto"/>
            </w:tcBorders>
            <w:shd w:val="clear" w:color="auto" w:fill="000000"/>
          </w:tcPr>
          <w:p>
            <w:pPr>
              <w:spacing w:after="0"/>
              <w:rPr>
                <w:sz w:val="23"/>
                <w:szCs w:val="23"/>
                <w:color w:val="auto"/>
              </w:rPr>
            </w:pPr>
          </w:p>
        </w:tc>
        <w:tc>
          <w:tcPr>
            <w:tcW w:w="3540" w:type="dxa"/>
            <w:vAlign w:val="bottom"/>
            <w:tcBorders>
              <w:bottom w:val="single" w:sz="8" w:color="auto"/>
            </w:tcBorders>
            <w:shd w:val="clear" w:color="auto" w:fill="000000"/>
          </w:tcPr>
          <w:p>
            <w:pPr>
              <w:ind w:left="20"/>
              <w:spacing w:after="0"/>
              <w:rPr>
                <w:sz w:val="20"/>
                <w:szCs w:val="20"/>
                <w:color w:val="auto"/>
              </w:rPr>
            </w:pPr>
            <w:r>
              <w:rPr>
                <w:rFonts w:ascii="Arial" w:cs="Arial" w:eastAsia="Arial" w:hAnsi="Arial"/>
                <w:sz w:val="18"/>
                <w:szCs w:val="18"/>
                <w:b w:val="1"/>
                <w:bCs w:val="1"/>
                <w:color w:val="FFFFFF"/>
              </w:rPr>
              <w:t>$ in millions</w:t>
            </w:r>
          </w:p>
        </w:tc>
        <w:tc>
          <w:tcPr>
            <w:tcW w:w="2260" w:type="dxa"/>
            <w:vAlign w:val="bottom"/>
            <w:tcBorders>
              <w:bottom w:val="single" w:sz="8" w:color="auto"/>
            </w:tcBorders>
            <w:shd w:val="clear" w:color="auto" w:fill="000000"/>
          </w:tcPr>
          <w:p>
            <w:pPr>
              <w:jc w:val="right"/>
              <w:ind w:right="490"/>
              <w:spacing w:after="0"/>
              <w:rPr>
                <w:sz w:val="20"/>
                <w:szCs w:val="20"/>
                <w:color w:val="auto"/>
              </w:rPr>
            </w:pPr>
            <w:r>
              <w:rPr>
                <w:rFonts w:ascii="Arial" w:cs="Arial" w:eastAsia="Arial" w:hAnsi="Arial"/>
                <w:sz w:val="18"/>
                <w:szCs w:val="18"/>
                <w:b w:val="1"/>
                <w:bCs w:val="1"/>
                <w:color w:val="FFFFFF"/>
              </w:rPr>
              <w:t>2Q23</w:t>
            </w:r>
          </w:p>
        </w:tc>
        <w:tc>
          <w:tcPr>
            <w:tcW w:w="1980" w:type="dxa"/>
            <w:vAlign w:val="bottom"/>
            <w:tcBorders>
              <w:bottom w:val="single" w:sz="8" w:color="auto"/>
            </w:tcBorders>
            <w:shd w:val="clear" w:color="auto" w:fill="000000"/>
          </w:tcPr>
          <w:p>
            <w:pPr>
              <w:jc w:val="right"/>
              <w:ind w:right="790"/>
              <w:spacing w:after="0"/>
              <w:rPr>
                <w:sz w:val="20"/>
                <w:szCs w:val="20"/>
                <w:color w:val="auto"/>
              </w:rPr>
            </w:pPr>
            <w:r>
              <w:rPr>
                <w:rFonts w:ascii="Arial" w:cs="Arial" w:eastAsia="Arial" w:hAnsi="Arial"/>
                <w:sz w:val="18"/>
                <w:szCs w:val="18"/>
                <w:b w:val="1"/>
                <w:bCs w:val="1"/>
                <w:color w:val="FFFFFF"/>
              </w:rPr>
              <w:t>2Q22</w:t>
            </w:r>
          </w:p>
        </w:tc>
        <w:tc>
          <w:tcPr>
            <w:tcW w:w="1680" w:type="dxa"/>
            <w:vAlign w:val="bottom"/>
            <w:tcBorders>
              <w:bottom w:val="single" w:sz="8" w:color="auto"/>
            </w:tcBorders>
            <w:shd w:val="clear" w:color="auto" w:fill="000000"/>
          </w:tcPr>
          <w:p>
            <w:pPr>
              <w:jc w:val="right"/>
              <w:spacing w:after="0"/>
              <w:rPr>
                <w:sz w:val="20"/>
                <w:szCs w:val="20"/>
                <w:color w:val="auto"/>
              </w:rPr>
            </w:pPr>
            <w:r>
              <w:rPr>
                <w:rFonts w:ascii="Arial" w:cs="Arial" w:eastAsia="Arial" w:hAnsi="Arial"/>
                <w:sz w:val="18"/>
                <w:szCs w:val="18"/>
                <w:b w:val="1"/>
                <w:bCs w:val="1"/>
                <w:color w:val="FFFFFF"/>
              </w:rPr>
              <w:t>(decrease)</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260" w:type="dxa"/>
            <w:vAlign w:val="bottom"/>
          </w:tcPr>
          <w:p>
            <w:pPr>
              <w:jc w:val="right"/>
              <w:ind w:right="490"/>
              <w:spacing w:after="0"/>
              <w:rPr>
                <w:sz w:val="20"/>
                <w:szCs w:val="20"/>
                <w:color w:val="auto"/>
              </w:rPr>
            </w:pPr>
            <w:r>
              <w:rPr>
                <w:rFonts w:ascii="Arial" w:cs="Arial" w:eastAsia="Arial" w:hAnsi="Arial"/>
                <w:sz w:val="18"/>
                <w:szCs w:val="18"/>
                <w:color w:val="auto"/>
              </w:rPr>
              <w:t>$347.6</w:t>
            </w:r>
          </w:p>
        </w:tc>
        <w:tc>
          <w:tcPr>
            <w:tcW w:w="1980" w:type="dxa"/>
            <w:vAlign w:val="bottom"/>
          </w:tcPr>
          <w:p>
            <w:pPr>
              <w:jc w:val="right"/>
              <w:ind w:right="790"/>
              <w:spacing w:after="0"/>
              <w:rPr>
                <w:sz w:val="20"/>
                <w:szCs w:val="20"/>
                <w:color w:val="auto"/>
              </w:rPr>
            </w:pPr>
            <w:r>
              <w:rPr>
                <w:rFonts w:ascii="Arial" w:cs="Arial" w:eastAsia="Arial" w:hAnsi="Arial"/>
                <w:sz w:val="18"/>
                <w:szCs w:val="18"/>
                <w:color w:val="auto"/>
              </w:rPr>
              <w:t>$14.0</w:t>
            </w:r>
          </w:p>
        </w:tc>
        <w:tc>
          <w:tcPr>
            <w:tcW w:w="16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Operatng expenses</w:t>
            </w:r>
          </w:p>
        </w:tc>
        <w:tc>
          <w:tcPr>
            <w:tcW w:w="2260" w:type="dxa"/>
            <w:vAlign w:val="bottom"/>
          </w:tcPr>
          <w:p>
            <w:pPr>
              <w:jc w:val="right"/>
              <w:ind w:right="490"/>
              <w:spacing w:after="0"/>
              <w:rPr>
                <w:sz w:val="20"/>
                <w:szCs w:val="20"/>
                <w:color w:val="auto"/>
              </w:rPr>
            </w:pPr>
            <w:r>
              <w:rPr>
                <w:rFonts w:ascii="Arial" w:cs="Arial" w:eastAsia="Arial" w:hAnsi="Arial"/>
                <w:sz w:val="18"/>
                <w:szCs w:val="18"/>
                <w:color w:val="auto"/>
              </w:rPr>
              <w:t>398.7</w:t>
            </w:r>
          </w:p>
        </w:tc>
        <w:tc>
          <w:tcPr>
            <w:tcW w:w="1980" w:type="dxa"/>
            <w:vAlign w:val="bottom"/>
          </w:tcPr>
          <w:p>
            <w:pPr>
              <w:jc w:val="right"/>
              <w:ind w:right="790"/>
              <w:spacing w:after="0"/>
              <w:rPr>
                <w:sz w:val="20"/>
                <w:szCs w:val="20"/>
                <w:color w:val="auto"/>
              </w:rPr>
            </w:pPr>
            <w:r>
              <w:rPr>
                <w:rFonts w:ascii="Arial" w:cs="Arial" w:eastAsia="Arial" w:hAnsi="Arial"/>
                <w:sz w:val="18"/>
                <w:szCs w:val="18"/>
                <w:color w:val="auto"/>
              </w:rPr>
              <w:t>57.6</w:t>
            </w:r>
          </w:p>
        </w:tc>
        <w:tc>
          <w:tcPr>
            <w:tcW w:w="16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540" w:type="dxa"/>
            <w:vAlign w:val="bottom"/>
            <w:vMerge w:val="restart"/>
          </w:tcPr>
          <w:p>
            <w:pPr>
              <w:ind w:left="20"/>
              <w:spacing w:after="0"/>
              <w:rPr>
                <w:sz w:val="20"/>
                <w:szCs w:val="20"/>
                <w:color w:val="auto"/>
              </w:rPr>
            </w:pPr>
            <w:r>
              <w:rPr>
                <w:rFonts w:ascii="Arial" w:cs="Arial" w:eastAsia="Arial" w:hAnsi="Arial"/>
                <w:sz w:val="18"/>
                <w:szCs w:val="18"/>
                <w:color w:val="auto"/>
              </w:rPr>
              <w:t>Operatng loss</w:t>
            </w:r>
          </w:p>
        </w:tc>
        <w:tc>
          <w:tcPr>
            <w:tcW w:w="226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540" w:type="dxa"/>
            <w:vAlign w:val="bottom"/>
            <w:vMerge w:val="continue"/>
          </w:tcPr>
          <w:p>
            <w:pPr>
              <w:spacing w:after="0"/>
              <w:rPr>
                <w:sz w:val="19"/>
                <w:szCs w:val="19"/>
                <w:color w:val="auto"/>
              </w:rPr>
            </w:pPr>
          </w:p>
        </w:tc>
        <w:tc>
          <w:tcPr>
            <w:tcW w:w="2260" w:type="dxa"/>
            <w:vAlign w:val="bottom"/>
          </w:tcPr>
          <w:p>
            <w:pPr>
              <w:jc w:val="right"/>
              <w:ind w:right="490"/>
              <w:spacing w:after="0"/>
              <w:rPr>
                <w:sz w:val="20"/>
                <w:szCs w:val="20"/>
                <w:color w:val="auto"/>
              </w:rPr>
            </w:pPr>
            <w:r>
              <w:rPr>
                <w:rFonts w:ascii="Arial" w:cs="Arial" w:eastAsia="Arial" w:hAnsi="Arial"/>
                <w:sz w:val="18"/>
                <w:szCs w:val="18"/>
                <w:color w:val="auto"/>
              </w:rPr>
              <w:t>(51.1)</w:t>
            </w:r>
          </w:p>
        </w:tc>
        <w:tc>
          <w:tcPr>
            <w:tcW w:w="1980" w:type="dxa"/>
            <w:vAlign w:val="bottom"/>
          </w:tcPr>
          <w:p>
            <w:pPr>
              <w:jc w:val="right"/>
              <w:ind w:right="790"/>
              <w:spacing w:after="0"/>
              <w:rPr>
                <w:sz w:val="20"/>
                <w:szCs w:val="20"/>
                <w:color w:val="auto"/>
              </w:rPr>
            </w:pPr>
            <w:r>
              <w:rPr>
                <w:rFonts w:ascii="Arial" w:cs="Arial" w:eastAsia="Arial" w:hAnsi="Arial"/>
                <w:sz w:val="18"/>
                <w:szCs w:val="18"/>
                <w:color w:val="auto"/>
              </w:rPr>
              <w:t>(43.6)</w:t>
            </w:r>
          </w:p>
        </w:tc>
        <w:tc>
          <w:tcPr>
            <w:tcW w:w="168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60" w:type="dxa"/>
            <w:vAlign w:val="bottom"/>
          </w:tcPr>
          <w:p>
            <w:pPr>
              <w:jc w:val="right"/>
              <w:ind w:right="490"/>
              <w:spacing w:after="0"/>
              <w:rPr>
                <w:sz w:val="20"/>
                <w:szCs w:val="20"/>
                <w:color w:val="auto"/>
              </w:rPr>
            </w:pPr>
            <w:r>
              <w:rPr>
                <w:rFonts w:ascii="Arial" w:cs="Arial" w:eastAsia="Arial" w:hAnsi="Arial"/>
                <w:sz w:val="18"/>
                <w:szCs w:val="18"/>
                <w:color w:val="auto"/>
              </w:rPr>
              <w:t>(50.5)</w:t>
            </w:r>
          </w:p>
        </w:tc>
        <w:tc>
          <w:tcPr>
            <w:tcW w:w="1980" w:type="dxa"/>
            <w:vAlign w:val="bottom"/>
          </w:tcPr>
          <w:p>
            <w:pPr>
              <w:jc w:val="right"/>
              <w:ind w:right="790"/>
              <w:spacing w:after="0"/>
              <w:rPr>
                <w:sz w:val="20"/>
                <w:szCs w:val="20"/>
                <w:color w:val="auto"/>
              </w:rPr>
            </w:pPr>
            <w:r>
              <w:rPr>
                <w:rFonts w:ascii="Arial" w:cs="Arial" w:eastAsia="Arial" w:hAnsi="Arial"/>
                <w:sz w:val="18"/>
                <w:szCs w:val="18"/>
                <w:color w:val="auto"/>
              </w:rPr>
              <w:t>(27.6)</w:t>
            </w:r>
          </w:p>
        </w:tc>
        <w:tc>
          <w:tcPr>
            <w:tcW w:w="1680" w:type="dxa"/>
            <w:vAlign w:val="bottom"/>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Adjusted EBITDA loss (non-GAAP)</w:t>
            </w:r>
          </w:p>
        </w:tc>
        <w:tc>
          <w:tcPr>
            <w:tcW w:w="2260" w:type="dxa"/>
            <w:vAlign w:val="bottom"/>
          </w:tcPr>
          <w:p>
            <w:pPr>
              <w:jc w:val="right"/>
              <w:ind w:right="490"/>
              <w:spacing w:after="0"/>
              <w:rPr>
                <w:sz w:val="20"/>
                <w:szCs w:val="20"/>
                <w:color w:val="auto"/>
              </w:rPr>
            </w:pPr>
            <w:r>
              <w:rPr>
                <w:rFonts w:ascii="Arial" w:cs="Arial" w:eastAsia="Arial" w:hAnsi="Arial"/>
                <w:sz w:val="18"/>
                <w:szCs w:val="18"/>
                <w:color w:val="auto"/>
              </w:rPr>
              <w:t>$(24.5)</w:t>
            </w:r>
          </w:p>
        </w:tc>
        <w:tc>
          <w:tcPr>
            <w:tcW w:w="1980" w:type="dxa"/>
            <w:vAlign w:val="bottom"/>
          </w:tcPr>
          <w:p>
            <w:pPr>
              <w:jc w:val="right"/>
              <w:ind w:right="790"/>
              <w:spacing w:after="0"/>
              <w:rPr>
                <w:sz w:val="20"/>
                <w:szCs w:val="20"/>
                <w:color w:val="auto"/>
              </w:rPr>
            </w:pPr>
            <w:r>
              <w:rPr>
                <w:rFonts w:ascii="Arial" w:cs="Arial" w:eastAsia="Arial" w:hAnsi="Arial"/>
                <w:sz w:val="18"/>
                <w:szCs w:val="18"/>
                <w:color w:val="auto"/>
              </w:rPr>
              <w:t>$(29.6)</w:t>
            </w:r>
          </w:p>
        </w:tc>
        <w:tc>
          <w:tcPr>
            <w:tcW w:w="16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54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Note: “N.M” denotes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1714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0" w:hanging="92"/>
        <w:spacing w:after="0"/>
        <w:tabs>
          <w:tab w:leader="none" w:pos="10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Currently available in most states, awaitng regulatory approval in certain states.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393" w:lineRule="exact"/>
        <w:rPr>
          <w:rFonts w:ascii="Arial" w:cs="Arial" w:eastAsia="Arial" w:hAnsi="Arial"/>
          <w:sz w:val="23"/>
          <w:szCs w:val="23"/>
          <w:color w:val="auto"/>
          <w:vertAlign w:val="superscript"/>
        </w:rPr>
      </w:pPr>
    </w:p>
    <w:p>
      <w:pPr>
        <w:ind w:left="5580"/>
        <w:spacing w:after="0"/>
        <w:rPr>
          <w:rFonts w:ascii="Arial" w:cs="Arial" w:eastAsia="Arial" w:hAnsi="Arial"/>
          <w:sz w:val="23"/>
          <w:szCs w:val="23"/>
          <w:color w:val="auto"/>
          <w:vertAlign w:val="superscript"/>
        </w:rPr>
      </w:pPr>
      <w:r>
        <w:rPr>
          <w:rFonts w:ascii="Arial" w:cs="Arial" w:eastAsia="Arial" w:hAnsi="Arial"/>
          <w:sz w:val="20"/>
          <w:szCs w:val="20"/>
          <w:color w:val="auto"/>
        </w:rPr>
        <w:t>2</w:t>
      </w:r>
    </w:p>
    <w:p>
      <w:pPr>
        <w:sectPr>
          <w:pgSz w:w="11900" w:h="16838" w:orient="portrait"/>
          <w:cols w:equalWidth="0" w:num="1">
            <w:col w:w="11200"/>
          </w:cols>
          <w:pgMar w:left="320" w:top="1440" w:right="37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439420</wp:posOffset>
            </wp:positionH>
            <wp:positionV relativeFrom="page">
              <wp:posOffset>88900</wp:posOffset>
            </wp:positionV>
            <wp:extent cx="1028700" cy="5397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39750"/>
                    </a:xfrm>
                    <a:prstGeom prst="rect">
                      <a:avLst/>
                    </a:prstGeom>
                    <a:noFill/>
                  </pic:spPr>
                </pic:pic>
              </a:graphicData>
            </a:graphic>
          </wp:anchor>
        </w:drawing>
      </w:r>
    </w:p>
    <w:p>
      <w:pPr>
        <w:spacing w:after="0" w:line="230" w:lineRule="exact"/>
        <w:rPr>
          <w:sz w:val="20"/>
          <w:szCs w:val="20"/>
          <w:color w:val="auto"/>
        </w:rPr>
      </w:pPr>
    </w:p>
    <w:p>
      <w:pPr>
        <w:ind w:left="980" w:right="3200" w:hanging="648"/>
        <w:spacing w:after="0" w:line="287" w:lineRule="auto"/>
        <w:tabs>
          <w:tab w:leader="none" w:pos="656"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Key performance indicators (including historical Apex Crypto data for comparison purposes): </w:t>
      </w:r>
      <w:r>
        <w:rPr>
          <w:rFonts w:ascii="Courier New" w:cs="Courier New" w:eastAsia="Courier New" w:hAnsi="Courier New"/>
          <w:sz w:val="18"/>
          <w:szCs w:val="18"/>
          <w:color w:val="auto"/>
        </w:rPr>
        <w:t xml:space="preserve">o </w:t>
      </w:r>
      <w:r>
        <w:rPr>
          <w:rFonts w:ascii="Arial" w:cs="Arial" w:eastAsia="Arial" w:hAnsi="Arial"/>
          <w:sz w:val="18"/>
          <w:szCs w:val="18"/>
          <w:color w:val="auto"/>
        </w:rPr>
        <w:t>Crypto enabled accounts of 6.0 million have contnued to increase steadily.</w:t>
      </w:r>
    </w:p>
    <w:p>
      <w:pPr>
        <w:ind w:left="980" w:right="620"/>
        <w:spacing w:after="0" w:line="276" w:lineRule="auto"/>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Transactng accounts of 1.2 million decreased 20% year-over-year, due to industrywide slowdown in crypto actvity.</w:t>
      </w:r>
      <w:r>
        <w:rPr>
          <w:rFonts w:ascii="Courier New" w:cs="Courier New" w:eastAsia="Courier New" w:hAnsi="Courier New"/>
          <w:sz w:val="18"/>
          <w:szCs w:val="18"/>
          <w:color w:val="auto"/>
        </w:rPr>
        <w:t xml:space="preserve"> o </w:t>
      </w:r>
      <w:r>
        <w:rPr>
          <w:rFonts w:ascii="Arial" w:cs="Arial" w:eastAsia="Arial" w:hAnsi="Arial"/>
          <w:sz w:val="18"/>
          <w:szCs w:val="18"/>
          <w:color w:val="auto"/>
        </w:rPr>
        <w:t>Notonal traded volume of $531 million decreased 51% year-over-year, due to industrywide decline in crypto trading</w:t>
      </w:r>
    </w:p>
    <w:p>
      <w:pPr>
        <w:ind w:left="1300"/>
        <w:spacing w:after="0"/>
        <w:rPr>
          <w:rFonts w:ascii="Arial" w:cs="Arial" w:eastAsia="Arial" w:hAnsi="Arial"/>
          <w:sz w:val="18"/>
          <w:szCs w:val="18"/>
          <w:color w:val="auto"/>
        </w:rPr>
      </w:pPr>
      <w:r>
        <w:rPr>
          <w:rFonts w:ascii="Arial" w:cs="Arial" w:eastAsia="Arial" w:hAnsi="Arial"/>
          <w:sz w:val="20"/>
          <w:szCs w:val="20"/>
          <w:color w:val="auto"/>
        </w:rPr>
        <w:t>volumes and lower hotel, rental car and merchandise loyalty redempton actvity.</w:t>
      </w:r>
    </w:p>
    <w:p>
      <w:pPr>
        <w:spacing w:after="0" w:line="24"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Assets under custody of $660 million increased 3% year-over-year, primarily due to higher coin prices.</w:t>
      </w:r>
    </w:p>
    <w:p>
      <w:pPr>
        <w:spacing w:after="0" w:line="22" w:lineRule="exact"/>
        <w:rPr>
          <w:rFonts w:ascii="Arial" w:cs="Arial" w:eastAsia="Arial" w:hAnsi="Arial"/>
          <w:sz w:val="18"/>
          <w:szCs w:val="18"/>
          <w:color w:val="auto"/>
        </w:rPr>
      </w:pPr>
    </w:p>
    <w:p>
      <w:pPr>
        <w:ind w:left="660" w:right="260" w:hanging="328"/>
        <w:spacing w:after="0" w:line="272"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Revenues of $347.6 million refect a signifcant increase in gross crypto services revenues driven by Apex Crypto’s trading actvity. Net loyalty revenues of $12.3 million decreased 8% year-over-year as subscripton and service revenues were down due to a reducton in volume-based service revenues.</w:t>
      </w:r>
    </w:p>
    <w:p>
      <w:pPr>
        <w:spacing w:after="0" w:line="1" w:lineRule="exact"/>
        <w:rPr>
          <w:rFonts w:ascii="Arial" w:cs="Arial" w:eastAsia="Arial" w:hAnsi="Arial"/>
          <w:sz w:val="20"/>
          <w:szCs w:val="20"/>
          <w:color w:val="auto"/>
        </w:rPr>
      </w:pPr>
    </w:p>
    <w:p>
      <w:pPr>
        <w:ind w:left="660" w:right="100" w:hanging="328"/>
        <w:spacing w:after="0" w:line="272"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Operatng expenses of $398.7 million refect a signifcant increase in crypto costs and executon, clearing and brokerage fees driven by Apex Crypto’s trading actvity, as well as $17.0 million in acquisiton-related expenses which includes a $10.4 million non-cash accrual related to the contngent stock earnout per the Apex Crypto purchase agreement.</w:t>
      </w:r>
    </w:p>
    <w:p>
      <w:pPr>
        <w:spacing w:after="0" w:line="1" w:lineRule="exact"/>
        <w:rPr>
          <w:rFonts w:ascii="Arial" w:cs="Arial" w:eastAsia="Arial" w:hAnsi="Arial"/>
          <w:sz w:val="20"/>
          <w:szCs w:val="20"/>
          <w:color w:val="auto"/>
        </w:rPr>
      </w:pPr>
    </w:p>
    <w:p>
      <w:pPr>
        <w:jc w:val="both"/>
        <w:ind w:left="660" w:right="1000" w:hanging="328"/>
        <w:spacing w:after="0" w:line="31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Operatng loss of $(51.1) million increased 17% year-over-year driven by acquisiton-related expenses, partally ofset by improvement in compensaton and benefts expense, due to lower headcount and share-based compensaton expense.</w:t>
      </w:r>
    </w:p>
    <w:p>
      <w:pPr>
        <w:ind w:left="660" w:hanging="328"/>
        <w:spacing w:after="0"/>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Net loss of $(50.5) million increased 83% year-over-year.</w:t>
      </w:r>
    </w:p>
    <w:p>
      <w:pPr>
        <w:spacing w:after="0" w:line="40" w:lineRule="exact"/>
        <w:rPr>
          <w:rFonts w:ascii="Arial" w:cs="Arial" w:eastAsia="Arial" w:hAnsi="Arial"/>
          <w:sz w:val="20"/>
          <w:szCs w:val="20"/>
          <w:color w:val="auto"/>
        </w:rPr>
      </w:pPr>
    </w:p>
    <w:p>
      <w:pPr>
        <w:ind w:left="660" w:hanging="328"/>
        <w:spacing w:after="0" w:line="289"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Adjusted EBITDA loss (non-GAAP) of $(24.5) million decreased 17% year-over-year primarily due to a reducton in compensaton and benefts costs and marketng expenses.</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Updated Full Year 2023 Outlook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are updatng our full year 2023 guidance to refect the impact from our acquisiton of Apex Crypto and the current market environment:</w:t>
      </w:r>
    </w:p>
    <w:p>
      <w:pPr>
        <w:spacing w:after="0" w:line="212" w:lineRule="exact"/>
        <w:rPr>
          <w:sz w:val="20"/>
          <w:szCs w:val="20"/>
          <w:color w:val="auto"/>
        </w:rPr>
      </w:pPr>
    </w:p>
    <w:p>
      <w:pPr>
        <w:ind w:left="660" w:right="600" w:hanging="328"/>
        <w:spacing w:after="0" w:line="274"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Full year 2023 revenues expected to be ~$2,132 million - ~$3,771 million; includes gross crypto revenues of ~$2,077 million - ~$3,716 million and net loyalty revenues of ~$55 million.</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Full year 2023 crypto costs expected to be ~$2,069 million - ~$3,702 million, in line with gross crypto revenues.</w:t>
      </w:r>
    </w:p>
    <w:p>
      <w:pPr>
        <w:spacing w:after="0" w:line="40" w:lineRule="exact"/>
        <w:rPr>
          <w:rFonts w:ascii="Arial" w:cs="Arial" w:eastAsia="Arial" w:hAnsi="Arial"/>
          <w:sz w:val="20"/>
          <w:szCs w:val="20"/>
          <w:color w:val="auto"/>
        </w:rPr>
      </w:pPr>
    </w:p>
    <w:p>
      <w:pPr>
        <w:ind w:left="660" w:right="240" w:hanging="328"/>
        <w:spacing w:after="0" w:line="274"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Full year 2023 net cash used in operatng actvites expected to be ~($78 million) – ~($84 million). Prior full year 2023 guidance of ($100 million) - ($110 million).</w:t>
      </w:r>
    </w:p>
    <w:p>
      <w:pPr>
        <w:spacing w:after="0" w:line="1" w:lineRule="exact"/>
        <w:rPr>
          <w:rFonts w:ascii="Arial" w:cs="Arial" w:eastAsia="Arial" w:hAnsi="Arial"/>
          <w:sz w:val="20"/>
          <w:szCs w:val="20"/>
          <w:color w:val="auto"/>
        </w:rPr>
      </w:pPr>
    </w:p>
    <w:p>
      <w:pPr>
        <w:ind w:left="660" w:right="420" w:hanging="328"/>
        <w:spacing w:after="0" w:line="285"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Full year 2023 free cash fow (non-GAAP) expected to be ~($90 million) - ~($96 million). Prior full year 2023 guidance of ($105 million) - ($115 million). Second half 2023 free cash fow (non-GAAP) usage outlook refects a ~70-80% reducton from frst half 2023 level refectng our focus on prudent expense management.</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Webcast and Conference Call Informaton</w:t>
      </w:r>
    </w:p>
    <w:p>
      <w:pPr>
        <w:spacing w:after="0" w:line="175" w:lineRule="exact"/>
        <w:rPr>
          <w:sz w:val="20"/>
          <w:szCs w:val="20"/>
          <w:color w:val="auto"/>
        </w:rPr>
      </w:pPr>
    </w:p>
    <w:p>
      <w:pPr>
        <w:ind w:right="200"/>
        <w:spacing w:after="0" w:line="278" w:lineRule="auto"/>
        <w:rPr>
          <w:sz w:val="20"/>
          <w:szCs w:val="20"/>
          <w:color w:val="auto"/>
        </w:rPr>
      </w:pPr>
      <w:r>
        <w:rPr>
          <w:rFonts w:ascii="Arial" w:cs="Arial" w:eastAsia="Arial" w:hAnsi="Arial"/>
          <w:sz w:val="20"/>
          <w:szCs w:val="20"/>
          <w:color w:val="auto"/>
        </w:rPr>
        <w:t xml:space="preserve">Bakkt will host a conference call at 9:00 AM ET, August 10, 2023. The live webcast of Bakkt’s earnings conference call can be accessed at </w:t>
      </w:r>
      <w:r>
        <w:rPr>
          <w:rFonts w:ascii="Arial" w:cs="Arial" w:eastAsia="Arial" w:hAnsi="Arial"/>
          <w:sz w:val="20"/>
          <w:szCs w:val="20"/>
          <w:u w:val="single" w:color="auto"/>
          <w:color w:val="0563C1"/>
        </w:rPr>
        <w:t>htps://investors.bakkt.com</w:t>
      </w:r>
      <w:r>
        <w:rPr>
          <w:rFonts w:ascii="Arial" w:cs="Arial" w:eastAsia="Arial" w:hAnsi="Arial"/>
          <w:sz w:val="20"/>
          <w:szCs w:val="20"/>
          <w:color w:val="000000"/>
        </w:rPr>
        <w:t>, along with the earnings press release and accompanying slide presentaton. Investors and analysts interested</w:t>
      </w:r>
      <w:r>
        <w:rPr>
          <w:rFonts w:ascii="Arial" w:cs="Arial" w:eastAsia="Arial" w:hAnsi="Arial"/>
          <w:sz w:val="20"/>
          <w:szCs w:val="20"/>
          <w:color w:val="0563C1"/>
        </w:rPr>
        <w:t xml:space="preserve"> </w:t>
      </w:r>
      <w:r>
        <w:rPr>
          <w:rFonts w:ascii="Arial" w:cs="Arial" w:eastAsia="Arial" w:hAnsi="Arial"/>
          <w:sz w:val="20"/>
          <w:szCs w:val="20"/>
          <w:color w:val="000000"/>
        </w:rPr>
        <w:t>in partcipatng in the call are invited to dial (833) 470-1428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439420</wp:posOffset>
            </wp:positionH>
            <wp:positionV relativeFrom="page">
              <wp:posOffset>88900</wp:posOffset>
            </wp:positionV>
            <wp:extent cx="1028700" cy="539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39750"/>
                    </a:xfrm>
                    <a:prstGeom prst="rect">
                      <a:avLst/>
                    </a:prstGeom>
                    <a:noFill/>
                  </pic:spPr>
                </pic:pic>
              </a:graphicData>
            </a:graphic>
          </wp:anchor>
        </w:drawing>
      </w:r>
    </w:p>
    <w:p>
      <w:pPr>
        <w:spacing w:after="0" w:line="217" w:lineRule="exact"/>
        <w:rPr>
          <w:sz w:val="20"/>
          <w:szCs w:val="20"/>
          <w:color w:val="auto"/>
        </w:rPr>
      </w:pPr>
    </w:p>
    <w:p>
      <w:pPr>
        <w:ind w:right="260"/>
        <w:spacing w:after="0" w:line="278" w:lineRule="auto"/>
        <w:rPr>
          <w:sz w:val="20"/>
          <w:szCs w:val="20"/>
          <w:color w:val="auto"/>
        </w:rPr>
      </w:pPr>
      <w:r>
        <w:rPr>
          <w:rFonts w:ascii="Arial" w:cs="Arial" w:eastAsia="Arial" w:hAnsi="Arial"/>
          <w:sz w:val="20"/>
          <w:szCs w:val="20"/>
          <w:color w:val="auto"/>
        </w:rPr>
        <w:t>or (404) 975-4839, and reference partcipant access code 830313 approximately ten minutes prior to the start of the call. A replay will be available promptly afer the call and can be accessed by dialing (866) 813-9403 and entering the access code 989042. The replay will be available through September 7, 2023.</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Bakkt</w:t>
      </w:r>
    </w:p>
    <w:p>
      <w:pPr>
        <w:spacing w:after="0" w:line="162" w:lineRule="exact"/>
        <w:rPr>
          <w:sz w:val="20"/>
          <w:szCs w:val="20"/>
          <w:color w:val="auto"/>
        </w:rPr>
      </w:pPr>
    </w:p>
    <w:p>
      <w:pPr>
        <w:ind w:right="480"/>
        <w:spacing w:after="0" w:line="347" w:lineRule="auto"/>
        <w:rPr>
          <w:sz w:val="20"/>
          <w:szCs w:val="20"/>
          <w:color w:val="auto"/>
        </w:rPr>
      </w:pPr>
      <w:r>
        <w:rPr>
          <w:rFonts w:ascii="Arial" w:cs="Arial" w:eastAsia="Arial" w:hAnsi="Arial"/>
          <w:sz w:val="18"/>
          <w:szCs w:val="18"/>
          <w:color w:val="auto"/>
        </w:rPr>
        <w:t>Founded in 2018, Bakkt builds solutons that enable our clients to grow with the crypto economy. Through insttutonal-grade custody, trading, and onramp capabilites, our clients leverage technology that’s built for sustainable, long-term involvement in crypto.</w:t>
      </w:r>
    </w:p>
    <w:p>
      <w:pPr>
        <w:spacing w:after="0" w:line="63" w:lineRule="exact"/>
        <w:rPr>
          <w:sz w:val="20"/>
          <w:szCs w:val="20"/>
          <w:color w:val="auto"/>
        </w:rPr>
      </w:pPr>
    </w:p>
    <w:p>
      <w:pPr>
        <w:ind w:right="1020"/>
        <w:spacing w:after="0" w:line="289" w:lineRule="auto"/>
        <w:rPr>
          <w:sz w:val="20"/>
          <w:szCs w:val="20"/>
          <w:color w:val="auto"/>
        </w:rPr>
      </w:pPr>
      <w:r>
        <w:rPr>
          <w:rFonts w:ascii="Arial" w:cs="Arial" w:eastAsia="Arial" w:hAnsi="Arial"/>
          <w:sz w:val="20"/>
          <w:szCs w:val="20"/>
          <w:color w:val="auto"/>
        </w:rPr>
        <w:t>Bakkt is headquartered in Alphareta, GA. For more informaton, visit: htps://www.bakkt.com/ | X (Formerly Twiter) @Bakkt | LinkedIn htps://www.linkedin.com/company/bakkt/.</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Bakkt-E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Source: Bakkt Holdings, Inc.</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Relatons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Ann DeVries, Head of Investor Relatons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Ann.DeVries@bakkt.com</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Lauren Post, Head of Communicatons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Lauren.Post@bakkt.com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on Forward-Looking Statements</w:t>
      </w:r>
    </w:p>
    <w:p>
      <w:pPr>
        <w:spacing w:after="0" w:line="14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press release contains “forward-looking statements” within the meaning of Secton 27A of the Securites Act of 1933, as amended, and Secton 21E of the Securites Exchange Act of 1934, as amended. Such statements include, but are not limited to, statements regarding the impacts from the Apex Crypto acquisiton, Bakkt’s guidance regarding Apex Crypto’s full year 2023 results, and Bakkt’s guidance, plans, objectves, expectatons and intentons with respect to future operatons, products, services, among others. Forward-looking statements can be identfed by words such as “will,” “likely,” “expect,” “contnue,” “antcipate,” “estmate,” “believe,” “intend,” “plan,” “projecton,” “outlook,” “grow,” “progress,” “potental” or words of similar meaning. Such forward-looking statements are based upon the current beliefs and expectatons of Bakkt’s management and are inherently subject to signifcant business, economic and compettve uncertaintes and contngencies, many of which are difcult to predict and beyond Bakkt’s control. Actual results and the tming of events may difer materially from the results antcipated in such forward-looking statements as a result of the following factors, among others: Bakkt’s ability to grow and manage growth proftably; changes in Bakkt’s business strategy; changes in the market in which Bakkt competes, including with respect to its compettve landscape, technology evoluton or changes in applicable laws or regulatons; changes in the markets that Bakkt targets; disruptons in the crypto market that subject Bakkt to additonal risks, including the risk that banks may not provide banking services to Bakkt; the possibility that Bakkt may be adversely afected by other economic, business, and/or compettve factors; the inability to launch new services and products or to proftably expand into new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20"/>
          </w:cols>
          <w:pgMar w:left="320" w:top="1440" w:right="359" w:bottom="1440" w:gutter="0" w:footer="0" w:header="0"/>
        </w:sectPr>
      </w:pPr>
    </w:p>
    <w:bookmarkStart w:id="7" w:name="page8"/>
    <w:bookmarkEnd w:id="7"/>
    <w:p>
      <w:pPr>
        <w:spacing w:after="0" w:line="3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439420</wp:posOffset>
            </wp:positionH>
            <wp:positionV relativeFrom="page">
              <wp:posOffset>88900</wp:posOffset>
            </wp:positionV>
            <wp:extent cx="1028700" cy="539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39750"/>
                    </a:xfrm>
                    <a:prstGeom prst="rect">
                      <a:avLst/>
                    </a:prstGeom>
                    <a:noFill/>
                  </pic:spPr>
                </pic:pic>
              </a:graphicData>
            </a:graphic>
          </wp:anchor>
        </w:drawing>
      </w:r>
    </w:p>
    <w:p>
      <w:pPr>
        <w:ind w:right="40"/>
        <w:spacing w:after="0" w:line="242" w:lineRule="auto"/>
        <w:rPr>
          <w:sz w:val="20"/>
          <w:szCs w:val="20"/>
          <w:color w:val="auto"/>
        </w:rPr>
      </w:pPr>
      <w:r>
        <w:rPr>
          <w:rFonts w:ascii="Arial" w:cs="Arial" w:eastAsia="Arial" w:hAnsi="Arial"/>
          <w:sz w:val="19"/>
          <w:szCs w:val="19"/>
          <w:color w:val="auto"/>
        </w:rPr>
        <w:t>and services; the inability to execute Bakkt’s growth strategies, including identfying and executng acquisitons and Bakkt’s initatves to add new clients; Bakkt’s failure to comply with extensive government regulaton, oversight, licensure and appraisals; uncertain regulatory regime governing blockchain technologies and crypto; the inability to develop and maintain efectve internal controls and procedures; the exposure to any liability, protracted and costly litgaton or reputatonal damage relatng to Bakkt’s data security; the impact of any goodwill or other intangible assets impairments on Bakkt’s operatng results; the impact of any pandemics or other public health emergencies; Bakkt’s inability to maintain the listng of its securites on the New York Stock Exchange; and other risks and uncertaintes indicated in Bakkt’s flings with the Securites and Exchange Commission. You are cautoned not to place undue reliance on such forward-looking statements. Such forward-looking statements relate only to events as of the date on which such statements are made and are based on informaton available to us as of the date of this press release. Unless otherwise required by law, we undertake no obligaton to update any forward-looking statements made in this press release to refect events or circumstances afer the date of this press release or to refect new informaton or the occurrence of unantcipated events.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Defnitons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Crypto-enabled accounts</w:t>
      </w:r>
      <w:r>
        <w:rPr>
          <w:rFonts w:ascii="Arial" w:cs="Arial" w:eastAsia="Arial" w:hAnsi="Arial"/>
          <w:sz w:val="20"/>
          <w:szCs w:val="20"/>
          <w:color w:val="auto"/>
        </w:rPr>
        <w:t>: total crypto accounts open</w:t>
      </w:r>
    </w:p>
    <w:p>
      <w:pPr>
        <w:spacing w:after="0" w:line="162" w:lineRule="exact"/>
        <w:rPr>
          <w:sz w:val="20"/>
          <w:szCs w:val="20"/>
          <w:color w:val="auto"/>
        </w:rPr>
      </w:pPr>
    </w:p>
    <w:p>
      <w:pPr>
        <w:ind w:right="380"/>
        <w:spacing w:after="0" w:line="289" w:lineRule="auto"/>
        <w:rPr>
          <w:sz w:val="20"/>
          <w:szCs w:val="20"/>
          <w:color w:val="auto"/>
        </w:rPr>
      </w:pPr>
      <w:r>
        <w:rPr>
          <w:rFonts w:ascii="Arial" w:cs="Arial" w:eastAsia="Arial" w:hAnsi="Arial"/>
          <w:sz w:val="20"/>
          <w:szCs w:val="20"/>
          <w:u w:val="single" w:color="auto"/>
          <w:color w:val="auto"/>
        </w:rPr>
        <w:t>Transactng accounts</w:t>
      </w:r>
      <w:r>
        <w:rPr>
          <w:rFonts w:ascii="Arial" w:cs="Arial" w:eastAsia="Arial" w:hAnsi="Arial"/>
          <w:sz w:val="20"/>
          <w:szCs w:val="20"/>
          <w:color w:val="auto"/>
        </w:rPr>
        <w:t>: unique accounts that perform at least one transacton across crypto buy/sell and loyalty redempton each month. Monthly fgures are de-duped for the month. Quarterly fgure represents sum of all months in the quarter</w:t>
      </w:r>
    </w:p>
    <w:p>
      <w:pPr>
        <w:spacing w:after="0" w:line="94" w:lineRule="exact"/>
        <w:rPr>
          <w:sz w:val="20"/>
          <w:szCs w:val="20"/>
          <w:color w:val="auto"/>
        </w:rPr>
      </w:pPr>
    </w:p>
    <w:p>
      <w:pPr>
        <w:ind w:right="40"/>
        <w:spacing w:after="0" w:line="274" w:lineRule="auto"/>
        <w:rPr>
          <w:sz w:val="20"/>
          <w:szCs w:val="20"/>
          <w:color w:val="auto"/>
        </w:rPr>
      </w:pPr>
      <w:r>
        <w:rPr>
          <w:rFonts w:ascii="Arial" w:cs="Arial" w:eastAsia="Arial" w:hAnsi="Arial"/>
          <w:sz w:val="20"/>
          <w:szCs w:val="20"/>
          <w:u w:val="single" w:color="auto"/>
          <w:color w:val="auto"/>
        </w:rPr>
        <w:t>Notonal traded volume</w:t>
      </w:r>
      <w:r>
        <w:rPr>
          <w:rFonts w:ascii="Arial" w:cs="Arial" w:eastAsia="Arial" w:hAnsi="Arial"/>
          <w:sz w:val="20"/>
          <w:szCs w:val="20"/>
          <w:color w:val="auto"/>
        </w:rPr>
        <w:t>: total notonal volume of transactons across crypto buy/sell and loyalty redempton. Figures represent gross values recorded as of order date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Assets under custody</w:t>
      </w:r>
      <w:r>
        <w:rPr>
          <w:rFonts w:ascii="Arial" w:cs="Arial" w:eastAsia="Arial" w:hAnsi="Arial"/>
          <w:sz w:val="18"/>
          <w:szCs w:val="18"/>
          <w:color w:val="auto"/>
        </w:rPr>
        <w:t>: the sum of coin quanttes held by customers multplied by the fnal quote for each coin on the last day of the quarter</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162"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Adjusted EBITDA is a non-GAAP fnancial measure, which we defne as earnings before interest, income taxes, depreciaton, amortzaton, acquisiton-related expenses, share-based and unit-based compensaton expense, goodwill and intangible assets impairments, restructuring charges, changes in the fair value of our warrant liability and certain other non-cash and/or non-recurring items that do not contribute directly to our evaluaton of operatng results and are not components of our core business operatons. Adjusted EBITDA provides management with an understanding of earnings before the impact of investng and fnancing transactons and income taxes, and the efects of aforementoned items that do not refect the ordinary earnings of our operatons. This measure may be useful to an investor in evaluatng our performance. Adjusted EBITDA is not a measure of our fnancial performance under GAAP and should not be considered as an alternatve to net income (loss) or other performance measures derived in accordance with GAAP. Our defniton of Adjusted EBITDA may not be comparable to similarly ted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439420</wp:posOffset>
            </wp:positionH>
            <wp:positionV relativeFrom="page">
              <wp:posOffset>88900</wp:posOffset>
            </wp:positionV>
            <wp:extent cx="1028700" cy="539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39750"/>
                    </a:xfrm>
                    <a:prstGeom prst="rect">
                      <a:avLst/>
                    </a:prstGeom>
                    <a:noFill/>
                  </pic:spPr>
                </pic:pic>
              </a:graphicData>
            </a:graphic>
          </wp:anchor>
        </w:drawing>
      </w:r>
    </w:p>
    <w:p>
      <w:pPr>
        <w:spacing w:after="0" w:line="203" w:lineRule="exact"/>
        <w:rPr>
          <w:sz w:val="20"/>
          <w:szCs w:val="20"/>
          <w:color w:val="auto"/>
        </w:rPr>
      </w:pPr>
    </w:p>
    <w:p>
      <w:pPr>
        <w:spacing w:after="0" w:line="265" w:lineRule="auto"/>
        <w:rPr>
          <w:sz w:val="20"/>
          <w:szCs w:val="20"/>
          <w:color w:val="auto"/>
        </w:rPr>
      </w:pPr>
      <w:r>
        <w:rPr>
          <w:rFonts w:ascii="Arial" w:cs="Arial" w:eastAsia="Arial" w:hAnsi="Arial"/>
          <w:sz w:val="20"/>
          <w:szCs w:val="20"/>
          <w:color w:val="auto"/>
        </w:rPr>
        <w:t>Non-GAAP fnancial measures like Adjusted EBITDA have limitatons, should be considered as supplemental in nature and are not meant as a substtute for the related fnancial informaton prepared in accordance with GAAP. The non-GAAP fnancial measures should be considered alongside other fnancial performance measures, including net loss and our other fnancial results presented in accordance with GAAP.</w:t>
      </w: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Reconciliaton of GAAP Net Loss to Non-GAAP Adjusted EBITDA Loss (unaudited)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20" w:type="dxa"/>
            <w:vAlign w:val="bottom"/>
            <w:tcBorders>
              <w:bottom w:val="single" w:sz="8" w:color="auto"/>
            </w:tcBorders>
            <w:shd w:val="clear" w:color="auto" w:fill="000000"/>
          </w:tcPr>
          <w:p>
            <w:pPr>
              <w:spacing w:after="0"/>
              <w:rPr>
                <w:sz w:val="24"/>
                <w:szCs w:val="24"/>
                <w:color w:val="auto"/>
              </w:rPr>
            </w:pPr>
          </w:p>
        </w:tc>
        <w:tc>
          <w:tcPr>
            <w:tcW w:w="5700" w:type="dxa"/>
            <w:vAlign w:val="bottom"/>
            <w:tcBorders>
              <w:bottom w:val="single" w:sz="8" w:color="auto"/>
            </w:tcBorders>
            <w:shd w:val="clear" w:color="auto" w:fill="000000"/>
          </w:tcPr>
          <w:p>
            <w:pPr>
              <w:ind w:left="20"/>
              <w:spacing w:after="0"/>
              <w:rPr>
                <w:sz w:val="20"/>
                <w:szCs w:val="20"/>
                <w:color w:val="auto"/>
              </w:rPr>
            </w:pPr>
            <w:r>
              <w:rPr>
                <w:rFonts w:ascii="Arial" w:cs="Arial" w:eastAsia="Arial" w:hAnsi="Arial"/>
                <w:sz w:val="18"/>
                <w:szCs w:val="18"/>
                <w:b w:val="1"/>
                <w:bCs w:val="1"/>
                <w:color w:val="FFFFFF"/>
              </w:rPr>
              <w:t>$ in millions</w:t>
            </w:r>
          </w:p>
        </w:tc>
        <w:tc>
          <w:tcPr>
            <w:tcW w:w="2160" w:type="dxa"/>
            <w:vAlign w:val="bottom"/>
            <w:tcBorders>
              <w:bottom w:val="single" w:sz="8" w:color="auto"/>
            </w:tcBorders>
            <w:shd w:val="clear" w:color="auto" w:fill="000000"/>
          </w:tcPr>
          <w:p>
            <w:pPr>
              <w:jc w:val="right"/>
              <w:spacing w:after="0"/>
              <w:rPr>
                <w:sz w:val="20"/>
                <w:szCs w:val="20"/>
                <w:color w:val="auto"/>
              </w:rPr>
            </w:pPr>
            <w:r>
              <w:rPr>
                <w:rFonts w:ascii="Arial" w:cs="Arial" w:eastAsia="Arial" w:hAnsi="Arial"/>
                <w:sz w:val="18"/>
                <w:szCs w:val="18"/>
                <w:b w:val="1"/>
                <w:bCs w:val="1"/>
                <w:color w:val="FFFFFF"/>
              </w:rPr>
              <w:t>2Q23</w:t>
            </w:r>
          </w:p>
        </w:tc>
        <w:tc>
          <w:tcPr>
            <w:tcW w:w="2180" w:type="dxa"/>
            <w:vAlign w:val="bottom"/>
            <w:tcBorders>
              <w:bottom w:val="single" w:sz="8" w:color="auto"/>
            </w:tcBorders>
            <w:shd w:val="clear" w:color="auto" w:fill="000000"/>
          </w:tcPr>
          <w:p>
            <w:pPr>
              <w:jc w:val="right"/>
              <w:spacing w:after="0"/>
              <w:rPr>
                <w:sz w:val="20"/>
                <w:szCs w:val="20"/>
                <w:color w:val="auto"/>
              </w:rPr>
            </w:pPr>
            <w:r>
              <w:rPr>
                <w:rFonts w:ascii="Arial" w:cs="Arial" w:eastAsia="Arial" w:hAnsi="Arial"/>
                <w:sz w:val="18"/>
                <w:szCs w:val="18"/>
                <w:b w:val="1"/>
                <w:bCs w:val="1"/>
                <w:color w:val="FFFFFF"/>
              </w:rPr>
              <w:t>2Q22</w:t>
            </w:r>
          </w:p>
        </w:tc>
      </w:tr>
      <w:tr>
        <w:trPr>
          <w:trHeight w:val="227"/>
        </w:trPr>
        <w:tc>
          <w:tcPr>
            <w:tcW w:w="2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160" w:type="dxa"/>
            <w:vAlign w:val="bottom"/>
          </w:tcPr>
          <w:p>
            <w:pPr>
              <w:jc w:val="right"/>
              <w:spacing w:after="0"/>
              <w:rPr>
                <w:sz w:val="20"/>
                <w:szCs w:val="20"/>
                <w:color w:val="auto"/>
              </w:rPr>
            </w:pPr>
            <w:r>
              <w:rPr>
                <w:rFonts w:ascii="Arial" w:cs="Arial" w:eastAsia="Arial" w:hAnsi="Arial"/>
                <w:sz w:val="18"/>
                <w:szCs w:val="18"/>
                <w:color w:val="auto"/>
              </w:rPr>
              <w:t>$(50.5)</w:t>
            </w:r>
          </w:p>
        </w:tc>
        <w:tc>
          <w:tcPr>
            <w:tcW w:w="218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305"/>
        </w:trPr>
        <w:tc>
          <w:tcPr>
            <w:tcW w:w="20" w:type="dxa"/>
            <w:vAlign w:val="bottom"/>
          </w:tcPr>
          <w:p>
            <w:pPr>
              <w:spacing w:after="0"/>
              <w:rPr>
                <w:sz w:val="24"/>
                <w:szCs w:val="24"/>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Depreciaton and amortzaton</w:t>
            </w:r>
          </w:p>
        </w:tc>
        <w:tc>
          <w:tcPr>
            <w:tcW w:w="2160" w:type="dxa"/>
            <w:vAlign w:val="bottom"/>
          </w:tcPr>
          <w:p>
            <w:pPr>
              <w:jc w:val="right"/>
              <w:spacing w:after="0"/>
              <w:rPr>
                <w:sz w:val="20"/>
                <w:szCs w:val="20"/>
                <w:color w:val="auto"/>
              </w:rPr>
            </w:pPr>
            <w:r>
              <w:rPr>
                <w:rFonts w:ascii="Arial" w:cs="Arial" w:eastAsia="Arial" w:hAnsi="Arial"/>
                <w:sz w:val="18"/>
                <w:szCs w:val="18"/>
                <w:color w:val="auto"/>
              </w:rPr>
              <w:t>3.8</w:t>
            </w:r>
          </w:p>
        </w:tc>
        <w:tc>
          <w:tcPr>
            <w:tcW w:w="21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20" w:type="dxa"/>
            <w:vAlign w:val="bottom"/>
          </w:tcPr>
          <w:p>
            <w:pPr>
              <w:spacing w:after="0"/>
              <w:rPr>
                <w:sz w:val="23"/>
                <w:szCs w:val="23"/>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Interest income, net</w:t>
            </w:r>
          </w:p>
        </w:tc>
        <w:tc>
          <w:tcPr>
            <w:tcW w:w="2160" w:type="dxa"/>
            <w:vAlign w:val="bottom"/>
          </w:tcPr>
          <w:p>
            <w:pPr>
              <w:jc w:val="right"/>
              <w:spacing w:after="0"/>
              <w:rPr>
                <w:sz w:val="20"/>
                <w:szCs w:val="20"/>
                <w:color w:val="auto"/>
              </w:rPr>
            </w:pPr>
            <w:r>
              <w:rPr>
                <w:rFonts w:ascii="Arial" w:cs="Arial" w:eastAsia="Arial" w:hAnsi="Arial"/>
                <w:sz w:val="18"/>
                <w:szCs w:val="18"/>
                <w:color w:val="auto"/>
              </w:rPr>
              <w:t>(0.7)</w:t>
            </w:r>
          </w:p>
        </w:tc>
        <w:tc>
          <w:tcPr>
            <w:tcW w:w="21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99"/>
        </w:trPr>
        <w:tc>
          <w:tcPr>
            <w:tcW w:w="20" w:type="dxa"/>
            <w:vAlign w:val="bottom"/>
          </w:tcPr>
          <w:p>
            <w:pPr>
              <w:spacing w:after="0"/>
              <w:rPr>
                <w:sz w:val="24"/>
                <w:szCs w:val="24"/>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Income tax expense (beneft)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31"/>
        </w:trPr>
        <w:tc>
          <w:tcPr>
            <w:tcW w:w="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$(47.2)</w:t>
            </w: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$(26.8)</w:t>
            </w:r>
          </w:p>
        </w:tc>
      </w:tr>
      <w:tr>
        <w:trPr>
          <w:trHeight w:val="274"/>
        </w:trPr>
        <w:tc>
          <w:tcPr>
            <w:tcW w:w="2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Acquisiton-related expenses</w:t>
            </w:r>
          </w:p>
        </w:tc>
        <w:tc>
          <w:tcPr>
            <w:tcW w:w="2160" w:type="dxa"/>
            <w:vAlign w:val="bottom"/>
          </w:tcPr>
          <w:p>
            <w:pPr>
              <w:jc w:val="right"/>
              <w:spacing w:after="0"/>
              <w:rPr>
                <w:sz w:val="20"/>
                <w:szCs w:val="20"/>
                <w:color w:val="auto"/>
              </w:rPr>
            </w:pPr>
            <w:r>
              <w:rPr>
                <w:rFonts w:ascii="Arial" w:cs="Arial" w:eastAsia="Arial" w:hAnsi="Arial"/>
                <w:sz w:val="18"/>
                <w:szCs w:val="18"/>
                <w:color w:val="auto"/>
              </w:rPr>
              <w:t>17.0</w:t>
            </w:r>
          </w:p>
        </w:tc>
        <w:tc>
          <w:tcPr>
            <w:tcW w:w="21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84"/>
        </w:trPr>
        <w:tc>
          <w:tcPr>
            <w:tcW w:w="2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Share-based and unit-based compensaton expense</w:t>
            </w:r>
          </w:p>
        </w:tc>
        <w:tc>
          <w:tcPr>
            <w:tcW w:w="2160" w:type="dxa"/>
            <w:vAlign w:val="bottom"/>
          </w:tcPr>
          <w:p>
            <w:pPr>
              <w:jc w:val="right"/>
              <w:spacing w:after="0"/>
              <w:rPr>
                <w:sz w:val="20"/>
                <w:szCs w:val="20"/>
                <w:color w:val="auto"/>
              </w:rPr>
            </w:pPr>
            <w:r>
              <w:rPr>
                <w:rFonts w:ascii="Arial" w:cs="Arial" w:eastAsia="Arial" w:hAnsi="Arial"/>
                <w:sz w:val="18"/>
                <w:szCs w:val="18"/>
                <w:color w:val="auto"/>
              </w:rPr>
              <w:t>4.4</w:t>
            </w:r>
          </w:p>
        </w:tc>
        <w:tc>
          <w:tcPr>
            <w:tcW w:w="21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2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Cancellaton of common units</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83"/>
        </w:trPr>
        <w:tc>
          <w:tcPr>
            <w:tcW w:w="2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(Gain) loss from change in fair value of warrant liability</w:t>
            </w:r>
          </w:p>
        </w:tc>
        <w:tc>
          <w:tcPr>
            <w:tcW w:w="2160" w:type="dxa"/>
            <w:vAlign w:val="bottom"/>
          </w:tcPr>
          <w:p>
            <w:pPr>
              <w:jc w:val="right"/>
              <w:spacing w:after="0"/>
              <w:rPr>
                <w:sz w:val="20"/>
                <w:szCs w:val="20"/>
                <w:color w:val="auto"/>
              </w:rPr>
            </w:pPr>
            <w:r>
              <w:rPr>
                <w:rFonts w:ascii="Arial" w:cs="Arial" w:eastAsia="Arial" w:hAnsi="Arial"/>
                <w:sz w:val="18"/>
                <w:szCs w:val="18"/>
                <w:color w:val="auto"/>
              </w:rPr>
              <w:t>(0.4)</w:t>
            </w:r>
          </w:p>
        </w:tc>
        <w:tc>
          <w:tcPr>
            <w:tcW w:w="21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83"/>
        </w:trPr>
        <w:tc>
          <w:tcPr>
            <w:tcW w:w="2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Restructuring expenses</w:t>
            </w:r>
          </w:p>
        </w:tc>
        <w:tc>
          <w:tcPr>
            <w:tcW w:w="2160" w:type="dxa"/>
            <w:vAlign w:val="bottom"/>
          </w:tcPr>
          <w:p>
            <w:pPr>
              <w:jc w:val="right"/>
              <w:spacing w:after="0"/>
              <w:rPr>
                <w:sz w:val="20"/>
                <w:szCs w:val="20"/>
                <w:color w:val="auto"/>
              </w:rPr>
            </w:pPr>
            <w:r>
              <w:rPr>
                <w:rFonts w:ascii="Arial" w:cs="Arial" w:eastAsia="Arial" w:hAnsi="Arial"/>
                <w:sz w:val="18"/>
                <w:szCs w:val="18"/>
                <w:color w:val="auto"/>
              </w:rPr>
              <w:t>0.2</w:t>
            </w: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2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Transiton services expense</w:t>
            </w:r>
          </w:p>
        </w:tc>
        <w:tc>
          <w:tcPr>
            <w:tcW w:w="2160" w:type="dxa"/>
            <w:vAlign w:val="bottom"/>
          </w:tcPr>
          <w:p>
            <w:pPr>
              <w:jc w:val="right"/>
              <w:spacing w:after="0"/>
              <w:rPr>
                <w:sz w:val="20"/>
                <w:szCs w:val="20"/>
                <w:color w:val="auto"/>
              </w:rPr>
            </w:pPr>
            <w:r>
              <w:rPr>
                <w:rFonts w:ascii="Arial" w:cs="Arial" w:eastAsia="Arial" w:hAnsi="Arial"/>
                <w:sz w:val="18"/>
                <w:szCs w:val="18"/>
                <w:color w:val="auto"/>
              </w:rPr>
              <w:t>1.5</w:t>
            </w:r>
          </w:p>
        </w:tc>
        <w:tc>
          <w:tcPr>
            <w:tcW w:w="21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49"/>
        </w:trPr>
        <w:tc>
          <w:tcPr>
            <w:tcW w:w="20" w:type="dxa"/>
            <w:vAlign w:val="bottom"/>
          </w:tcPr>
          <w:p>
            <w:pPr>
              <w:spacing w:after="0"/>
              <w:rPr>
                <w:sz w:val="4"/>
                <w:szCs w:val="4"/>
                <w:color w:val="auto"/>
              </w:rPr>
            </w:pPr>
          </w:p>
        </w:tc>
        <w:tc>
          <w:tcPr>
            <w:tcW w:w="570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Adjusted EBITDA loss</w:t>
            </w: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$(24.5)</w:t>
            </w: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$(29.6)</w:t>
            </w:r>
          </w:p>
        </w:tc>
      </w:tr>
      <w:tr>
        <w:trPr>
          <w:trHeight w:val="54"/>
        </w:trPr>
        <w:tc>
          <w:tcPr>
            <w:tcW w:w="20" w:type="dxa"/>
            <w:vAlign w:val="bottom"/>
          </w:tcPr>
          <w:p>
            <w:pPr>
              <w:spacing w:after="0"/>
              <w:rPr>
                <w:sz w:val="4"/>
                <w:szCs w:val="4"/>
                <w:color w:val="auto"/>
              </w:rPr>
            </w:pPr>
          </w:p>
        </w:tc>
        <w:tc>
          <w:tcPr>
            <w:tcW w:w="570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r>
      <w:tr>
        <w:trPr>
          <w:trHeight w:val="148"/>
        </w:trPr>
        <w:tc>
          <w:tcPr>
            <w:tcW w:w="20" w:type="dxa"/>
            <w:vAlign w:val="bottom"/>
          </w:tcPr>
          <w:p>
            <w:pPr>
              <w:spacing w:after="0"/>
              <w:rPr>
                <w:sz w:val="12"/>
                <w:szCs w:val="12"/>
                <w:color w:val="auto"/>
              </w:rPr>
            </w:pPr>
          </w:p>
        </w:tc>
        <w:tc>
          <w:tcPr>
            <w:tcW w:w="570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spacing w:after="0"/>
              <w:rPr>
                <w:sz w:val="12"/>
                <w:szCs w:val="12"/>
                <w:color w:val="auto"/>
              </w:rPr>
            </w:pPr>
          </w:p>
        </w:tc>
      </w:tr>
    </w:tbl>
    <w:p>
      <w:pPr>
        <w:spacing w:after="0" w:line="200" w:lineRule="exact"/>
        <w:rPr>
          <w:sz w:val="20"/>
          <w:szCs w:val="20"/>
          <w:color w:val="auto"/>
        </w:rPr>
      </w:pPr>
    </w:p>
    <w:p>
      <w:pPr>
        <w:spacing w:after="0" w:line="248" w:lineRule="exact"/>
        <w:rPr>
          <w:sz w:val="20"/>
          <w:szCs w:val="20"/>
          <w:color w:val="auto"/>
        </w:rPr>
      </w:pPr>
    </w:p>
    <w:p>
      <w:pPr>
        <w:spacing w:after="0" w:line="265" w:lineRule="auto"/>
        <w:rPr>
          <w:sz w:val="20"/>
          <w:szCs w:val="20"/>
          <w:color w:val="auto"/>
        </w:rPr>
      </w:pPr>
      <w:r>
        <w:rPr>
          <w:rFonts w:ascii="Arial" w:cs="Arial" w:eastAsia="Arial" w:hAnsi="Arial"/>
          <w:sz w:val="20"/>
          <w:szCs w:val="20"/>
          <w:color w:val="auto"/>
        </w:rPr>
        <w:t>Free Cash Flow is a non-GAAP fnancial measure. Free Cash Flow is cash fow from operatons adjusted for “capitalized internal use sofware development costs and other capital expenditures” and “interest income.” We adjust for capitalized expenses associated with internally developed sofware for our technology platorms given they are a large component of our ongoing expense base given our positon as a technology platorm company.</w:t>
      </w:r>
    </w:p>
    <w:p>
      <w:pPr>
        <w:spacing w:after="0" w:line="118"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color w:val="auto"/>
        </w:rPr>
        <w:t>We provide Free Cash Flow because we believe that Free Cash Flow, when viewed with our results under GAAP, provides useful informaton for the reasons noted above. However, Free Cash Flow is not a measure of liquidity under GAAP and, accordingly, should not be considered as an alternatve to net cash used in operatng actvites as an indicator of liquidity.</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Reconciliaton of GAAP Operatng Cash Flow to Non-GAAP Free Cash Flow (unaudited)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shd w:val="clear" w:color="auto" w:fill="000000"/>
          </w:tcPr>
          <w:p>
            <w:pPr>
              <w:spacing w:after="0"/>
              <w:rPr>
                <w:sz w:val="21"/>
                <w:szCs w:val="21"/>
                <w:color w:val="auto"/>
              </w:rPr>
            </w:pPr>
          </w:p>
        </w:tc>
        <w:tc>
          <w:tcPr>
            <w:tcW w:w="5100" w:type="dxa"/>
            <w:vAlign w:val="bottom"/>
            <w:shd w:val="clear" w:color="auto" w:fill="000000"/>
          </w:tcPr>
          <w:p>
            <w:pPr>
              <w:spacing w:after="0"/>
              <w:rPr>
                <w:sz w:val="21"/>
                <w:szCs w:val="21"/>
                <w:color w:val="auto"/>
              </w:rPr>
            </w:pPr>
          </w:p>
        </w:tc>
        <w:tc>
          <w:tcPr>
            <w:tcW w:w="3640" w:type="dxa"/>
            <w:vAlign w:val="bottom"/>
            <w:gridSpan w:val="2"/>
            <w:shd w:val="clear" w:color="auto" w:fill="000000"/>
          </w:tcPr>
          <w:p>
            <w:pPr>
              <w:ind w:left="2120"/>
              <w:spacing w:after="0"/>
              <w:rPr>
                <w:sz w:val="20"/>
                <w:szCs w:val="20"/>
                <w:color w:val="auto"/>
              </w:rPr>
            </w:pPr>
            <w:r>
              <w:rPr>
                <w:rFonts w:ascii="Arial" w:cs="Arial" w:eastAsia="Arial" w:hAnsi="Arial"/>
                <w:sz w:val="18"/>
                <w:szCs w:val="18"/>
                <w:b w:val="1"/>
                <w:bCs w:val="1"/>
                <w:color w:val="FFFFFF"/>
              </w:rPr>
              <w:t>FY 2023E</w:t>
            </w:r>
          </w:p>
        </w:tc>
        <w:tc>
          <w:tcPr>
            <w:tcW w:w="1260" w:type="dxa"/>
            <w:vAlign w:val="bottom"/>
            <w:shd w:val="clear" w:color="auto" w:fill="00000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
        </w:trPr>
        <w:tc>
          <w:tcPr>
            <w:tcW w:w="20" w:type="dxa"/>
            <w:vAlign w:val="bottom"/>
            <w:shd w:val="clear" w:color="auto" w:fill="000000"/>
          </w:tcPr>
          <w:p>
            <w:pPr>
              <w:spacing w:after="0"/>
              <w:rPr>
                <w:sz w:val="3"/>
                <w:szCs w:val="3"/>
                <w:color w:val="auto"/>
              </w:rPr>
            </w:pPr>
          </w:p>
        </w:tc>
        <w:tc>
          <w:tcPr>
            <w:tcW w:w="5100" w:type="dxa"/>
            <w:vAlign w:val="bottom"/>
            <w:vMerge w:val="restart"/>
            <w:shd w:val="clear" w:color="auto" w:fill="000000"/>
          </w:tcPr>
          <w:p>
            <w:pPr>
              <w:ind w:left="20"/>
              <w:spacing w:after="0"/>
              <w:rPr>
                <w:sz w:val="20"/>
                <w:szCs w:val="20"/>
                <w:color w:val="auto"/>
              </w:rPr>
            </w:pPr>
            <w:r>
              <w:rPr>
                <w:rFonts w:ascii="Arial" w:cs="Arial" w:eastAsia="Arial" w:hAnsi="Arial"/>
                <w:sz w:val="18"/>
                <w:szCs w:val="18"/>
                <w:b w:val="1"/>
                <w:bCs w:val="1"/>
                <w:color w:val="FFFFFF"/>
              </w:rPr>
              <w:t>$ in millions</w:t>
            </w:r>
          </w:p>
        </w:tc>
        <w:tc>
          <w:tcPr>
            <w:tcW w:w="2450" w:type="dxa"/>
            <w:vAlign w:val="bottom"/>
            <w:vMerge w:val="restart"/>
            <w:shd w:val="clear" w:color="auto" w:fill="000000"/>
          </w:tcPr>
          <w:p>
            <w:pPr>
              <w:ind w:left="2120"/>
              <w:spacing w:after="0"/>
              <w:rPr>
                <w:sz w:val="20"/>
                <w:szCs w:val="20"/>
                <w:color w:val="auto"/>
              </w:rPr>
            </w:pPr>
            <w:r>
              <w:rPr>
                <w:rFonts w:ascii="Arial" w:cs="Arial" w:eastAsia="Arial" w:hAnsi="Arial"/>
                <w:sz w:val="18"/>
                <w:szCs w:val="18"/>
                <w:b w:val="1"/>
                <w:bCs w:val="1"/>
                <w:color w:val="FFFFFF"/>
                <w:w w:val="88"/>
              </w:rPr>
              <w:t>Low</w:t>
            </w:r>
          </w:p>
        </w:tc>
        <w:tc>
          <w:tcPr>
            <w:tcW w:w="1190" w:type="dxa"/>
            <w:vAlign w:val="bottom"/>
            <w:shd w:val="clear" w:color="auto" w:fill="000000"/>
          </w:tcPr>
          <w:p>
            <w:pPr>
              <w:spacing w:after="0"/>
              <w:rPr>
                <w:sz w:val="3"/>
                <w:szCs w:val="3"/>
                <w:color w:val="auto"/>
              </w:rPr>
            </w:pPr>
          </w:p>
        </w:tc>
        <w:tc>
          <w:tcPr>
            <w:tcW w:w="1260" w:type="dxa"/>
            <w:vAlign w:val="bottom"/>
            <w:vMerge w:val="restart"/>
            <w:shd w:val="clear" w:color="auto" w:fill="000000"/>
          </w:tcPr>
          <w:p>
            <w:pPr>
              <w:jc w:val="right"/>
              <w:spacing w:after="0"/>
              <w:rPr>
                <w:sz w:val="20"/>
                <w:szCs w:val="20"/>
                <w:color w:val="auto"/>
              </w:rPr>
            </w:pPr>
            <w:r>
              <w:rPr>
                <w:rFonts w:ascii="Arial" w:cs="Arial" w:eastAsia="Arial" w:hAnsi="Arial"/>
                <w:sz w:val="18"/>
                <w:szCs w:val="18"/>
                <w:b w:val="1"/>
                <w:bCs w:val="1"/>
                <w:color w:val="FFFFFF"/>
              </w:rPr>
              <w:t>High</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000000"/>
          </w:tcPr>
          <w:p>
            <w:pPr>
              <w:spacing w:after="0"/>
              <w:rPr>
                <w:sz w:val="20"/>
                <w:szCs w:val="20"/>
                <w:color w:val="auto"/>
              </w:rPr>
            </w:pPr>
          </w:p>
        </w:tc>
        <w:tc>
          <w:tcPr>
            <w:tcW w:w="5100" w:type="dxa"/>
            <w:vAlign w:val="bottom"/>
            <w:vMerge w:val="continue"/>
            <w:shd w:val="clear" w:color="auto" w:fill="000000"/>
          </w:tcPr>
          <w:p>
            <w:pPr>
              <w:spacing w:after="0"/>
              <w:rPr>
                <w:sz w:val="20"/>
                <w:szCs w:val="20"/>
                <w:color w:val="auto"/>
              </w:rPr>
            </w:pPr>
          </w:p>
        </w:tc>
        <w:tc>
          <w:tcPr>
            <w:tcW w:w="2450" w:type="dxa"/>
            <w:vAlign w:val="bottom"/>
            <w:vMerge w:val="continue"/>
            <w:shd w:val="clear" w:color="auto" w:fill="000000"/>
          </w:tcPr>
          <w:p>
            <w:pPr>
              <w:spacing w:after="0"/>
              <w:rPr>
                <w:sz w:val="20"/>
                <w:szCs w:val="20"/>
                <w:color w:val="auto"/>
              </w:rPr>
            </w:pPr>
          </w:p>
        </w:tc>
        <w:tc>
          <w:tcPr>
            <w:tcW w:w="1190" w:type="dxa"/>
            <w:vAlign w:val="bottom"/>
            <w:shd w:val="clear" w:color="auto" w:fill="000000"/>
          </w:tcPr>
          <w:p>
            <w:pPr>
              <w:spacing w:after="0"/>
              <w:rPr>
                <w:sz w:val="20"/>
                <w:szCs w:val="20"/>
                <w:color w:val="auto"/>
              </w:rPr>
            </w:pPr>
          </w:p>
        </w:tc>
        <w:tc>
          <w:tcPr>
            <w:tcW w:w="1260" w:type="dxa"/>
            <w:vAlign w:val="bottom"/>
            <w:vMerge w:val="continue"/>
            <w:shd w:val="clear" w:color="auto" w:fill="000000"/>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73"/>
        </w:trPr>
        <w:tc>
          <w:tcPr>
            <w:tcW w:w="20" w:type="dxa"/>
            <w:vAlign w:val="bottom"/>
            <w:shd w:val="clear" w:color="auto" w:fill="000000"/>
          </w:tcPr>
          <w:p>
            <w:pPr>
              <w:spacing w:after="0"/>
              <w:rPr>
                <w:sz w:val="6"/>
                <w:szCs w:val="6"/>
                <w:color w:val="auto"/>
              </w:rPr>
            </w:pPr>
          </w:p>
        </w:tc>
        <w:tc>
          <w:tcPr>
            <w:tcW w:w="5100" w:type="dxa"/>
            <w:vAlign w:val="bottom"/>
            <w:shd w:val="clear" w:color="auto" w:fill="000000"/>
          </w:tcPr>
          <w:p>
            <w:pPr>
              <w:spacing w:after="0"/>
              <w:rPr>
                <w:sz w:val="6"/>
                <w:szCs w:val="6"/>
                <w:color w:val="auto"/>
              </w:rPr>
            </w:pPr>
          </w:p>
        </w:tc>
        <w:tc>
          <w:tcPr>
            <w:tcW w:w="2450" w:type="dxa"/>
            <w:vAlign w:val="bottom"/>
            <w:shd w:val="clear" w:color="auto" w:fill="000000"/>
          </w:tcPr>
          <w:p>
            <w:pPr>
              <w:spacing w:after="0"/>
              <w:rPr>
                <w:sz w:val="6"/>
                <w:szCs w:val="6"/>
                <w:color w:val="auto"/>
              </w:rPr>
            </w:pPr>
          </w:p>
        </w:tc>
        <w:tc>
          <w:tcPr>
            <w:tcW w:w="1190" w:type="dxa"/>
            <w:vAlign w:val="bottom"/>
            <w:shd w:val="clear" w:color="auto" w:fill="000000"/>
          </w:tcPr>
          <w:p>
            <w:pPr>
              <w:spacing w:after="0"/>
              <w:rPr>
                <w:sz w:val="6"/>
                <w:szCs w:val="6"/>
                <w:color w:val="auto"/>
              </w:rPr>
            </w:pPr>
          </w:p>
        </w:tc>
        <w:tc>
          <w:tcPr>
            <w:tcW w:w="126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Net cash used in operatng actvites</w:t>
            </w:r>
          </w:p>
        </w:tc>
        <w:tc>
          <w:tcPr>
            <w:tcW w:w="2450" w:type="dxa"/>
            <w:vAlign w:val="bottom"/>
          </w:tcPr>
          <w:p>
            <w:pPr>
              <w:jc w:val="right"/>
              <w:spacing w:after="0"/>
              <w:rPr>
                <w:sz w:val="20"/>
                <w:szCs w:val="20"/>
                <w:color w:val="auto"/>
              </w:rPr>
            </w:pPr>
            <w:r>
              <w:rPr>
                <w:rFonts w:ascii="Arial" w:cs="Arial" w:eastAsia="Arial" w:hAnsi="Arial"/>
                <w:sz w:val="18"/>
                <w:szCs w:val="18"/>
                <w:color w:val="auto"/>
              </w:rPr>
              <w:t>$(78)</w:t>
            </w:r>
          </w:p>
        </w:tc>
        <w:tc>
          <w:tcPr>
            <w:tcW w:w="119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Capitalized internal-use sofware development costs and other</w:t>
            </w:r>
          </w:p>
        </w:tc>
        <w:tc>
          <w:tcPr>
            <w:tcW w:w="2450" w:type="dxa"/>
            <w:vAlign w:val="bottom"/>
          </w:tcPr>
          <w:p>
            <w:pPr>
              <w:spacing w:after="0"/>
              <w:rPr>
                <w:sz w:val="23"/>
                <w:szCs w:val="23"/>
                <w:color w:val="auto"/>
              </w:rPr>
            </w:pPr>
          </w:p>
        </w:tc>
        <w:tc>
          <w:tcPr>
            <w:tcW w:w="119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450" w:type="dxa"/>
            <w:vAlign w:val="bottom"/>
          </w:tcPr>
          <w:p>
            <w:pPr>
              <w:jc w:val="right"/>
              <w:spacing w:after="0"/>
              <w:rPr>
                <w:sz w:val="20"/>
                <w:szCs w:val="20"/>
                <w:color w:val="auto"/>
              </w:rPr>
            </w:pPr>
            <w:r>
              <w:rPr>
                <w:rFonts w:ascii="Arial" w:cs="Arial" w:eastAsia="Arial" w:hAnsi="Arial"/>
                <w:sz w:val="18"/>
                <w:szCs w:val="18"/>
                <w:color w:val="auto"/>
              </w:rPr>
              <w:t>(4)</w:t>
            </w:r>
          </w:p>
        </w:tc>
        <w:tc>
          <w:tcPr>
            <w:tcW w:w="119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Interest income, net</w:t>
            </w:r>
          </w:p>
        </w:tc>
        <w:tc>
          <w:tcPr>
            <w:tcW w:w="2450" w:type="dxa"/>
            <w:vAlign w:val="bottom"/>
          </w:tcPr>
          <w:p>
            <w:pPr>
              <w:jc w:val="right"/>
              <w:spacing w:after="0"/>
              <w:rPr>
                <w:sz w:val="20"/>
                <w:szCs w:val="20"/>
                <w:color w:val="auto"/>
              </w:rPr>
            </w:pPr>
            <w:r>
              <w:rPr>
                <w:rFonts w:ascii="Arial" w:cs="Arial" w:eastAsia="Arial" w:hAnsi="Arial"/>
                <w:sz w:val="18"/>
                <w:szCs w:val="18"/>
                <w:color w:val="auto"/>
              </w:rPr>
              <w:t>(8)</w:t>
            </w:r>
          </w:p>
        </w:tc>
        <w:tc>
          <w:tcPr>
            <w:tcW w:w="119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5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Free cash fow</w:t>
            </w:r>
          </w:p>
        </w:tc>
        <w:tc>
          <w:tcPr>
            <w:tcW w:w="2450" w:type="dxa"/>
            <w:vAlign w:val="bottom"/>
            <w:tcBorders>
              <w:bottom w:val="single" w:sz="8" w:color="auto"/>
            </w:tcBorders>
          </w:tcPr>
          <w:p>
            <w:pPr>
              <w:spacing w:after="0"/>
              <w:rPr>
                <w:sz w:val="5"/>
                <w:szCs w:val="5"/>
                <w:color w:val="auto"/>
              </w:rPr>
            </w:pPr>
          </w:p>
        </w:tc>
        <w:tc>
          <w:tcPr>
            <w:tcW w:w="119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vMerge w:val="continue"/>
          </w:tcPr>
          <w:p>
            <w:pPr>
              <w:spacing w:after="0"/>
              <w:rPr>
                <w:sz w:val="19"/>
                <w:szCs w:val="19"/>
                <w:color w:val="auto"/>
              </w:rPr>
            </w:pPr>
          </w:p>
        </w:tc>
        <w:tc>
          <w:tcPr>
            <w:tcW w:w="245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19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100" w:type="dxa"/>
            <w:vAlign w:val="bottom"/>
            <w:tcBorders>
              <w:bottom w:val="single" w:sz="8" w:color="auto"/>
            </w:tcBorders>
          </w:tcPr>
          <w:p>
            <w:pPr>
              <w:spacing w:after="0"/>
              <w:rPr>
                <w:sz w:val="3"/>
                <w:szCs w:val="3"/>
                <w:color w:val="auto"/>
              </w:rPr>
            </w:pPr>
          </w:p>
        </w:tc>
        <w:tc>
          <w:tcPr>
            <w:tcW w:w="2450" w:type="dxa"/>
            <w:vAlign w:val="bottom"/>
            <w:tcBorders>
              <w:bottom w:val="single" w:sz="8" w:color="auto"/>
            </w:tcBorders>
          </w:tcPr>
          <w:p>
            <w:pPr>
              <w:spacing w:after="0"/>
              <w:rPr>
                <w:sz w:val="3"/>
                <w:szCs w:val="3"/>
                <w:color w:val="auto"/>
              </w:rPr>
            </w:pPr>
          </w:p>
        </w:tc>
        <w:tc>
          <w:tcPr>
            <w:tcW w:w="119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-1062355</wp:posOffset>
            </wp:positionV>
            <wp:extent cx="31203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180"/>
          </w:cols>
          <w:pgMar w:left="320" w:top="1440" w:right="39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439420</wp:posOffset>
            </wp:positionH>
            <wp:positionV relativeFrom="page">
              <wp:posOffset>88900</wp:posOffset>
            </wp:positionV>
            <wp:extent cx="1028700" cy="539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3975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Balance Sheets</w:t>
      </w:r>
    </w:p>
    <w:p>
      <w:pPr>
        <w:spacing w:after="0" w:line="257" w:lineRule="exact"/>
        <w:rPr>
          <w:sz w:val="20"/>
          <w:szCs w:val="20"/>
          <w:color w:val="auto"/>
        </w:rPr>
      </w:pPr>
    </w:p>
    <w:p>
      <w:pPr>
        <w:ind w:left="20" w:right="3900" w:firstLine="6"/>
        <w:spacing w:after="0" w:line="410" w:lineRule="auto"/>
        <w:tabs>
          <w:tab w:leader="none" w:pos="125" w:val="left"/>
        </w:tabs>
        <w:numPr>
          <w:ilvl w:val="0"/>
          <w:numId w:val="7"/>
        </w:numPr>
        <w:rPr>
          <w:rFonts w:ascii="Arial" w:cs="Arial" w:eastAsia="Arial" w:hAnsi="Arial"/>
          <w:sz w:val="12"/>
          <w:szCs w:val="12"/>
          <w:b w:val="1"/>
          <w:bCs w:val="1"/>
          <w:color w:val="FFFFFF"/>
        </w:rPr>
      </w:pPr>
      <w:r>
        <w:rPr>
          <w:rFonts w:ascii="Arial" w:cs="Arial" w:eastAsia="Arial" w:hAnsi="Arial"/>
          <w:sz w:val="12"/>
          <w:szCs w:val="12"/>
          <w:b w:val="1"/>
          <w:bCs w:val="1"/>
          <w:color w:val="FFFFFF"/>
        </w:rPr>
        <w:t xml:space="preserve">in millions </w:t>
      </w:r>
      <w:r>
        <w:rPr>
          <w:rFonts w:ascii="Arial" w:cs="Arial" w:eastAsia="Arial" w:hAnsi="Arial"/>
          <w:sz w:val="12"/>
          <w:szCs w:val="12"/>
          <w:b w:val="1"/>
          <w:bCs w:val="1"/>
          <w:color w:val="000000"/>
        </w:rPr>
        <w:t>Assets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Current assets</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Cash and cash equivalents</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Restricted cash</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Customer funds</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Available-for-sale securites</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Accounts receivable, net</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Prepaid insurance</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Safeguarding asset for crypto</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current assets</w:t>
      </w:r>
    </w:p>
    <w:p>
      <w:pPr>
        <w:spacing w:after="0" w:line="82"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Total current assets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Property, equipment and sofware, net</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Goodwill</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Intangible assets, net</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Deposits with clearinghouse</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assets</w:t>
      </w:r>
    </w:p>
    <w:p>
      <w:pPr>
        <w:spacing w:after="0" w:line="96"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Total assets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Liabilites and stockholders' equity</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Current liabilites</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Accounts payable and accrued liabilites</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Customer funds payable</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Deferred revenue, current</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Due to related party</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Safeguarding obligatons for crypto</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current liabilites</w:t>
      </w:r>
    </w:p>
    <w:p>
      <w:pPr>
        <w:spacing w:after="0" w:line="69"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Total current liabilites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Deferred revenue, noncurrent</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Warrant liability</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Deferred tax liabilites, net</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noncurrent liabilites</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Total liabilites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Stockholders' equity</w:t>
      </w:r>
    </w:p>
    <w:p>
      <w:pPr>
        <w:spacing w:after="0" w:line="69" w:lineRule="exact"/>
        <w:rPr>
          <w:sz w:val="20"/>
          <w:szCs w:val="20"/>
          <w:color w:val="auto"/>
        </w:rPr>
      </w:pPr>
    </w:p>
    <w:p>
      <w:pPr>
        <w:ind w:left="20"/>
        <w:spacing w:after="0" w:line="287" w:lineRule="auto"/>
        <w:rPr>
          <w:sz w:val="20"/>
          <w:szCs w:val="20"/>
          <w:color w:val="auto"/>
        </w:rPr>
      </w:pPr>
      <w:r>
        <w:rPr>
          <w:rFonts w:ascii="Arial" w:cs="Arial" w:eastAsia="Arial" w:hAnsi="Arial"/>
          <w:sz w:val="14"/>
          <w:szCs w:val="14"/>
          <w:color w:val="auto"/>
        </w:rPr>
        <w:t>Class A common stock ($0.0001 par value, 750,000,000 shares authorized, 91,286,095 shares issued and outstanding as of 6/30/23 and 80,926,843 shares outstanding as of 12/31/22)</w:t>
      </w:r>
    </w:p>
    <w:p>
      <w:pPr>
        <w:spacing w:after="0" w:line="16" w:lineRule="exact"/>
        <w:rPr>
          <w:sz w:val="20"/>
          <w:szCs w:val="20"/>
          <w:color w:val="auto"/>
        </w:rPr>
      </w:pPr>
    </w:p>
    <w:p>
      <w:pPr>
        <w:jc w:val="both"/>
        <w:ind w:left="20" w:right="260"/>
        <w:spacing w:after="0" w:line="287" w:lineRule="auto"/>
        <w:rPr>
          <w:sz w:val="20"/>
          <w:szCs w:val="20"/>
          <w:color w:val="auto"/>
        </w:rPr>
      </w:pPr>
      <w:r>
        <w:rPr>
          <w:rFonts w:ascii="Arial" w:cs="Arial" w:eastAsia="Arial" w:hAnsi="Arial"/>
          <w:sz w:val="14"/>
          <w:szCs w:val="14"/>
          <w:color w:val="auto"/>
        </w:rPr>
        <w:t>Class V common stock ($0.0001 par value, 250,000,000 shares authorized, 183,279,887 shares issued and outstanding as of 6/30/23 and 183,482,777 shares outstanding as of 12/31/22)</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Additonal paid-in capital</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Accumulated other comprehensive loss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Accumulated defcit</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Total stockholders' equity</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Noncontrolling interest</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Total equity</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liabilites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4300" w:type="dxa"/>
            <w:vAlign w:val="bottom"/>
          </w:tcPr>
          <w:p>
            <w:pPr>
              <w:jc w:val="right"/>
              <w:ind w:right="428"/>
              <w:spacing w:after="0"/>
              <w:rPr>
                <w:sz w:val="20"/>
                <w:szCs w:val="20"/>
                <w:color w:val="auto"/>
              </w:rPr>
            </w:pPr>
            <w:r>
              <w:rPr>
                <w:rFonts w:ascii="Arial" w:cs="Arial" w:eastAsia="Arial" w:hAnsi="Arial"/>
                <w:sz w:val="14"/>
                <w:szCs w:val="14"/>
                <w:b w:val="1"/>
                <w:bCs w:val="1"/>
                <w:color w:val="FFFFFF"/>
              </w:rPr>
              <w:t>As of 6/30/23</w:t>
            </w:r>
          </w:p>
        </w:tc>
        <w:tc>
          <w:tcPr>
            <w:tcW w:w="1420" w:type="dxa"/>
            <w:vAlign w:val="bottom"/>
          </w:tcPr>
          <w:p>
            <w:pPr>
              <w:spacing w:after="0"/>
              <w:rPr>
                <w:sz w:val="15"/>
                <w:szCs w:val="15"/>
                <w:color w:val="auto"/>
              </w:rPr>
            </w:pPr>
          </w:p>
        </w:tc>
      </w:tr>
      <w:tr>
        <w:trPr>
          <w:trHeight w:val="184"/>
        </w:trPr>
        <w:tc>
          <w:tcPr>
            <w:tcW w:w="4300" w:type="dxa"/>
            <w:vAlign w:val="bottom"/>
          </w:tcPr>
          <w:p>
            <w:pPr>
              <w:jc w:val="right"/>
              <w:ind w:right="428"/>
              <w:spacing w:after="0"/>
              <w:rPr>
                <w:sz w:val="20"/>
                <w:szCs w:val="20"/>
                <w:color w:val="auto"/>
              </w:rPr>
            </w:pPr>
            <w:r>
              <w:rPr>
                <w:rFonts w:ascii="Arial" w:cs="Arial" w:eastAsia="Arial" w:hAnsi="Arial"/>
                <w:sz w:val="14"/>
                <w:szCs w:val="14"/>
                <w:b w:val="1"/>
                <w:bCs w:val="1"/>
                <w:color w:val="FFFFFF"/>
              </w:rPr>
              <w:t>(unaudited)</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FFFFFF"/>
              </w:rPr>
              <w:t>As of 12/31/22</w:t>
            </w:r>
          </w:p>
        </w:tc>
      </w:tr>
      <w:tr>
        <w:trPr>
          <w:trHeight w:val="700"/>
        </w:trPr>
        <w:tc>
          <w:tcPr>
            <w:tcW w:w="4300" w:type="dxa"/>
            <w:vAlign w:val="bottom"/>
          </w:tcPr>
          <w:p>
            <w:pPr>
              <w:jc w:val="right"/>
              <w:ind w:right="428"/>
              <w:spacing w:after="0"/>
              <w:rPr>
                <w:sz w:val="20"/>
                <w:szCs w:val="20"/>
                <w:color w:val="auto"/>
              </w:rPr>
            </w:pPr>
            <w:r>
              <w:rPr>
                <w:rFonts w:ascii="Arial" w:cs="Arial" w:eastAsia="Arial" w:hAnsi="Arial"/>
                <w:sz w:val="14"/>
                <w:szCs w:val="14"/>
                <w:color w:val="auto"/>
              </w:rPr>
              <w:t>$84.5</w:t>
            </w:r>
          </w:p>
        </w:tc>
        <w:tc>
          <w:tcPr>
            <w:tcW w:w="1420" w:type="dxa"/>
            <w:vAlign w:val="bottom"/>
          </w:tcPr>
          <w:p>
            <w:pPr>
              <w:jc w:val="right"/>
              <w:spacing w:after="0"/>
              <w:rPr>
                <w:sz w:val="20"/>
                <w:szCs w:val="20"/>
                <w:color w:val="auto"/>
              </w:rPr>
            </w:pPr>
            <w:r>
              <w:rPr>
                <w:rFonts w:ascii="Arial" w:cs="Arial" w:eastAsia="Arial" w:hAnsi="Arial"/>
                <w:sz w:val="14"/>
                <w:szCs w:val="14"/>
                <w:color w:val="auto"/>
              </w:rPr>
              <w:t>$98.3</w:t>
            </w:r>
          </w:p>
        </w:tc>
      </w:tr>
      <w:tr>
        <w:trPr>
          <w:trHeight w:val="243"/>
        </w:trPr>
        <w:tc>
          <w:tcPr>
            <w:tcW w:w="4300" w:type="dxa"/>
            <w:vAlign w:val="bottom"/>
          </w:tcPr>
          <w:p>
            <w:pPr>
              <w:jc w:val="right"/>
              <w:ind w:right="428"/>
              <w:spacing w:after="0"/>
              <w:rPr>
                <w:sz w:val="20"/>
                <w:szCs w:val="20"/>
                <w:color w:val="auto"/>
              </w:rPr>
            </w:pPr>
            <w:r>
              <w:rPr>
                <w:rFonts w:ascii="Arial" w:cs="Arial" w:eastAsia="Arial" w:hAnsi="Arial"/>
                <w:sz w:val="14"/>
                <w:szCs w:val="14"/>
                <w:color w:val="auto"/>
              </w:rPr>
              <w:t>24.9</w:t>
            </w:r>
          </w:p>
        </w:tc>
        <w:tc>
          <w:tcPr>
            <w:tcW w:w="1420" w:type="dxa"/>
            <w:vAlign w:val="bottom"/>
          </w:tcPr>
          <w:p>
            <w:pPr>
              <w:jc w:val="right"/>
              <w:spacing w:after="0"/>
              <w:rPr>
                <w:sz w:val="20"/>
                <w:szCs w:val="20"/>
                <w:color w:val="auto"/>
              </w:rPr>
            </w:pPr>
            <w:r>
              <w:rPr>
                <w:rFonts w:ascii="Arial" w:cs="Arial" w:eastAsia="Arial" w:hAnsi="Arial"/>
                <w:sz w:val="14"/>
                <w:szCs w:val="14"/>
                <w:color w:val="auto"/>
              </w:rPr>
              <w:t>16.5</w:t>
            </w:r>
          </w:p>
        </w:tc>
      </w:tr>
      <w:tr>
        <w:trPr>
          <w:trHeight w:val="229"/>
        </w:trPr>
        <w:tc>
          <w:tcPr>
            <w:tcW w:w="4300" w:type="dxa"/>
            <w:vAlign w:val="bottom"/>
          </w:tcPr>
          <w:p>
            <w:pPr>
              <w:jc w:val="right"/>
              <w:ind w:right="428"/>
              <w:spacing w:after="0"/>
              <w:rPr>
                <w:sz w:val="20"/>
                <w:szCs w:val="20"/>
                <w:color w:val="auto"/>
              </w:rPr>
            </w:pPr>
            <w:r>
              <w:rPr>
                <w:rFonts w:ascii="Arial" w:cs="Arial" w:eastAsia="Arial" w:hAnsi="Arial"/>
                <w:sz w:val="14"/>
                <w:szCs w:val="14"/>
                <w:color w:val="auto"/>
              </w:rPr>
              <w:t>0.5</w:t>
            </w:r>
          </w:p>
        </w:tc>
        <w:tc>
          <w:tcPr>
            <w:tcW w:w="142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30"/>
        </w:trPr>
        <w:tc>
          <w:tcPr>
            <w:tcW w:w="4300" w:type="dxa"/>
            <w:vAlign w:val="bottom"/>
          </w:tcPr>
          <w:p>
            <w:pPr>
              <w:jc w:val="right"/>
              <w:ind w:right="428"/>
              <w:spacing w:after="0"/>
              <w:rPr>
                <w:sz w:val="20"/>
                <w:szCs w:val="20"/>
                <w:color w:val="auto"/>
              </w:rPr>
            </w:pPr>
            <w:r>
              <w:rPr>
                <w:rFonts w:ascii="Arial" w:cs="Arial" w:eastAsia="Arial" w:hAnsi="Arial"/>
                <w:sz w:val="14"/>
                <w:szCs w:val="14"/>
                <w:color w:val="auto"/>
              </w:rPr>
              <w:t>14.9</w:t>
            </w:r>
          </w:p>
        </w:tc>
        <w:tc>
          <w:tcPr>
            <w:tcW w:w="1420" w:type="dxa"/>
            <w:vAlign w:val="bottom"/>
          </w:tcPr>
          <w:p>
            <w:pPr>
              <w:jc w:val="right"/>
              <w:spacing w:after="0"/>
              <w:rPr>
                <w:sz w:val="20"/>
                <w:szCs w:val="20"/>
                <w:color w:val="auto"/>
              </w:rPr>
            </w:pPr>
            <w:r>
              <w:rPr>
                <w:rFonts w:ascii="Arial" w:cs="Arial" w:eastAsia="Arial" w:hAnsi="Arial"/>
                <w:sz w:val="14"/>
                <w:szCs w:val="14"/>
                <w:color w:val="auto"/>
              </w:rPr>
              <w:t>141.1</w:t>
            </w:r>
          </w:p>
        </w:tc>
      </w:tr>
      <w:tr>
        <w:trPr>
          <w:trHeight w:val="243"/>
        </w:trPr>
        <w:tc>
          <w:tcPr>
            <w:tcW w:w="4300" w:type="dxa"/>
            <w:vAlign w:val="bottom"/>
          </w:tcPr>
          <w:p>
            <w:pPr>
              <w:jc w:val="right"/>
              <w:ind w:right="428"/>
              <w:spacing w:after="0"/>
              <w:rPr>
                <w:sz w:val="20"/>
                <w:szCs w:val="20"/>
                <w:color w:val="auto"/>
              </w:rPr>
            </w:pPr>
            <w:r>
              <w:rPr>
                <w:rFonts w:ascii="Arial" w:cs="Arial" w:eastAsia="Arial" w:hAnsi="Arial"/>
                <w:sz w:val="14"/>
                <w:szCs w:val="14"/>
                <w:color w:val="auto"/>
              </w:rPr>
              <w:t>21.0</w:t>
            </w:r>
          </w:p>
        </w:tc>
        <w:tc>
          <w:tcPr>
            <w:tcW w:w="1420" w:type="dxa"/>
            <w:vAlign w:val="bottom"/>
          </w:tcPr>
          <w:p>
            <w:pPr>
              <w:jc w:val="right"/>
              <w:spacing w:after="0"/>
              <w:rPr>
                <w:sz w:val="20"/>
                <w:szCs w:val="20"/>
                <w:color w:val="auto"/>
              </w:rPr>
            </w:pPr>
            <w:r>
              <w:rPr>
                <w:rFonts w:ascii="Arial" w:cs="Arial" w:eastAsia="Arial" w:hAnsi="Arial"/>
                <w:sz w:val="14"/>
                <w:szCs w:val="14"/>
                <w:color w:val="auto"/>
              </w:rPr>
              <w:t>25.3</w:t>
            </w:r>
          </w:p>
        </w:tc>
      </w:tr>
      <w:tr>
        <w:trPr>
          <w:trHeight w:val="230"/>
        </w:trPr>
        <w:tc>
          <w:tcPr>
            <w:tcW w:w="4300" w:type="dxa"/>
            <w:vAlign w:val="bottom"/>
          </w:tcPr>
          <w:p>
            <w:pPr>
              <w:jc w:val="right"/>
              <w:ind w:right="428"/>
              <w:spacing w:after="0"/>
              <w:rPr>
                <w:sz w:val="20"/>
                <w:szCs w:val="20"/>
                <w:color w:val="auto"/>
              </w:rPr>
            </w:pPr>
            <w:r>
              <w:rPr>
                <w:rFonts w:ascii="Arial" w:cs="Arial" w:eastAsia="Arial" w:hAnsi="Arial"/>
                <w:sz w:val="14"/>
                <w:szCs w:val="14"/>
                <w:color w:val="auto"/>
              </w:rPr>
              <w:t>16.0</w:t>
            </w:r>
          </w:p>
        </w:tc>
        <w:tc>
          <w:tcPr>
            <w:tcW w:w="1420" w:type="dxa"/>
            <w:vAlign w:val="bottom"/>
          </w:tcPr>
          <w:p>
            <w:pPr>
              <w:jc w:val="right"/>
              <w:spacing w:after="0"/>
              <w:rPr>
                <w:sz w:val="20"/>
                <w:szCs w:val="20"/>
                <w:color w:val="auto"/>
              </w:rPr>
            </w:pPr>
            <w:r>
              <w:rPr>
                <w:rFonts w:ascii="Arial" w:cs="Arial" w:eastAsia="Arial" w:hAnsi="Arial"/>
                <w:sz w:val="14"/>
                <w:szCs w:val="14"/>
                <w:color w:val="auto"/>
              </w:rPr>
              <w:t>22.8</w:t>
            </w:r>
          </w:p>
        </w:tc>
      </w:tr>
      <w:tr>
        <w:trPr>
          <w:trHeight w:val="229"/>
        </w:trPr>
        <w:tc>
          <w:tcPr>
            <w:tcW w:w="4300" w:type="dxa"/>
            <w:vAlign w:val="bottom"/>
          </w:tcPr>
          <w:p>
            <w:pPr>
              <w:jc w:val="right"/>
              <w:ind w:right="428"/>
              <w:spacing w:after="0"/>
              <w:rPr>
                <w:sz w:val="20"/>
                <w:szCs w:val="20"/>
                <w:color w:val="auto"/>
              </w:rPr>
            </w:pPr>
            <w:r>
              <w:rPr>
                <w:rFonts w:ascii="Arial" w:cs="Arial" w:eastAsia="Arial" w:hAnsi="Arial"/>
                <w:sz w:val="14"/>
                <w:szCs w:val="14"/>
                <w:color w:val="auto"/>
              </w:rPr>
              <w:t>659.7</w:t>
            </w:r>
          </w:p>
        </w:tc>
        <w:tc>
          <w:tcPr>
            <w:tcW w:w="1420" w:type="dxa"/>
            <w:vAlign w:val="bottom"/>
          </w:tcPr>
          <w:p>
            <w:pPr>
              <w:jc w:val="right"/>
              <w:spacing w:after="0"/>
              <w:rPr>
                <w:sz w:val="20"/>
                <w:szCs w:val="20"/>
                <w:color w:val="auto"/>
              </w:rPr>
            </w:pPr>
            <w:r>
              <w:rPr>
                <w:rFonts w:ascii="Arial" w:cs="Arial" w:eastAsia="Arial" w:hAnsi="Arial"/>
                <w:sz w:val="14"/>
                <w:szCs w:val="14"/>
                <w:color w:val="auto"/>
              </w:rPr>
              <w:t>15.8</w:t>
            </w:r>
          </w:p>
        </w:tc>
      </w:tr>
      <w:tr>
        <w:trPr>
          <w:trHeight w:val="243"/>
        </w:trPr>
        <w:tc>
          <w:tcPr>
            <w:tcW w:w="4300" w:type="dxa"/>
            <w:vAlign w:val="bottom"/>
          </w:tcPr>
          <w:p>
            <w:pPr>
              <w:jc w:val="right"/>
              <w:ind w:right="428"/>
              <w:spacing w:after="0"/>
              <w:rPr>
                <w:sz w:val="20"/>
                <w:szCs w:val="20"/>
                <w:color w:val="auto"/>
              </w:rPr>
            </w:pPr>
            <w:r>
              <w:rPr>
                <w:rFonts w:ascii="Arial" w:cs="Arial" w:eastAsia="Arial" w:hAnsi="Arial"/>
                <w:sz w:val="14"/>
                <w:szCs w:val="14"/>
                <w:color w:val="auto"/>
              </w:rPr>
              <w:t>7.8</w:t>
            </w:r>
          </w:p>
        </w:tc>
        <w:tc>
          <w:tcPr>
            <w:tcW w:w="142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45"/>
        </w:trPr>
        <w:tc>
          <w:tcPr>
            <w:tcW w:w="4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80"/>
        </w:trPr>
        <w:tc>
          <w:tcPr>
            <w:tcW w:w="4300" w:type="dxa"/>
            <w:vAlign w:val="bottom"/>
          </w:tcPr>
          <w:p>
            <w:pPr>
              <w:jc w:val="right"/>
              <w:ind w:right="428"/>
              <w:spacing w:after="0"/>
              <w:rPr>
                <w:sz w:val="20"/>
                <w:szCs w:val="20"/>
                <w:color w:val="auto"/>
              </w:rPr>
            </w:pPr>
            <w:r>
              <w:rPr>
                <w:rFonts w:ascii="Arial" w:cs="Arial" w:eastAsia="Arial" w:hAnsi="Arial"/>
                <w:sz w:val="14"/>
                <w:szCs w:val="14"/>
                <w:b w:val="1"/>
                <w:bCs w:val="1"/>
                <w:color w:val="auto"/>
              </w:rPr>
              <w:t>829.2</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326.5</w:t>
            </w:r>
          </w:p>
        </w:tc>
      </w:tr>
      <w:tr>
        <w:trPr>
          <w:trHeight w:val="228"/>
        </w:trPr>
        <w:tc>
          <w:tcPr>
            <w:tcW w:w="4300" w:type="dxa"/>
            <w:vAlign w:val="bottom"/>
          </w:tcPr>
          <w:p>
            <w:pPr>
              <w:jc w:val="right"/>
              <w:ind w:right="428"/>
              <w:spacing w:after="0"/>
              <w:rPr>
                <w:sz w:val="20"/>
                <w:szCs w:val="20"/>
                <w:color w:val="auto"/>
              </w:rPr>
            </w:pPr>
            <w:r>
              <w:rPr>
                <w:rFonts w:ascii="Arial" w:cs="Arial" w:eastAsia="Arial" w:hAnsi="Arial"/>
                <w:sz w:val="14"/>
                <w:szCs w:val="14"/>
                <w:color w:val="auto"/>
              </w:rPr>
              <w:t>20.2</w:t>
            </w:r>
          </w:p>
        </w:tc>
        <w:tc>
          <w:tcPr>
            <w:tcW w:w="1420" w:type="dxa"/>
            <w:vAlign w:val="bottom"/>
          </w:tcPr>
          <w:p>
            <w:pPr>
              <w:jc w:val="right"/>
              <w:spacing w:after="0"/>
              <w:rPr>
                <w:sz w:val="20"/>
                <w:szCs w:val="20"/>
                <w:color w:val="auto"/>
              </w:rPr>
            </w:pPr>
            <w:r>
              <w:rPr>
                <w:rFonts w:ascii="Arial" w:cs="Arial" w:eastAsia="Arial" w:hAnsi="Arial"/>
                <w:sz w:val="14"/>
                <w:szCs w:val="14"/>
                <w:color w:val="auto"/>
              </w:rPr>
              <w:t>19.7</w:t>
            </w:r>
          </w:p>
        </w:tc>
      </w:tr>
      <w:tr>
        <w:trPr>
          <w:trHeight w:val="243"/>
        </w:trPr>
        <w:tc>
          <w:tcPr>
            <w:tcW w:w="4300" w:type="dxa"/>
            <w:vAlign w:val="bottom"/>
          </w:tcPr>
          <w:p>
            <w:pPr>
              <w:jc w:val="right"/>
              <w:ind w:right="428"/>
              <w:spacing w:after="0"/>
              <w:rPr>
                <w:sz w:val="20"/>
                <w:szCs w:val="20"/>
                <w:color w:val="auto"/>
              </w:rPr>
            </w:pPr>
            <w:r>
              <w:rPr>
                <w:rFonts w:ascii="Arial" w:cs="Arial" w:eastAsia="Arial" w:hAnsi="Arial"/>
                <w:sz w:val="14"/>
                <w:szCs w:val="14"/>
                <w:color w:val="auto"/>
              </w:rPr>
              <w:t>66.9</w:t>
            </w:r>
          </w:p>
        </w:tc>
        <w:tc>
          <w:tcPr>
            <w:tcW w:w="1420" w:type="dxa"/>
            <w:vAlign w:val="bottom"/>
          </w:tcPr>
          <w:p>
            <w:pPr>
              <w:jc w:val="right"/>
              <w:spacing w:after="0"/>
              <w:rPr>
                <w:sz w:val="20"/>
                <w:szCs w:val="20"/>
                <w:color w:val="auto"/>
              </w:rPr>
            </w:pPr>
            <w:r>
              <w:rPr>
                <w:rFonts w:ascii="Arial" w:cs="Arial" w:eastAsia="Arial" w:hAnsi="Arial"/>
                <w:sz w:val="14"/>
                <w:szCs w:val="14"/>
                <w:color w:val="auto"/>
              </w:rPr>
              <w:t>15.9</w:t>
            </w:r>
          </w:p>
        </w:tc>
      </w:tr>
      <w:tr>
        <w:trPr>
          <w:trHeight w:val="230"/>
        </w:trPr>
        <w:tc>
          <w:tcPr>
            <w:tcW w:w="4300" w:type="dxa"/>
            <w:vAlign w:val="bottom"/>
          </w:tcPr>
          <w:p>
            <w:pPr>
              <w:jc w:val="right"/>
              <w:ind w:right="428"/>
              <w:spacing w:after="0"/>
              <w:rPr>
                <w:sz w:val="20"/>
                <w:szCs w:val="20"/>
                <w:color w:val="auto"/>
              </w:rPr>
            </w:pPr>
            <w:r>
              <w:rPr>
                <w:rFonts w:ascii="Arial" w:cs="Arial" w:eastAsia="Arial" w:hAnsi="Arial"/>
                <w:sz w:val="14"/>
                <w:szCs w:val="14"/>
                <w:color w:val="auto"/>
              </w:rPr>
              <w:t>67.7</w:t>
            </w:r>
          </w:p>
        </w:tc>
        <w:tc>
          <w:tcPr>
            <w:tcW w:w="1420" w:type="dxa"/>
            <w:vAlign w:val="bottom"/>
          </w:tcPr>
          <w:p>
            <w:pPr>
              <w:jc w:val="right"/>
              <w:spacing w:after="0"/>
              <w:rPr>
                <w:sz w:val="20"/>
                <w:szCs w:val="20"/>
                <w:color w:val="auto"/>
              </w:rPr>
            </w:pPr>
            <w:r>
              <w:rPr>
                <w:rFonts w:ascii="Arial" w:cs="Arial" w:eastAsia="Arial" w:hAnsi="Arial"/>
                <w:sz w:val="14"/>
                <w:szCs w:val="14"/>
                <w:color w:val="auto"/>
              </w:rPr>
              <w:t>55.8</w:t>
            </w:r>
          </w:p>
        </w:tc>
      </w:tr>
      <w:tr>
        <w:trPr>
          <w:trHeight w:val="229"/>
        </w:trPr>
        <w:tc>
          <w:tcPr>
            <w:tcW w:w="4300" w:type="dxa"/>
            <w:vAlign w:val="bottom"/>
          </w:tcPr>
          <w:p>
            <w:pPr>
              <w:jc w:val="right"/>
              <w:ind w:right="428"/>
              <w:spacing w:after="0"/>
              <w:rPr>
                <w:sz w:val="20"/>
                <w:szCs w:val="20"/>
                <w:color w:val="auto"/>
              </w:rPr>
            </w:pPr>
            <w:r>
              <w:rPr>
                <w:rFonts w:ascii="Arial" w:cs="Arial" w:eastAsia="Arial" w:hAnsi="Arial"/>
                <w:sz w:val="14"/>
                <w:szCs w:val="14"/>
                <w:color w:val="auto"/>
              </w:rPr>
              <w:t>15.3</w:t>
            </w:r>
          </w:p>
        </w:tc>
        <w:tc>
          <w:tcPr>
            <w:tcW w:w="1420" w:type="dxa"/>
            <w:vAlign w:val="bottom"/>
          </w:tcPr>
          <w:p>
            <w:pPr>
              <w:jc w:val="right"/>
              <w:spacing w:after="0"/>
              <w:rPr>
                <w:sz w:val="20"/>
                <w:szCs w:val="20"/>
                <w:color w:val="auto"/>
              </w:rPr>
            </w:pPr>
            <w:r>
              <w:rPr>
                <w:rFonts w:ascii="Arial" w:cs="Arial" w:eastAsia="Arial" w:hAnsi="Arial"/>
                <w:sz w:val="14"/>
                <w:szCs w:val="14"/>
                <w:color w:val="auto"/>
              </w:rPr>
              <w:t>15.2</w:t>
            </w:r>
          </w:p>
        </w:tc>
      </w:tr>
      <w:tr>
        <w:trPr>
          <w:trHeight w:val="243"/>
        </w:trPr>
        <w:tc>
          <w:tcPr>
            <w:tcW w:w="4300" w:type="dxa"/>
            <w:vAlign w:val="bottom"/>
          </w:tcPr>
          <w:p>
            <w:pPr>
              <w:jc w:val="right"/>
              <w:ind w:right="428"/>
              <w:spacing w:after="0"/>
              <w:rPr>
                <w:sz w:val="20"/>
                <w:szCs w:val="20"/>
                <w:color w:val="auto"/>
              </w:rPr>
            </w:pPr>
            <w:r>
              <w:rPr>
                <w:rFonts w:ascii="Arial" w:cs="Arial" w:eastAsia="Arial" w:hAnsi="Arial"/>
                <w:sz w:val="14"/>
                <w:szCs w:val="14"/>
                <w:color w:val="auto"/>
              </w:rPr>
              <w:t>24.5</w:t>
            </w:r>
          </w:p>
        </w:tc>
        <w:tc>
          <w:tcPr>
            <w:tcW w:w="1420" w:type="dxa"/>
            <w:vAlign w:val="bottom"/>
          </w:tcPr>
          <w:p>
            <w:pPr>
              <w:jc w:val="right"/>
              <w:spacing w:after="0"/>
              <w:rPr>
                <w:sz w:val="20"/>
                <w:szCs w:val="20"/>
                <w:color w:val="auto"/>
              </w:rPr>
            </w:pPr>
            <w:r>
              <w:rPr>
                <w:rFonts w:ascii="Arial" w:cs="Arial" w:eastAsia="Arial" w:hAnsi="Arial"/>
                <w:sz w:val="14"/>
                <w:szCs w:val="14"/>
                <w:color w:val="auto"/>
              </w:rPr>
              <w:t>22.5</w:t>
            </w:r>
          </w:p>
        </w:tc>
      </w:tr>
      <w:tr>
        <w:trPr>
          <w:trHeight w:val="45"/>
        </w:trPr>
        <w:tc>
          <w:tcPr>
            <w:tcW w:w="4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80"/>
        </w:trPr>
        <w:tc>
          <w:tcPr>
            <w:tcW w:w="4300" w:type="dxa"/>
            <w:vAlign w:val="bottom"/>
          </w:tcPr>
          <w:p>
            <w:pPr>
              <w:jc w:val="right"/>
              <w:ind w:right="428"/>
              <w:spacing w:after="0"/>
              <w:rPr>
                <w:sz w:val="20"/>
                <w:szCs w:val="20"/>
                <w:color w:val="auto"/>
              </w:rPr>
            </w:pPr>
            <w:r>
              <w:rPr>
                <w:rFonts w:ascii="Arial" w:cs="Arial" w:eastAsia="Arial" w:hAnsi="Arial"/>
                <w:sz w:val="14"/>
                <w:szCs w:val="14"/>
                <w:b w:val="1"/>
                <w:bCs w:val="1"/>
                <w:color w:val="auto"/>
              </w:rPr>
              <w:t>$1,023.7</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$455.5</w:t>
            </w:r>
          </w:p>
        </w:tc>
      </w:tr>
      <w:tr>
        <w:trPr>
          <w:trHeight w:val="43"/>
        </w:trPr>
        <w:tc>
          <w:tcPr>
            <w:tcW w:w="4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651"/>
        </w:trPr>
        <w:tc>
          <w:tcPr>
            <w:tcW w:w="4300" w:type="dxa"/>
            <w:vAlign w:val="bottom"/>
          </w:tcPr>
          <w:p>
            <w:pPr>
              <w:jc w:val="right"/>
              <w:ind w:right="428"/>
              <w:spacing w:after="0"/>
              <w:rPr>
                <w:sz w:val="20"/>
                <w:szCs w:val="20"/>
                <w:color w:val="auto"/>
              </w:rPr>
            </w:pPr>
            <w:r>
              <w:rPr>
                <w:rFonts w:ascii="Arial" w:cs="Arial" w:eastAsia="Arial" w:hAnsi="Arial"/>
                <w:sz w:val="14"/>
                <w:szCs w:val="14"/>
                <w:color w:val="auto"/>
              </w:rPr>
              <w:t>$52.4</w:t>
            </w:r>
          </w:p>
        </w:tc>
        <w:tc>
          <w:tcPr>
            <w:tcW w:w="1420" w:type="dxa"/>
            <w:vAlign w:val="bottom"/>
          </w:tcPr>
          <w:p>
            <w:pPr>
              <w:jc w:val="right"/>
              <w:spacing w:after="0"/>
              <w:rPr>
                <w:sz w:val="20"/>
                <w:szCs w:val="20"/>
                <w:color w:val="auto"/>
              </w:rPr>
            </w:pPr>
            <w:r>
              <w:rPr>
                <w:rFonts w:ascii="Arial" w:cs="Arial" w:eastAsia="Arial" w:hAnsi="Arial"/>
                <w:sz w:val="14"/>
                <w:szCs w:val="14"/>
                <w:color w:val="auto"/>
              </w:rPr>
              <w:t>$66.8</w:t>
            </w:r>
          </w:p>
        </w:tc>
      </w:tr>
      <w:tr>
        <w:trPr>
          <w:trHeight w:val="229"/>
        </w:trPr>
        <w:tc>
          <w:tcPr>
            <w:tcW w:w="4300" w:type="dxa"/>
            <w:vAlign w:val="bottom"/>
          </w:tcPr>
          <w:p>
            <w:pPr>
              <w:jc w:val="right"/>
              <w:ind w:right="428"/>
              <w:spacing w:after="0"/>
              <w:rPr>
                <w:sz w:val="20"/>
                <w:szCs w:val="20"/>
                <w:color w:val="auto"/>
              </w:rPr>
            </w:pPr>
            <w:r>
              <w:rPr>
                <w:rFonts w:ascii="Arial" w:cs="Arial" w:eastAsia="Arial" w:hAnsi="Arial"/>
                <w:sz w:val="14"/>
                <w:szCs w:val="14"/>
                <w:color w:val="auto"/>
              </w:rPr>
              <w:t>0.5</w:t>
            </w:r>
          </w:p>
        </w:tc>
        <w:tc>
          <w:tcPr>
            <w:tcW w:w="142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43"/>
        </w:trPr>
        <w:tc>
          <w:tcPr>
            <w:tcW w:w="4300" w:type="dxa"/>
            <w:vAlign w:val="bottom"/>
          </w:tcPr>
          <w:p>
            <w:pPr>
              <w:jc w:val="right"/>
              <w:ind w:right="428"/>
              <w:spacing w:after="0"/>
              <w:rPr>
                <w:sz w:val="20"/>
                <w:szCs w:val="20"/>
                <w:color w:val="auto"/>
              </w:rPr>
            </w:pPr>
            <w:r>
              <w:rPr>
                <w:rFonts w:ascii="Arial" w:cs="Arial" w:eastAsia="Arial" w:hAnsi="Arial"/>
                <w:sz w:val="14"/>
                <w:szCs w:val="14"/>
                <w:color w:val="auto"/>
              </w:rPr>
              <w:t>3.8</w:t>
            </w:r>
          </w:p>
        </w:tc>
        <w:tc>
          <w:tcPr>
            <w:tcW w:w="142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29"/>
        </w:trPr>
        <w:tc>
          <w:tcPr>
            <w:tcW w:w="4300" w:type="dxa"/>
            <w:vAlign w:val="bottom"/>
          </w:tcPr>
          <w:p>
            <w:pPr>
              <w:jc w:val="right"/>
              <w:ind w:right="428"/>
              <w:spacing w:after="0"/>
              <w:rPr>
                <w:sz w:val="20"/>
                <w:szCs w:val="20"/>
                <w:color w:val="auto"/>
              </w:rPr>
            </w:pPr>
            <w:r>
              <w:rPr>
                <w:rFonts w:ascii="Arial" w:cs="Arial" w:eastAsia="Arial" w:hAnsi="Arial"/>
                <w:sz w:val="14"/>
                <w:szCs w:val="14"/>
                <w:color w:val="auto"/>
              </w:rPr>
              <w:t>1.0</w:t>
            </w:r>
          </w:p>
        </w:tc>
        <w:tc>
          <w:tcPr>
            <w:tcW w:w="142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30"/>
        </w:trPr>
        <w:tc>
          <w:tcPr>
            <w:tcW w:w="4300" w:type="dxa"/>
            <w:vAlign w:val="bottom"/>
          </w:tcPr>
          <w:p>
            <w:pPr>
              <w:jc w:val="right"/>
              <w:ind w:right="428"/>
              <w:spacing w:after="0"/>
              <w:rPr>
                <w:sz w:val="20"/>
                <w:szCs w:val="20"/>
                <w:color w:val="auto"/>
              </w:rPr>
            </w:pPr>
            <w:r>
              <w:rPr>
                <w:rFonts w:ascii="Arial" w:cs="Arial" w:eastAsia="Arial" w:hAnsi="Arial"/>
                <w:sz w:val="14"/>
                <w:szCs w:val="14"/>
                <w:color w:val="auto"/>
              </w:rPr>
              <w:t>659.7</w:t>
            </w:r>
          </w:p>
        </w:tc>
        <w:tc>
          <w:tcPr>
            <w:tcW w:w="1420" w:type="dxa"/>
            <w:vAlign w:val="bottom"/>
          </w:tcPr>
          <w:p>
            <w:pPr>
              <w:jc w:val="right"/>
              <w:spacing w:after="0"/>
              <w:rPr>
                <w:sz w:val="20"/>
                <w:szCs w:val="20"/>
                <w:color w:val="auto"/>
              </w:rPr>
            </w:pPr>
            <w:r>
              <w:rPr>
                <w:rFonts w:ascii="Arial" w:cs="Arial" w:eastAsia="Arial" w:hAnsi="Arial"/>
                <w:sz w:val="14"/>
                <w:szCs w:val="14"/>
                <w:color w:val="auto"/>
              </w:rPr>
              <w:t>15.8</w:t>
            </w:r>
          </w:p>
        </w:tc>
      </w:tr>
      <w:tr>
        <w:trPr>
          <w:trHeight w:val="230"/>
        </w:trPr>
        <w:tc>
          <w:tcPr>
            <w:tcW w:w="4300" w:type="dxa"/>
            <w:vAlign w:val="bottom"/>
          </w:tcPr>
          <w:p>
            <w:pPr>
              <w:jc w:val="right"/>
              <w:ind w:right="428"/>
              <w:spacing w:after="0"/>
              <w:rPr>
                <w:sz w:val="20"/>
                <w:szCs w:val="20"/>
                <w:color w:val="auto"/>
              </w:rPr>
            </w:pPr>
            <w:r>
              <w:rPr>
                <w:rFonts w:ascii="Arial" w:cs="Arial" w:eastAsia="Arial" w:hAnsi="Arial"/>
                <w:sz w:val="14"/>
                <w:szCs w:val="14"/>
                <w:color w:val="auto"/>
              </w:rPr>
              <w:t>3.7</w:t>
            </w:r>
          </w:p>
        </w:tc>
        <w:tc>
          <w:tcPr>
            <w:tcW w:w="142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59"/>
        </w:trPr>
        <w:tc>
          <w:tcPr>
            <w:tcW w:w="43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180"/>
        </w:trPr>
        <w:tc>
          <w:tcPr>
            <w:tcW w:w="4300" w:type="dxa"/>
            <w:vAlign w:val="bottom"/>
          </w:tcPr>
          <w:p>
            <w:pPr>
              <w:jc w:val="right"/>
              <w:ind w:right="428"/>
              <w:spacing w:after="0"/>
              <w:rPr>
                <w:sz w:val="20"/>
                <w:szCs w:val="20"/>
                <w:color w:val="auto"/>
              </w:rPr>
            </w:pPr>
            <w:r>
              <w:rPr>
                <w:rFonts w:ascii="Arial" w:cs="Arial" w:eastAsia="Arial" w:hAnsi="Arial"/>
                <w:sz w:val="14"/>
                <w:szCs w:val="14"/>
                <w:b w:val="1"/>
                <w:bCs w:val="1"/>
                <w:color w:val="auto"/>
              </w:rPr>
              <w:t>721.0</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92.1</w:t>
            </w:r>
          </w:p>
        </w:tc>
      </w:tr>
      <w:tr>
        <w:trPr>
          <w:trHeight w:val="228"/>
        </w:trPr>
        <w:tc>
          <w:tcPr>
            <w:tcW w:w="4300" w:type="dxa"/>
            <w:vAlign w:val="bottom"/>
          </w:tcPr>
          <w:p>
            <w:pPr>
              <w:jc w:val="right"/>
              <w:ind w:right="428"/>
              <w:spacing w:after="0"/>
              <w:rPr>
                <w:sz w:val="20"/>
                <w:szCs w:val="20"/>
                <w:color w:val="auto"/>
              </w:rPr>
            </w:pPr>
            <w:r>
              <w:rPr>
                <w:rFonts w:ascii="Arial" w:cs="Arial" w:eastAsia="Arial" w:hAnsi="Arial"/>
                <w:sz w:val="14"/>
                <w:szCs w:val="14"/>
                <w:color w:val="auto"/>
              </w:rPr>
              <w:t>2.5</w:t>
            </w:r>
          </w:p>
        </w:tc>
        <w:tc>
          <w:tcPr>
            <w:tcW w:w="142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30"/>
        </w:trPr>
        <w:tc>
          <w:tcPr>
            <w:tcW w:w="4300" w:type="dxa"/>
            <w:vAlign w:val="bottom"/>
          </w:tcPr>
          <w:p>
            <w:pPr>
              <w:jc w:val="right"/>
              <w:ind w:right="428"/>
              <w:spacing w:after="0"/>
              <w:rPr>
                <w:sz w:val="20"/>
                <w:szCs w:val="20"/>
                <w:color w:val="auto"/>
              </w:rPr>
            </w:pPr>
            <w:r>
              <w:rPr>
                <w:rFonts w:ascii="Arial" w:cs="Arial" w:eastAsia="Arial" w:hAnsi="Arial"/>
                <w:sz w:val="14"/>
                <w:szCs w:val="14"/>
                <w:color w:val="auto"/>
              </w:rPr>
              <w:t>1.4</w:t>
            </w:r>
          </w:p>
        </w:tc>
        <w:tc>
          <w:tcPr>
            <w:tcW w:w="142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43"/>
        </w:trPr>
        <w:tc>
          <w:tcPr>
            <w:tcW w:w="43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300" w:type="dxa"/>
            <w:vAlign w:val="bottom"/>
          </w:tcPr>
          <w:p>
            <w:pPr>
              <w:jc w:val="right"/>
              <w:ind w:right="428"/>
              <w:spacing w:after="0"/>
              <w:rPr>
                <w:sz w:val="20"/>
                <w:szCs w:val="20"/>
                <w:color w:val="auto"/>
              </w:rPr>
            </w:pPr>
            <w:r>
              <w:rPr>
                <w:rFonts w:ascii="Arial" w:cs="Arial" w:eastAsia="Arial" w:hAnsi="Arial"/>
                <w:sz w:val="14"/>
                <w:szCs w:val="14"/>
                <w:color w:val="auto"/>
              </w:rPr>
              <w:t>38.9</w:t>
            </w:r>
          </w:p>
        </w:tc>
        <w:tc>
          <w:tcPr>
            <w:tcW w:w="1420" w:type="dxa"/>
            <w:vAlign w:val="bottom"/>
          </w:tcPr>
          <w:p>
            <w:pPr>
              <w:jc w:val="right"/>
              <w:spacing w:after="0"/>
              <w:rPr>
                <w:sz w:val="20"/>
                <w:szCs w:val="20"/>
                <w:color w:val="auto"/>
              </w:rPr>
            </w:pPr>
            <w:r>
              <w:rPr>
                <w:rFonts w:ascii="Arial" w:cs="Arial" w:eastAsia="Arial" w:hAnsi="Arial"/>
                <w:sz w:val="14"/>
                <w:szCs w:val="14"/>
                <w:color w:val="auto"/>
              </w:rPr>
              <w:t>23.4</w:t>
            </w:r>
          </w:p>
        </w:tc>
      </w:tr>
      <w:tr>
        <w:trPr>
          <w:trHeight w:val="45"/>
        </w:trPr>
        <w:tc>
          <w:tcPr>
            <w:tcW w:w="4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80"/>
        </w:trPr>
        <w:tc>
          <w:tcPr>
            <w:tcW w:w="4300" w:type="dxa"/>
            <w:vAlign w:val="bottom"/>
          </w:tcPr>
          <w:p>
            <w:pPr>
              <w:jc w:val="right"/>
              <w:ind w:right="428"/>
              <w:spacing w:after="0"/>
              <w:rPr>
                <w:sz w:val="20"/>
                <w:szCs w:val="20"/>
                <w:color w:val="auto"/>
              </w:rPr>
            </w:pPr>
            <w:r>
              <w:rPr>
                <w:rFonts w:ascii="Arial" w:cs="Arial" w:eastAsia="Arial" w:hAnsi="Arial"/>
                <w:sz w:val="14"/>
                <w:szCs w:val="14"/>
                <w:b w:val="1"/>
                <w:bCs w:val="1"/>
                <w:color w:val="auto"/>
              </w:rPr>
              <w:t>763.9</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119.4</w:t>
            </w:r>
          </w:p>
        </w:tc>
      </w:tr>
      <w:tr>
        <w:trPr>
          <w:trHeight w:val="835"/>
        </w:trPr>
        <w:tc>
          <w:tcPr>
            <w:tcW w:w="4300" w:type="dxa"/>
            <w:vAlign w:val="bottom"/>
          </w:tcPr>
          <w:p>
            <w:pPr>
              <w:jc w:val="right"/>
              <w:ind w:right="428"/>
              <w:spacing w:after="0"/>
              <w:rPr>
                <w:sz w:val="20"/>
                <w:szCs w:val="20"/>
                <w:color w:val="auto"/>
              </w:rPr>
            </w:pPr>
            <w:r>
              <w:rPr>
                <w:rFonts w:ascii="Arial" w:cs="Arial" w:eastAsia="Arial" w:hAnsi="Arial"/>
                <w:sz w:val="14"/>
                <w:szCs w:val="14"/>
                <w:color w:val="auto"/>
              </w:rPr>
              <w:t>0.0</w:t>
            </w:r>
          </w:p>
        </w:tc>
        <w:tc>
          <w:tcPr>
            <w:tcW w:w="1420" w:type="dxa"/>
            <w:vAlign w:val="bottom"/>
          </w:tcPr>
          <w:p>
            <w:pPr>
              <w:jc w:val="right"/>
              <w:spacing w:after="0"/>
              <w:rPr>
                <w:sz w:val="20"/>
                <w:szCs w:val="20"/>
                <w:color w:val="auto"/>
              </w:rPr>
            </w:pPr>
            <w:r>
              <w:rPr>
                <w:rFonts w:ascii="Arial" w:cs="Arial" w:eastAsia="Arial" w:hAnsi="Arial"/>
                <w:sz w:val="14"/>
                <w:szCs w:val="14"/>
                <w:color w:val="auto"/>
              </w:rPr>
              <w:t>0.0</w:t>
            </w:r>
          </w:p>
        </w:tc>
      </w:tr>
      <w:tr>
        <w:trPr>
          <w:trHeight w:val="594"/>
        </w:trPr>
        <w:tc>
          <w:tcPr>
            <w:tcW w:w="4300" w:type="dxa"/>
            <w:vAlign w:val="bottom"/>
          </w:tcPr>
          <w:p>
            <w:pPr>
              <w:jc w:val="right"/>
              <w:ind w:right="428"/>
              <w:spacing w:after="0"/>
              <w:rPr>
                <w:sz w:val="20"/>
                <w:szCs w:val="20"/>
                <w:color w:val="auto"/>
              </w:rPr>
            </w:pPr>
            <w:r>
              <w:rPr>
                <w:rFonts w:ascii="Arial" w:cs="Arial" w:eastAsia="Arial" w:hAnsi="Arial"/>
                <w:sz w:val="14"/>
                <w:szCs w:val="14"/>
                <w:color w:val="auto"/>
              </w:rPr>
              <w:t>0.0</w:t>
            </w:r>
          </w:p>
        </w:tc>
        <w:tc>
          <w:tcPr>
            <w:tcW w:w="1420" w:type="dxa"/>
            <w:vAlign w:val="bottom"/>
          </w:tcPr>
          <w:p>
            <w:pPr>
              <w:jc w:val="right"/>
              <w:spacing w:after="0"/>
              <w:rPr>
                <w:sz w:val="20"/>
                <w:szCs w:val="20"/>
                <w:color w:val="auto"/>
              </w:rPr>
            </w:pPr>
            <w:r>
              <w:rPr>
                <w:rFonts w:ascii="Arial" w:cs="Arial" w:eastAsia="Arial" w:hAnsi="Arial"/>
                <w:sz w:val="14"/>
                <w:szCs w:val="14"/>
                <w:color w:val="auto"/>
              </w:rPr>
              <w:t>0.0</w:t>
            </w:r>
          </w:p>
        </w:tc>
      </w:tr>
      <w:tr>
        <w:trPr>
          <w:trHeight w:val="230"/>
        </w:trPr>
        <w:tc>
          <w:tcPr>
            <w:tcW w:w="4300" w:type="dxa"/>
            <w:vAlign w:val="bottom"/>
          </w:tcPr>
          <w:p>
            <w:pPr>
              <w:jc w:val="right"/>
              <w:ind w:right="428"/>
              <w:spacing w:after="0"/>
              <w:rPr>
                <w:sz w:val="20"/>
                <w:szCs w:val="20"/>
                <w:color w:val="auto"/>
              </w:rPr>
            </w:pPr>
            <w:r>
              <w:rPr>
                <w:rFonts w:ascii="Arial" w:cs="Arial" w:eastAsia="Arial" w:hAnsi="Arial"/>
                <w:sz w:val="14"/>
                <w:szCs w:val="14"/>
                <w:color w:val="auto"/>
              </w:rPr>
              <w:t>791.2</w:t>
            </w:r>
          </w:p>
        </w:tc>
        <w:tc>
          <w:tcPr>
            <w:tcW w:w="1420" w:type="dxa"/>
            <w:vAlign w:val="bottom"/>
          </w:tcPr>
          <w:p>
            <w:pPr>
              <w:jc w:val="right"/>
              <w:spacing w:after="0"/>
              <w:rPr>
                <w:sz w:val="20"/>
                <w:szCs w:val="20"/>
                <w:color w:val="auto"/>
              </w:rPr>
            </w:pPr>
            <w:r>
              <w:rPr>
                <w:rFonts w:ascii="Arial" w:cs="Arial" w:eastAsia="Arial" w:hAnsi="Arial"/>
                <w:sz w:val="14"/>
                <w:szCs w:val="14"/>
                <w:color w:val="auto"/>
              </w:rPr>
              <w:t>773.0</w:t>
            </w:r>
          </w:p>
        </w:tc>
      </w:tr>
      <w:tr>
        <w:trPr>
          <w:trHeight w:val="230"/>
        </w:trPr>
        <w:tc>
          <w:tcPr>
            <w:tcW w:w="4300" w:type="dxa"/>
            <w:vAlign w:val="bottom"/>
          </w:tcPr>
          <w:p>
            <w:pPr>
              <w:jc w:val="right"/>
              <w:ind w:right="428"/>
              <w:spacing w:after="0"/>
              <w:rPr>
                <w:sz w:val="20"/>
                <w:szCs w:val="20"/>
                <w:color w:val="auto"/>
              </w:rPr>
            </w:pPr>
            <w:r>
              <w:rPr>
                <w:rFonts w:ascii="Arial" w:cs="Arial" w:eastAsia="Arial" w:hAnsi="Arial"/>
                <w:sz w:val="14"/>
                <w:szCs w:val="14"/>
                <w:color w:val="auto"/>
              </w:rPr>
              <w:t>(0.2)</w:t>
            </w:r>
          </w:p>
        </w:tc>
        <w:tc>
          <w:tcPr>
            <w:tcW w:w="142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43"/>
        </w:trPr>
        <w:tc>
          <w:tcPr>
            <w:tcW w:w="4300" w:type="dxa"/>
            <w:vAlign w:val="bottom"/>
          </w:tcPr>
          <w:p>
            <w:pPr>
              <w:jc w:val="right"/>
              <w:ind w:right="428"/>
              <w:spacing w:after="0"/>
              <w:rPr>
                <w:sz w:val="20"/>
                <w:szCs w:val="20"/>
                <w:color w:val="auto"/>
              </w:rPr>
            </w:pPr>
            <w:r>
              <w:rPr>
                <w:rFonts w:ascii="Arial" w:cs="Arial" w:eastAsia="Arial" w:hAnsi="Arial"/>
                <w:sz w:val="14"/>
                <w:szCs w:val="14"/>
                <w:color w:val="auto"/>
              </w:rPr>
              <w:t>(707.3)</w:t>
            </w:r>
          </w:p>
        </w:tc>
        <w:tc>
          <w:tcPr>
            <w:tcW w:w="1420" w:type="dxa"/>
            <w:vAlign w:val="bottom"/>
          </w:tcPr>
          <w:p>
            <w:pPr>
              <w:jc w:val="right"/>
              <w:spacing w:after="0"/>
              <w:rPr>
                <w:sz w:val="20"/>
                <w:szCs w:val="20"/>
                <w:color w:val="auto"/>
              </w:rPr>
            </w:pPr>
            <w:r>
              <w:rPr>
                <w:rFonts w:ascii="Arial" w:cs="Arial" w:eastAsia="Arial" w:hAnsi="Arial"/>
                <w:sz w:val="14"/>
                <w:szCs w:val="14"/>
                <w:color w:val="auto"/>
              </w:rPr>
              <w:t>(676.4)</w:t>
            </w:r>
          </w:p>
        </w:tc>
      </w:tr>
      <w:tr>
        <w:trPr>
          <w:trHeight w:val="45"/>
        </w:trPr>
        <w:tc>
          <w:tcPr>
            <w:tcW w:w="4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80"/>
        </w:trPr>
        <w:tc>
          <w:tcPr>
            <w:tcW w:w="4300" w:type="dxa"/>
            <w:vAlign w:val="bottom"/>
          </w:tcPr>
          <w:p>
            <w:pPr>
              <w:jc w:val="right"/>
              <w:ind w:right="428"/>
              <w:spacing w:after="0"/>
              <w:rPr>
                <w:sz w:val="20"/>
                <w:szCs w:val="20"/>
                <w:color w:val="auto"/>
              </w:rPr>
            </w:pPr>
            <w:r>
              <w:rPr>
                <w:rFonts w:ascii="Arial" w:cs="Arial" w:eastAsia="Arial" w:hAnsi="Arial"/>
                <w:sz w:val="14"/>
                <w:szCs w:val="14"/>
                <w:b w:val="1"/>
                <w:bCs w:val="1"/>
                <w:color w:val="auto"/>
              </w:rPr>
              <w:t>83.8</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96.3</w:t>
            </w:r>
          </w:p>
        </w:tc>
      </w:tr>
      <w:tr>
        <w:trPr>
          <w:trHeight w:val="228"/>
        </w:trPr>
        <w:tc>
          <w:tcPr>
            <w:tcW w:w="4300" w:type="dxa"/>
            <w:vAlign w:val="bottom"/>
          </w:tcPr>
          <w:p>
            <w:pPr>
              <w:jc w:val="right"/>
              <w:ind w:right="428"/>
              <w:spacing w:after="0"/>
              <w:rPr>
                <w:sz w:val="20"/>
                <w:szCs w:val="20"/>
                <w:color w:val="auto"/>
              </w:rPr>
            </w:pPr>
            <w:r>
              <w:rPr>
                <w:rFonts w:ascii="Arial" w:cs="Arial" w:eastAsia="Arial" w:hAnsi="Arial"/>
                <w:sz w:val="14"/>
                <w:szCs w:val="14"/>
                <w:color w:val="auto"/>
              </w:rPr>
              <w:t>176.1</w:t>
            </w:r>
          </w:p>
        </w:tc>
        <w:tc>
          <w:tcPr>
            <w:tcW w:w="1420" w:type="dxa"/>
            <w:vAlign w:val="bottom"/>
          </w:tcPr>
          <w:p>
            <w:pPr>
              <w:jc w:val="right"/>
              <w:spacing w:after="0"/>
              <w:rPr>
                <w:sz w:val="20"/>
                <w:szCs w:val="20"/>
                <w:color w:val="auto"/>
              </w:rPr>
            </w:pPr>
            <w:r>
              <w:rPr>
                <w:rFonts w:ascii="Arial" w:cs="Arial" w:eastAsia="Arial" w:hAnsi="Arial"/>
                <w:sz w:val="14"/>
                <w:szCs w:val="14"/>
                <w:color w:val="auto"/>
              </w:rPr>
              <w:t>239.8</w:t>
            </w:r>
          </w:p>
        </w:tc>
      </w:tr>
      <w:tr>
        <w:trPr>
          <w:trHeight w:val="59"/>
        </w:trPr>
        <w:tc>
          <w:tcPr>
            <w:tcW w:w="43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180"/>
        </w:trPr>
        <w:tc>
          <w:tcPr>
            <w:tcW w:w="4300" w:type="dxa"/>
            <w:vAlign w:val="bottom"/>
          </w:tcPr>
          <w:p>
            <w:pPr>
              <w:jc w:val="right"/>
              <w:ind w:right="428"/>
              <w:spacing w:after="0"/>
              <w:rPr>
                <w:sz w:val="20"/>
                <w:szCs w:val="20"/>
                <w:color w:val="auto"/>
              </w:rPr>
            </w:pPr>
            <w:r>
              <w:rPr>
                <w:rFonts w:ascii="Arial" w:cs="Arial" w:eastAsia="Arial" w:hAnsi="Arial"/>
                <w:sz w:val="14"/>
                <w:szCs w:val="14"/>
                <w:b w:val="1"/>
                <w:bCs w:val="1"/>
                <w:color w:val="auto"/>
              </w:rPr>
              <w:t>259.9</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336.1</w:t>
            </w:r>
          </w:p>
        </w:tc>
      </w:tr>
      <w:tr>
        <w:trPr>
          <w:trHeight w:val="43"/>
        </w:trPr>
        <w:tc>
          <w:tcPr>
            <w:tcW w:w="4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80"/>
        </w:trPr>
        <w:tc>
          <w:tcPr>
            <w:tcW w:w="4300" w:type="dxa"/>
            <w:vAlign w:val="bottom"/>
          </w:tcPr>
          <w:p>
            <w:pPr>
              <w:jc w:val="right"/>
              <w:ind w:right="428"/>
              <w:spacing w:after="0"/>
              <w:rPr>
                <w:sz w:val="20"/>
                <w:szCs w:val="20"/>
                <w:color w:val="auto"/>
              </w:rPr>
            </w:pPr>
            <w:r>
              <w:rPr>
                <w:rFonts w:ascii="Arial" w:cs="Arial" w:eastAsia="Arial" w:hAnsi="Arial"/>
                <w:sz w:val="14"/>
                <w:szCs w:val="14"/>
                <w:b w:val="1"/>
                <w:bCs w:val="1"/>
                <w:color w:val="auto"/>
              </w:rPr>
              <w:t>$1,023.7</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$455.5</w:t>
            </w:r>
          </w:p>
        </w:tc>
      </w:tr>
      <w:tr>
        <w:trPr>
          <w:trHeight w:val="43"/>
        </w:trPr>
        <w:tc>
          <w:tcPr>
            <w:tcW w:w="4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0"/>
        </w:trPr>
        <w:tc>
          <w:tcPr>
            <w:tcW w:w="4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-6900545</wp:posOffset>
            </wp:positionV>
            <wp:extent cx="6591935"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91935" cy="26543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154305</wp:posOffset>
            </wp:positionV>
            <wp:extent cx="65919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40" w:space="20"/>
            <w:col w:w="5720"/>
          </w:cols>
          <w:pgMar w:left="320" w:top="1440"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380"/>
          </w:cols>
          <w:pgMar w:left="320" w:top="1440" w:right="119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439420</wp:posOffset>
            </wp:positionH>
            <wp:positionV relativeFrom="page">
              <wp:posOffset>88900</wp:posOffset>
            </wp:positionV>
            <wp:extent cx="1028700" cy="540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4038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Operatons (unaudited)</w:t>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695198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5198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Revenues:</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Crypto services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Loyalty services, net</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Total revenues</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Operatng expenses:</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Crypto costs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Executon, clearing and brokerage fees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Compensaton and benefts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Professional services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Technology and communicaton</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Selling, general and administratve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Acquisiton-related expenses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Depreciaton and amortzaton</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Related party expenses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Restructuring expenses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 operatng expenses</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Total operatng expenses</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Operatng loss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Interest income, net</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Gain from change in fair value of warrant liability</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 (expense) income, net</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Loss before income taxes</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Income tax (expense) beneft</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loss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Net loss atributable to noncontrolling interest</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loss atributable to Bakkt Holdings, Inc.</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loss per share atributable to Class A common stockholders</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Basic</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69519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2180" w:type="dxa"/>
            <w:vAlign w:val="bottom"/>
          </w:tcPr>
          <w:p>
            <w:pPr>
              <w:jc w:val="right"/>
              <w:ind w:right="499"/>
              <w:spacing w:after="0"/>
              <w:rPr>
                <w:sz w:val="20"/>
                <w:szCs w:val="20"/>
                <w:color w:val="auto"/>
              </w:rPr>
            </w:pPr>
            <w:r>
              <w:rPr>
                <w:rFonts w:ascii="Arial" w:cs="Arial" w:eastAsia="Arial" w:hAnsi="Arial"/>
                <w:sz w:val="16"/>
                <w:szCs w:val="16"/>
                <w:b w:val="1"/>
                <w:bCs w:val="1"/>
                <w:color w:val="FFFFFF"/>
              </w:rPr>
              <w:t>2Q23</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FFFFFF"/>
              </w:rPr>
              <w:t>2Q22</w:t>
            </w:r>
          </w:p>
        </w:tc>
      </w:tr>
      <w:tr>
        <w:trPr>
          <w:trHeight w:val="511"/>
        </w:trPr>
        <w:tc>
          <w:tcPr>
            <w:tcW w:w="2180" w:type="dxa"/>
            <w:vAlign w:val="bottom"/>
          </w:tcPr>
          <w:p>
            <w:pPr>
              <w:jc w:val="right"/>
              <w:ind w:right="499"/>
              <w:spacing w:after="0"/>
              <w:rPr>
                <w:sz w:val="20"/>
                <w:szCs w:val="20"/>
                <w:color w:val="auto"/>
              </w:rPr>
            </w:pPr>
            <w:r>
              <w:rPr>
                <w:rFonts w:ascii="Arial" w:cs="Arial" w:eastAsia="Arial" w:hAnsi="Arial"/>
                <w:sz w:val="16"/>
                <w:szCs w:val="16"/>
                <w:color w:val="auto"/>
              </w:rPr>
              <w:t>$335.3</w:t>
            </w:r>
          </w:p>
        </w:tc>
        <w:tc>
          <w:tcPr>
            <w:tcW w:w="106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57"/>
        </w:trPr>
        <w:tc>
          <w:tcPr>
            <w:tcW w:w="2180" w:type="dxa"/>
            <w:vAlign w:val="bottom"/>
          </w:tcPr>
          <w:p>
            <w:pPr>
              <w:jc w:val="right"/>
              <w:ind w:right="499"/>
              <w:spacing w:after="0"/>
              <w:rPr>
                <w:sz w:val="20"/>
                <w:szCs w:val="20"/>
                <w:color w:val="auto"/>
              </w:rPr>
            </w:pPr>
            <w:r>
              <w:rPr>
                <w:rFonts w:ascii="Arial" w:cs="Arial" w:eastAsia="Arial" w:hAnsi="Arial"/>
                <w:sz w:val="16"/>
                <w:szCs w:val="16"/>
                <w:color w:val="auto"/>
              </w:rPr>
              <w:t>12.3</w:t>
            </w:r>
          </w:p>
        </w:tc>
        <w:tc>
          <w:tcPr>
            <w:tcW w:w="106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54"/>
        </w:trPr>
        <w:tc>
          <w:tcPr>
            <w:tcW w:w="2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197"/>
        </w:trPr>
        <w:tc>
          <w:tcPr>
            <w:tcW w:w="2180" w:type="dxa"/>
            <w:vAlign w:val="bottom"/>
          </w:tcPr>
          <w:p>
            <w:pPr>
              <w:jc w:val="right"/>
              <w:ind w:right="499"/>
              <w:spacing w:after="0"/>
              <w:rPr>
                <w:sz w:val="20"/>
                <w:szCs w:val="20"/>
                <w:color w:val="auto"/>
              </w:rPr>
            </w:pPr>
            <w:r>
              <w:rPr>
                <w:rFonts w:ascii="Arial" w:cs="Arial" w:eastAsia="Arial" w:hAnsi="Arial"/>
                <w:sz w:val="16"/>
                <w:szCs w:val="16"/>
                <w:color w:val="auto"/>
              </w:rPr>
              <w:t>347.6</w:t>
            </w:r>
          </w:p>
        </w:tc>
        <w:tc>
          <w:tcPr>
            <w:tcW w:w="106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782"/>
        </w:trPr>
        <w:tc>
          <w:tcPr>
            <w:tcW w:w="2180" w:type="dxa"/>
            <w:vAlign w:val="bottom"/>
          </w:tcPr>
          <w:p>
            <w:pPr>
              <w:jc w:val="right"/>
              <w:ind w:right="499"/>
              <w:spacing w:after="0"/>
              <w:rPr>
                <w:sz w:val="20"/>
                <w:szCs w:val="20"/>
                <w:color w:val="auto"/>
              </w:rPr>
            </w:pPr>
            <w:r>
              <w:rPr>
                <w:rFonts w:ascii="Arial" w:cs="Arial" w:eastAsia="Arial" w:hAnsi="Arial"/>
                <w:sz w:val="16"/>
                <w:szCs w:val="16"/>
                <w:color w:val="auto"/>
              </w:rPr>
              <w:t>331.8</w:t>
            </w:r>
          </w:p>
        </w:tc>
        <w:tc>
          <w:tcPr>
            <w:tcW w:w="106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56"/>
        </w:trPr>
        <w:tc>
          <w:tcPr>
            <w:tcW w:w="2180" w:type="dxa"/>
            <w:vAlign w:val="bottom"/>
          </w:tcPr>
          <w:p>
            <w:pPr>
              <w:jc w:val="right"/>
              <w:ind w:right="499"/>
              <w:spacing w:after="0"/>
              <w:rPr>
                <w:sz w:val="20"/>
                <w:szCs w:val="20"/>
                <w:color w:val="auto"/>
              </w:rPr>
            </w:pPr>
            <w:r>
              <w:rPr>
                <w:rFonts w:ascii="Arial" w:cs="Arial" w:eastAsia="Arial" w:hAnsi="Arial"/>
                <w:sz w:val="16"/>
                <w:szCs w:val="16"/>
                <w:color w:val="auto"/>
              </w:rPr>
              <w:t>2.2</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2180" w:type="dxa"/>
            <w:vAlign w:val="bottom"/>
          </w:tcPr>
          <w:p>
            <w:pPr>
              <w:jc w:val="right"/>
              <w:ind w:right="499"/>
              <w:spacing w:after="0"/>
              <w:rPr>
                <w:sz w:val="20"/>
                <w:szCs w:val="20"/>
                <w:color w:val="auto"/>
              </w:rPr>
            </w:pPr>
            <w:r>
              <w:rPr>
                <w:rFonts w:ascii="Arial" w:cs="Arial" w:eastAsia="Arial" w:hAnsi="Arial"/>
                <w:sz w:val="16"/>
                <w:szCs w:val="16"/>
                <w:color w:val="auto"/>
              </w:rPr>
              <w:t>27.1</w:t>
            </w:r>
          </w:p>
        </w:tc>
        <w:tc>
          <w:tcPr>
            <w:tcW w:w="1060" w:type="dxa"/>
            <w:vAlign w:val="bottom"/>
          </w:tcPr>
          <w:p>
            <w:pPr>
              <w:jc w:val="right"/>
              <w:spacing w:after="0"/>
              <w:rPr>
                <w:sz w:val="20"/>
                <w:szCs w:val="20"/>
                <w:color w:val="auto"/>
              </w:rPr>
            </w:pPr>
            <w:r>
              <w:rPr>
                <w:rFonts w:ascii="Arial" w:cs="Arial" w:eastAsia="Arial" w:hAnsi="Arial"/>
                <w:sz w:val="16"/>
                <w:szCs w:val="16"/>
                <w:color w:val="auto"/>
              </w:rPr>
              <w:t>34.2</w:t>
            </w:r>
          </w:p>
        </w:tc>
      </w:tr>
      <w:tr>
        <w:trPr>
          <w:trHeight w:val="257"/>
        </w:trPr>
        <w:tc>
          <w:tcPr>
            <w:tcW w:w="2180" w:type="dxa"/>
            <w:vAlign w:val="bottom"/>
          </w:tcPr>
          <w:p>
            <w:pPr>
              <w:jc w:val="right"/>
              <w:ind w:right="499"/>
              <w:spacing w:after="0"/>
              <w:rPr>
                <w:sz w:val="20"/>
                <w:szCs w:val="20"/>
                <w:color w:val="auto"/>
              </w:rPr>
            </w:pPr>
            <w:r>
              <w:rPr>
                <w:rFonts w:ascii="Arial" w:cs="Arial" w:eastAsia="Arial" w:hAnsi="Arial"/>
                <w:sz w:val="16"/>
                <w:szCs w:val="16"/>
                <w:color w:val="auto"/>
              </w:rPr>
              <w:t>2.9</w:t>
            </w:r>
          </w:p>
        </w:tc>
        <w:tc>
          <w:tcPr>
            <w:tcW w:w="10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57"/>
        </w:trPr>
        <w:tc>
          <w:tcPr>
            <w:tcW w:w="2180" w:type="dxa"/>
            <w:vAlign w:val="bottom"/>
          </w:tcPr>
          <w:p>
            <w:pPr>
              <w:jc w:val="right"/>
              <w:ind w:right="499"/>
              <w:spacing w:after="0"/>
              <w:rPr>
                <w:sz w:val="20"/>
                <w:szCs w:val="20"/>
                <w:color w:val="auto"/>
              </w:rPr>
            </w:pPr>
            <w:r>
              <w:rPr>
                <w:rFonts w:ascii="Arial" w:cs="Arial" w:eastAsia="Arial" w:hAnsi="Arial"/>
                <w:sz w:val="16"/>
                <w:szCs w:val="16"/>
                <w:color w:val="auto"/>
              </w:rPr>
              <w:t>4.4</w:t>
            </w:r>
          </w:p>
        </w:tc>
        <w:tc>
          <w:tcPr>
            <w:tcW w:w="10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57"/>
        </w:trPr>
        <w:tc>
          <w:tcPr>
            <w:tcW w:w="2180" w:type="dxa"/>
            <w:vAlign w:val="bottom"/>
          </w:tcPr>
          <w:p>
            <w:pPr>
              <w:jc w:val="right"/>
              <w:ind w:right="499"/>
              <w:spacing w:after="0"/>
              <w:rPr>
                <w:sz w:val="20"/>
                <w:szCs w:val="20"/>
                <w:color w:val="auto"/>
              </w:rPr>
            </w:pPr>
            <w:r>
              <w:rPr>
                <w:rFonts w:ascii="Arial" w:cs="Arial" w:eastAsia="Arial" w:hAnsi="Arial"/>
                <w:sz w:val="16"/>
                <w:szCs w:val="16"/>
                <w:color w:val="auto"/>
              </w:rPr>
              <w:t>7.6</w:t>
            </w:r>
          </w:p>
        </w:tc>
        <w:tc>
          <w:tcPr>
            <w:tcW w:w="106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56"/>
        </w:trPr>
        <w:tc>
          <w:tcPr>
            <w:tcW w:w="2180" w:type="dxa"/>
            <w:vAlign w:val="bottom"/>
          </w:tcPr>
          <w:p>
            <w:pPr>
              <w:jc w:val="right"/>
              <w:ind w:right="499"/>
              <w:spacing w:after="0"/>
              <w:rPr>
                <w:sz w:val="20"/>
                <w:szCs w:val="20"/>
                <w:color w:val="auto"/>
              </w:rPr>
            </w:pPr>
            <w:r>
              <w:rPr>
                <w:rFonts w:ascii="Arial" w:cs="Arial" w:eastAsia="Arial" w:hAnsi="Arial"/>
                <w:sz w:val="16"/>
                <w:szCs w:val="16"/>
                <w:color w:val="auto"/>
              </w:rPr>
              <w:t>17.0</w:t>
            </w:r>
          </w:p>
        </w:tc>
        <w:tc>
          <w:tcPr>
            <w:tcW w:w="106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57"/>
        </w:trPr>
        <w:tc>
          <w:tcPr>
            <w:tcW w:w="2180" w:type="dxa"/>
            <w:vAlign w:val="bottom"/>
          </w:tcPr>
          <w:p>
            <w:pPr>
              <w:jc w:val="right"/>
              <w:ind w:right="499"/>
              <w:spacing w:after="0"/>
              <w:rPr>
                <w:sz w:val="20"/>
                <w:szCs w:val="20"/>
                <w:color w:val="auto"/>
              </w:rPr>
            </w:pPr>
            <w:r>
              <w:rPr>
                <w:rFonts w:ascii="Arial" w:cs="Arial" w:eastAsia="Arial" w:hAnsi="Arial"/>
                <w:sz w:val="16"/>
                <w:szCs w:val="16"/>
                <w:color w:val="auto"/>
              </w:rPr>
              <w:t>3.8</w:t>
            </w:r>
          </w:p>
        </w:tc>
        <w:tc>
          <w:tcPr>
            <w:tcW w:w="106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57"/>
        </w:trPr>
        <w:tc>
          <w:tcPr>
            <w:tcW w:w="2180" w:type="dxa"/>
            <w:vAlign w:val="bottom"/>
          </w:tcPr>
          <w:p>
            <w:pPr>
              <w:jc w:val="right"/>
              <w:ind w:right="499"/>
              <w:spacing w:after="0"/>
              <w:rPr>
                <w:sz w:val="20"/>
                <w:szCs w:val="20"/>
                <w:color w:val="auto"/>
              </w:rPr>
            </w:pPr>
            <w:r>
              <w:rPr>
                <w:rFonts w:ascii="Arial" w:cs="Arial" w:eastAsia="Arial" w:hAnsi="Arial"/>
                <w:sz w:val="16"/>
                <w:szCs w:val="16"/>
                <w:color w:val="auto"/>
              </w:rPr>
              <w:t>1.5</w:t>
            </w:r>
          </w:p>
        </w:tc>
        <w:tc>
          <w:tcPr>
            <w:tcW w:w="106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57"/>
        </w:trPr>
        <w:tc>
          <w:tcPr>
            <w:tcW w:w="2180" w:type="dxa"/>
            <w:vAlign w:val="bottom"/>
          </w:tcPr>
          <w:p>
            <w:pPr>
              <w:jc w:val="right"/>
              <w:ind w:right="499"/>
              <w:spacing w:after="0"/>
              <w:rPr>
                <w:sz w:val="20"/>
                <w:szCs w:val="20"/>
                <w:color w:val="auto"/>
              </w:rPr>
            </w:pPr>
            <w:r>
              <w:rPr>
                <w:rFonts w:ascii="Arial" w:cs="Arial" w:eastAsia="Arial" w:hAnsi="Arial"/>
                <w:sz w:val="16"/>
                <w:szCs w:val="16"/>
                <w:color w:val="auto"/>
              </w:rPr>
              <w:t>0.2</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2180" w:type="dxa"/>
            <w:vAlign w:val="bottom"/>
          </w:tcPr>
          <w:p>
            <w:pPr>
              <w:jc w:val="right"/>
              <w:ind w:right="499"/>
              <w:spacing w:after="0"/>
              <w:rPr>
                <w:sz w:val="20"/>
                <w:szCs w:val="20"/>
                <w:color w:val="auto"/>
              </w:rPr>
            </w:pPr>
            <w:r>
              <w:rPr>
                <w:rFonts w:ascii="Arial" w:cs="Arial" w:eastAsia="Arial" w:hAnsi="Arial"/>
                <w:sz w:val="16"/>
                <w:szCs w:val="16"/>
                <w:color w:val="auto"/>
              </w:rPr>
              <w:t>0.2</w:t>
            </w:r>
          </w:p>
        </w:tc>
        <w:tc>
          <w:tcPr>
            <w:tcW w:w="106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55"/>
        </w:trPr>
        <w:tc>
          <w:tcPr>
            <w:tcW w:w="2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197"/>
        </w:trPr>
        <w:tc>
          <w:tcPr>
            <w:tcW w:w="2180" w:type="dxa"/>
            <w:vAlign w:val="bottom"/>
          </w:tcPr>
          <w:p>
            <w:pPr>
              <w:jc w:val="right"/>
              <w:ind w:right="499"/>
              <w:spacing w:after="0"/>
              <w:rPr>
                <w:sz w:val="20"/>
                <w:szCs w:val="20"/>
                <w:color w:val="auto"/>
              </w:rPr>
            </w:pPr>
            <w:r>
              <w:rPr>
                <w:rFonts w:ascii="Arial" w:cs="Arial" w:eastAsia="Arial" w:hAnsi="Arial"/>
                <w:sz w:val="16"/>
                <w:szCs w:val="16"/>
                <w:color w:val="auto"/>
              </w:rPr>
              <w:t>398.7</w:t>
            </w:r>
          </w:p>
        </w:tc>
        <w:tc>
          <w:tcPr>
            <w:tcW w:w="1060" w:type="dxa"/>
            <w:vAlign w:val="bottom"/>
          </w:tcPr>
          <w:p>
            <w:pPr>
              <w:jc w:val="right"/>
              <w:spacing w:after="0"/>
              <w:rPr>
                <w:sz w:val="20"/>
                <w:szCs w:val="20"/>
                <w:color w:val="auto"/>
              </w:rPr>
            </w:pPr>
            <w:r>
              <w:rPr>
                <w:rFonts w:ascii="Arial" w:cs="Arial" w:eastAsia="Arial" w:hAnsi="Arial"/>
                <w:sz w:val="16"/>
                <w:szCs w:val="16"/>
                <w:color w:val="auto"/>
              </w:rPr>
              <w:t>57.6</w:t>
            </w:r>
          </w:p>
        </w:tc>
      </w:tr>
      <w:tr>
        <w:trPr>
          <w:trHeight w:val="53"/>
        </w:trPr>
        <w:tc>
          <w:tcPr>
            <w:tcW w:w="2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50"/>
        </w:trPr>
        <w:tc>
          <w:tcPr>
            <w:tcW w:w="2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r>
      <w:tr>
        <w:trPr>
          <w:trHeight w:val="199"/>
        </w:trPr>
        <w:tc>
          <w:tcPr>
            <w:tcW w:w="2180" w:type="dxa"/>
            <w:vAlign w:val="bottom"/>
          </w:tcPr>
          <w:p>
            <w:pPr>
              <w:jc w:val="right"/>
              <w:ind w:right="499"/>
              <w:spacing w:after="0"/>
              <w:rPr>
                <w:sz w:val="20"/>
                <w:szCs w:val="20"/>
                <w:color w:val="auto"/>
              </w:rPr>
            </w:pPr>
            <w:r>
              <w:rPr>
                <w:rFonts w:ascii="Arial" w:cs="Arial" w:eastAsia="Arial" w:hAnsi="Arial"/>
                <w:sz w:val="16"/>
                <w:szCs w:val="16"/>
                <w:b w:val="1"/>
                <w:bCs w:val="1"/>
                <w:color w:val="auto"/>
              </w:rPr>
              <w:t>(51.1)</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(43.6)</w:t>
            </w:r>
          </w:p>
        </w:tc>
      </w:tr>
      <w:tr>
        <w:trPr>
          <w:trHeight w:val="51"/>
        </w:trPr>
        <w:tc>
          <w:tcPr>
            <w:tcW w:w="2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197"/>
        </w:trPr>
        <w:tc>
          <w:tcPr>
            <w:tcW w:w="2180" w:type="dxa"/>
            <w:vAlign w:val="bottom"/>
          </w:tcPr>
          <w:p>
            <w:pPr>
              <w:jc w:val="right"/>
              <w:ind w:right="499"/>
              <w:spacing w:after="0"/>
              <w:rPr>
                <w:sz w:val="20"/>
                <w:szCs w:val="20"/>
                <w:color w:val="auto"/>
              </w:rPr>
            </w:pPr>
            <w:r>
              <w:rPr>
                <w:rFonts w:ascii="Arial" w:cs="Arial" w:eastAsia="Arial" w:hAnsi="Arial"/>
                <w:sz w:val="16"/>
                <w:szCs w:val="16"/>
                <w:color w:val="auto"/>
              </w:rPr>
              <w:t>0.7</w:t>
            </w:r>
          </w:p>
        </w:tc>
        <w:tc>
          <w:tcPr>
            <w:tcW w:w="106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55"/>
        </w:trPr>
        <w:tc>
          <w:tcPr>
            <w:tcW w:w="2180" w:type="dxa"/>
            <w:vAlign w:val="bottom"/>
          </w:tcPr>
          <w:p>
            <w:pPr>
              <w:jc w:val="right"/>
              <w:ind w:right="499"/>
              <w:spacing w:after="0"/>
              <w:rPr>
                <w:sz w:val="20"/>
                <w:szCs w:val="20"/>
                <w:color w:val="auto"/>
              </w:rPr>
            </w:pPr>
            <w:r>
              <w:rPr>
                <w:rFonts w:ascii="Arial" w:cs="Arial" w:eastAsia="Arial" w:hAnsi="Arial"/>
                <w:sz w:val="16"/>
                <w:szCs w:val="16"/>
                <w:color w:val="auto"/>
              </w:rPr>
              <w:t>0.4</w:t>
            </w:r>
          </w:p>
        </w:tc>
        <w:tc>
          <w:tcPr>
            <w:tcW w:w="106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57"/>
        </w:trPr>
        <w:tc>
          <w:tcPr>
            <w:tcW w:w="2180" w:type="dxa"/>
            <w:vAlign w:val="bottom"/>
          </w:tcPr>
          <w:p>
            <w:pPr>
              <w:jc w:val="right"/>
              <w:ind w:right="499"/>
              <w:spacing w:after="0"/>
              <w:rPr>
                <w:sz w:val="20"/>
                <w:szCs w:val="20"/>
                <w:color w:val="auto"/>
              </w:rPr>
            </w:pPr>
            <w:r>
              <w:rPr>
                <w:rFonts w:ascii="Arial" w:cs="Arial" w:eastAsia="Arial" w:hAnsi="Arial"/>
                <w:sz w:val="16"/>
                <w:szCs w:val="16"/>
                <w:color w:val="auto"/>
              </w:rPr>
              <w:t>(0.3)</w:t>
            </w:r>
          </w:p>
        </w:tc>
        <w:tc>
          <w:tcPr>
            <w:tcW w:w="106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55"/>
        </w:trPr>
        <w:tc>
          <w:tcPr>
            <w:tcW w:w="2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50"/>
        </w:trPr>
        <w:tc>
          <w:tcPr>
            <w:tcW w:w="2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r>
      <w:tr>
        <w:trPr>
          <w:trHeight w:val="199"/>
        </w:trPr>
        <w:tc>
          <w:tcPr>
            <w:tcW w:w="2180" w:type="dxa"/>
            <w:vAlign w:val="bottom"/>
          </w:tcPr>
          <w:p>
            <w:pPr>
              <w:jc w:val="right"/>
              <w:ind w:right="499"/>
              <w:spacing w:after="0"/>
              <w:rPr>
                <w:sz w:val="20"/>
                <w:szCs w:val="20"/>
                <w:color w:val="auto"/>
              </w:rPr>
            </w:pPr>
            <w:r>
              <w:rPr>
                <w:rFonts w:ascii="Arial" w:cs="Arial" w:eastAsia="Arial" w:hAnsi="Arial"/>
                <w:sz w:val="16"/>
                <w:szCs w:val="16"/>
                <w:b w:val="1"/>
                <w:bCs w:val="1"/>
                <w:color w:val="auto"/>
              </w:rPr>
              <w:t>(50.4)</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(32.7)</w:t>
            </w:r>
          </w:p>
        </w:tc>
      </w:tr>
      <w:tr>
        <w:trPr>
          <w:trHeight w:val="253"/>
        </w:trPr>
        <w:tc>
          <w:tcPr>
            <w:tcW w:w="2180" w:type="dxa"/>
            <w:vAlign w:val="bottom"/>
          </w:tcPr>
          <w:p>
            <w:pPr>
              <w:jc w:val="right"/>
              <w:ind w:right="499"/>
              <w:spacing w:after="0"/>
              <w:rPr>
                <w:sz w:val="20"/>
                <w:szCs w:val="20"/>
                <w:color w:val="auto"/>
              </w:rPr>
            </w:pPr>
            <w:r>
              <w:rPr>
                <w:rFonts w:ascii="Arial" w:cs="Arial" w:eastAsia="Arial" w:hAnsi="Arial"/>
                <w:sz w:val="16"/>
                <w:szCs w:val="16"/>
                <w:color w:val="auto"/>
              </w:rPr>
              <w:t>(0.2)</w:t>
            </w:r>
          </w:p>
        </w:tc>
        <w:tc>
          <w:tcPr>
            <w:tcW w:w="10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54"/>
        </w:trPr>
        <w:tc>
          <w:tcPr>
            <w:tcW w:w="2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50"/>
        </w:trPr>
        <w:tc>
          <w:tcPr>
            <w:tcW w:w="2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r>
      <w:tr>
        <w:trPr>
          <w:trHeight w:val="199"/>
        </w:trPr>
        <w:tc>
          <w:tcPr>
            <w:tcW w:w="2180" w:type="dxa"/>
            <w:vAlign w:val="bottom"/>
          </w:tcPr>
          <w:p>
            <w:pPr>
              <w:jc w:val="right"/>
              <w:ind w:right="499"/>
              <w:spacing w:after="0"/>
              <w:rPr>
                <w:sz w:val="20"/>
                <w:szCs w:val="20"/>
                <w:color w:val="auto"/>
              </w:rPr>
            </w:pPr>
            <w:r>
              <w:rPr>
                <w:rFonts w:ascii="Arial" w:cs="Arial" w:eastAsia="Arial" w:hAnsi="Arial"/>
                <w:sz w:val="16"/>
                <w:szCs w:val="16"/>
                <w:b w:val="1"/>
                <w:bCs w:val="1"/>
                <w:color w:val="auto"/>
              </w:rPr>
              <w:t>(50.5)</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(27.6)</w:t>
            </w:r>
          </w:p>
        </w:tc>
      </w:tr>
      <w:tr>
        <w:trPr>
          <w:trHeight w:val="253"/>
        </w:trPr>
        <w:tc>
          <w:tcPr>
            <w:tcW w:w="2180" w:type="dxa"/>
            <w:vAlign w:val="bottom"/>
          </w:tcPr>
          <w:p>
            <w:pPr>
              <w:jc w:val="right"/>
              <w:ind w:right="499"/>
              <w:spacing w:after="0"/>
              <w:rPr>
                <w:sz w:val="20"/>
                <w:szCs w:val="20"/>
                <w:color w:val="auto"/>
              </w:rPr>
            </w:pPr>
            <w:r>
              <w:rPr>
                <w:rFonts w:ascii="Arial" w:cs="Arial" w:eastAsia="Arial" w:hAnsi="Arial"/>
                <w:sz w:val="16"/>
                <w:szCs w:val="16"/>
                <w:color w:val="auto"/>
              </w:rPr>
              <w:t>(33.7)</w:t>
            </w:r>
          </w:p>
        </w:tc>
        <w:tc>
          <w:tcPr>
            <w:tcW w:w="106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55"/>
        </w:trPr>
        <w:tc>
          <w:tcPr>
            <w:tcW w:w="2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199"/>
        </w:trPr>
        <w:tc>
          <w:tcPr>
            <w:tcW w:w="2180" w:type="dxa"/>
            <w:vAlign w:val="bottom"/>
          </w:tcPr>
          <w:p>
            <w:pPr>
              <w:jc w:val="right"/>
              <w:ind w:right="499"/>
              <w:spacing w:after="0"/>
              <w:rPr>
                <w:sz w:val="20"/>
                <w:szCs w:val="20"/>
                <w:color w:val="auto"/>
              </w:rPr>
            </w:pPr>
            <w:r>
              <w:rPr>
                <w:rFonts w:ascii="Arial" w:cs="Arial" w:eastAsia="Arial" w:hAnsi="Arial"/>
                <w:sz w:val="16"/>
                <w:szCs w:val="16"/>
                <w:b w:val="1"/>
                <w:bCs w:val="1"/>
                <w:color w:val="auto"/>
              </w:rPr>
              <w:t>$(16.8)</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$(3.9)</w:t>
            </w:r>
          </w:p>
        </w:tc>
      </w:tr>
      <w:tr>
        <w:trPr>
          <w:trHeight w:val="51"/>
        </w:trPr>
        <w:tc>
          <w:tcPr>
            <w:tcW w:w="2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95"/>
        </w:trPr>
        <w:tc>
          <w:tcPr>
            <w:tcW w:w="2180" w:type="dxa"/>
            <w:vAlign w:val="bottom"/>
          </w:tcPr>
          <w:p>
            <w:pPr>
              <w:jc w:val="right"/>
              <w:ind w:right="499"/>
              <w:spacing w:after="0"/>
              <w:rPr>
                <w:sz w:val="20"/>
                <w:szCs w:val="20"/>
                <w:color w:val="auto"/>
              </w:rPr>
            </w:pPr>
            <w:r>
              <w:rPr>
                <w:rFonts w:ascii="Arial" w:cs="Arial" w:eastAsia="Arial" w:hAnsi="Arial"/>
                <w:sz w:val="16"/>
                <w:szCs w:val="16"/>
                <w:color w:val="auto"/>
              </w:rPr>
              <w:t>$(0.19)</w:t>
            </w:r>
          </w:p>
        </w:tc>
        <w:tc>
          <w:tcPr>
            <w:tcW w:w="1060" w:type="dxa"/>
            <w:vAlign w:val="bottom"/>
          </w:tcPr>
          <w:p>
            <w:pPr>
              <w:jc w:val="right"/>
              <w:spacing w:after="0"/>
              <w:rPr>
                <w:sz w:val="20"/>
                <w:szCs w:val="20"/>
                <w:color w:val="auto"/>
              </w:rPr>
            </w:pPr>
            <w:r>
              <w:rPr>
                <w:rFonts w:ascii="Arial" w:cs="Arial" w:eastAsia="Arial" w:hAnsi="Arial"/>
                <w:sz w:val="16"/>
                <w:szCs w:val="16"/>
                <w:color w:val="auto"/>
              </w:rPr>
              <w:t>$(0.05)</w:t>
            </w:r>
          </w:p>
        </w:tc>
      </w:tr>
      <w:tr>
        <w:trPr>
          <w:trHeight w:val="257"/>
        </w:trPr>
        <w:tc>
          <w:tcPr>
            <w:tcW w:w="2180" w:type="dxa"/>
            <w:vAlign w:val="bottom"/>
          </w:tcPr>
          <w:p>
            <w:pPr>
              <w:jc w:val="right"/>
              <w:ind w:right="499"/>
              <w:spacing w:after="0"/>
              <w:rPr>
                <w:sz w:val="20"/>
                <w:szCs w:val="20"/>
                <w:color w:val="auto"/>
              </w:rPr>
            </w:pPr>
            <w:r>
              <w:rPr>
                <w:rFonts w:ascii="Arial" w:cs="Arial" w:eastAsia="Arial" w:hAnsi="Arial"/>
                <w:sz w:val="16"/>
                <w:szCs w:val="16"/>
                <w:color w:val="auto"/>
              </w:rPr>
              <w:t>$(0.19)</w:t>
            </w:r>
          </w:p>
        </w:tc>
        <w:tc>
          <w:tcPr>
            <w:tcW w:w="1060" w:type="dxa"/>
            <w:vAlign w:val="bottom"/>
          </w:tcPr>
          <w:p>
            <w:pPr>
              <w:jc w:val="right"/>
              <w:spacing w:after="0"/>
              <w:rPr>
                <w:sz w:val="20"/>
                <w:szCs w:val="20"/>
                <w:color w:val="auto"/>
              </w:rPr>
            </w:pPr>
            <w:r>
              <w:rPr>
                <w:rFonts w:ascii="Arial" w:cs="Arial" w:eastAsia="Arial" w:hAnsi="Arial"/>
                <w:sz w:val="16"/>
                <w:szCs w:val="16"/>
                <w:color w:val="auto"/>
              </w:rPr>
              <w:t>$(0.05)</w:t>
            </w:r>
          </w:p>
        </w:tc>
      </w:tr>
    </w:tbl>
    <w:p>
      <w:pPr>
        <w:spacing w:after="0" w:line="207" w:lineRule="exact"/>
        <w:rPr>
          <w:sz w:val="20"/>
          <w:szCs w:val="20"/>
          <w:color w:val="auto"/>
        </w:rPr>
      </w:pPr>
    </w:p>
    <w:p>
      <w:pPr>
        <w:sectPr>
          <w:pgSz w:w="11900" w:h="16838" w:orient="portrait"/>
          <w:cols w:equalWidth="0" w:num="2">
            <w:col w:w="7000" w:space="720"/>
            <w:col w:w="3240"/>
          </w:cols>
          <w:pgMar w:left="320" w:top="1440"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960"/>
          </w:cols>
          <w:pgMar w:left="320" w:top="1440" w:right="61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439420</wp:posOffset>
            </wp:positionH>
            <wp:positionV relativeFrom="page">
              <wp:posOffset>88900</wp:posOffset>
            </wp:positionV>
            <wp:extent cx="1028700" cy="540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4038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Cash Flows (unaudited)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520" w:type="dxa"/>
            <w:vAlign w:val="bottom"/>
            <w:tcBorders>
              <w:bottom w:val="single" w:sz="8" w:color="auto"/>
            </w:tcBorders>
            <w:shd w:val="clear" w:color="auto" w:fill="000000"/>
          </w:tcPr>
          <w:p>
            <w:pPr>
              <w:ind w:left="40"/>
              <w:spacing w:after="0"/>
              <w:rPr>
                <w:sz w:val="20"/>
                <w:szCs w:val="20"/>
                <w:color w:val="auto"/>
              </w:rPr>
            </w:pPr>
            <w:r>
              <w:rPr>
                <w:rFonts w:ascii="Arial" w:cs="Arial" w:eastAsia="Arial" w:hAnsi="Arial"/>
                <w:sz w:val="14"/>
                <w:szCs w:val="14"/>
                <w:color w:val="FFFFFF"/>
              </w:rPr>
              <w:t>$ in millions</w:t>
            </w:r>
          </w:p>
        </w:tc>
        <w:tc>
          <w:tcPr>
            <w:tcW w:w="1600" w:type="dxa"/>
            <w:vAlign w:val="bottom"/>
            <w:tcBorders>
              <w:bottom w:val="single" w:sz="8" w:color="auto"/>
            </w:tcBorders>
            <w:shd w:val="clear" w:color="auto" w:fill="000000"/>
          </w:tcPr>
          <w:p>
            <w:pPr>
              <w:jc w:val="right"/>
              <w:spacing w:after="0"/>
              <w:rPr>
                <w:sz w:val="20"/>
                <w:szCs w:val="20"/>
                <w:color w:val="auto"/>
              </w:rPr>
            </w:pPr>
            <w:r>
              <w:rPr>
                <w:rFonts w:ascii="Arial" w:cs="Arial" w:eastAsia="Arial" w:hAnsi="Arial"/>
                <w:sz w:val="14"/>
                <w:szCs w:val="14"/>
                <w:color w:val="FFFFFF"/>
              </w:rPr>
              <w:t>2Q23</w:t>
            </w:r>
          </w:p>
        </w:tc>
        <w:tc>
          <w:tcPr>
            <w:tcW w:w="1760" w:type="dxa"/>
            <w:vAlign w:val="bottom"/>
            <w:tcBorders>
              <w:bottom w:val="single" w:sz="8" w:color="auto"/>
            </w:tcBorders>
            <w:shd w:val="clear" w:color="auto" w:fill="000000"/>
          </w:tcPr>
          <w:p>
            <w:pPr>
              <w:jc w:val="right"/>
              <w:spacing w:after="0"/>
              <w:rPr>
                <w:sz w:val="20"/>
                <w:szCs w:val="20"/>
                <w:color w:val="auto"/>
              </w:rPr>
            </w:pPr>
            <w:r>
              <w:rPr>
                <w:rFonts w:ascii="Arial" w:cs="Arial" w:eastAsia="Arial" w:hAnsi="Arial"/>
                <w:sz w:val="14"/>
                <w:szCs w:val="14"/>
                <w:color w:val="FFFFFF"/>
              </w:rPr>
              <w:t>2Q22</w:t>
            </w:r>
          </w:p>
        </w:tc>
      </w:tr>
      <w:tr>
        <w:trPr>
          <w:trHeight w:val="187"/>
        </w:trPr>
        <w:tc>
          <w:tcPr>
            <w:tcW w:w="7520" w:type="dxa"/>
            <w:vAlign w:val="bottom"/>
          </w:tcPr>
          <w:p>
            <w:pPr>
              <w:ind w:left="40"/>
              <w:spacing w:after="0"/>
              <w:rPr>
                <w:sz w:val="20"/>
                <w:szCs w:val="20"/>
                <w:color w:val="auto"/>
              </w:rPr>
            </w:pPr>
            <w:r>
              <w:rPr>
                <w:rFonts w:ascii="Arial" w:cs="Arial" w:eastAsia="Arial" w:hAnsi="Arial"/>
                <w:sz w:val="14"/>
                <w:szCs w:val="14"/>
                <w:b w:val="1"/>
                <w:bCs w:val="1"/>
                <w:color w:val="auto"/>
              </w:rPr>
              <w:t>Cash fows from operatng actvites:</w:t>
            </w:r>
          </w:p>
        </w:tc>
        <w:tc>
          <w:tcPr>
            <w:tcW w:w="16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41"/>
        </w:trPr>
        <w:tc>
          <w:tcPr>
            <w:tcW w:w="7520" w:type="dxa"/>
            <w:vAlign w:val="bottom"/>
          </w:tcPr>
          <w:p>
            <w:pPr>
              <w:ind w:left="40"/>
              <w:spacing w:after="0"/>
              <w:rPr>
                <w:sz w:val="20"/>
                <w:szCs w:val="20"/>
                <w:color w:val="auto"/>
              </w:rPr>
            </w:pPr>
            <w:r>
              <w:rPr>
                <w:rFonts w:ascii="Arial" w:cs="Arial" w:eastAsia="Arial" w:hAnsi="Arial"/>
                <w:sz w:val="14"/>
                <w:szCs w:val="14"/>
                <w:color w:val="auto"/>
              </w:rPr>
              <w:t>Net loss</w:t>
            </w:r>
          </w:p>
        </w:tc>
        <w:tc>
          <w:tcPr>
            <w:tcW w:w="1600" w:type="dxa"/>
            <w:vAlign w:val="bottom"/>
          </w:tcPr>
          <w:p>
            <w:pPr>
              <w:jc w:val="right"/>
              <w:spacing w:after="0"/>
              <w:rPr>
                <w:sz w:val="20"/>
                <w:szCs w:val="20"/>
                <w:color w:val="auto"/>
              </w:rPr>
            </w:pPr>
            <w:r>
              <w:rPr>
                <w:rFonts w:ascii="Arial" w:cs="Arial" w:eastAsia="Arial" w:hAnsi="Arial"/>
                <w:sz w:val="14"/>
                <w:szCs w:val="14"/>
                <w:color w:val="auto"/>
              </w:rPr>
              <w:t>$(50.5)</w:t>
            </w:r>
          </w:p>
        </w:tc>
        <w:tc>
          <w:tcPr>
            <w:tcW w:w="1760" w:type="dxa"/>
            <w:vAlign w:val="bottom"/>
          </w:tcPr>
          <w:p>
            <w:pPr>
              <w:jc w:val="right"/>
              <w:spacing w:after="0"/>
              <w:rPr>
                <w:sz w:val="20"/>
                <w:szCs w:val="20"/>
                <w:color w:val="auto"/>
              </w:rPr>
            </w:pPr>
            <w:r>
              <w:rPr>
                <w:rFonts w:ascii="Arial" w:cs="Arial" w:eastAsia="Arial" w:hAnsi="Arial"/>
                <w:sz w:val="14"/>
                <w:szCs w:val="14"/>
                <w:color w:val="auto"/>
              </w:rPr>
              <w:t>$(27.6)</w:t>
            </w:r>
          </w:p>
        </w:tc>
      </w:tr>
      <w:tr>
        <w:trPr>
          <w:trHeight w:val="243"/>
        </w:trPr>
        <w:tc>
          <w:tcPr>
            <w:tcW w:w="7520" w:type="dxa"/>
            <w:vAlign w:val="bottom"/>
          </w:tcPr>
          <w:p>
            <w:pPr>
              <w:ind w:left="540"/>
              <w:spacing w:after="0"/>
              <w:rPr>
                <w:sz w:val="20"/>
                <w:szCs w:val="20"/>
                <w:color w:val="auto"/>
              </w:rPr>
            </w:pPr>
            <w:r>
              <w:rPr>
                <w:rFonts w:ascii="Arial" w:cs="Arial" w:eastAsia="Arial" w:hAnsi="Arial"/>
                <w:sz w:val="14"/>
                <w:szCs w:val="14"/>
                <w:color w:val="auto"/>
              </w:rPr>
              <w:t>Adjustments to reconcile net loss to net cash used in operatng actvites:</w:t>
            </w:r>
          </w:p>
        </w:tc>
        <w:tc>
          <w:tcPr>
            <w:tcW w:w="160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43"/>
        </w:trPr>
        <w:tc>
          <w:tcPr>
            <w:tcW w:w="7520" w:type="dxa"/>
            <w:vAlign w:val="bottom"/>
          </w:tcPr>
          <w:p>
            <w:pPr>
              <w:ind w:left="540"/>
              <w:spacing w:after="0"/>
              <w:rPr>
                <w:sz w:val="20"/>
                <w:szCs w:val="20"/>
                <w:color w:val="auto"/>
              </w:rPr>
            </w:pPr>
            <w:r>
              <w:rPr>
                <w:rFonts w:ascii="Arial" w:cs="Arial" w:eastAsia="Arial" w:hAnsi="Arial"/>
                <w:sz w:val="14"/>
                <w:szCs w:val="14"/>
                <w:color w:val="auto"/>
              </w:rPr>
              <w:t>Depreciaton and amortzaton</w:t>
            </w:r>
          </w:p>
        </w:tc>
        <w:tc>
          <w:tcPr>
            <w:tcW w:w="1600" w:type="dxa"/>
            <w:vAlign w:val="bottom"/>
          </w:tcPr>
          <w:p>
            <w:pPr>
              <w:jc w:val="right"/>
              <w:spacing w:after="0"/>
              <w:rPr>
                <w:sz w:val="20"/>
                <w:szCs w:val="20"/>
                <w:color w:val="auto"/>
              </w:rPr>
            </w:pPr>
            <w:r>
              <w:rPr>
                <w:rFonts w:ascii="Arial" w:cs="Arial" w:eastAsia="Arial" w:hAnsi="Arial"/>
                <w:sz w:val="14"/>
                <w:szCs w:val="14"/>
                <w:color w:val="auto"/>
              </w:rPr>
              <w:t>3.8</w:t>
            </w:r>
          </w:p>
        </w:tc>
        <w:tc>
          <w:tcPr>
            <w:tcW w:w="176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229"/>
        </w:trPr>
        <w:tc>
          <w:tcPr>
            <w:tcW w:w="7520" w:type="dxa"/>
            <w:vAlign w:val="bottom"/>
          </w:tcPr>
          <w:p>
            <w:pPr>
              <w:ind w:left="540"/>
              <w:spacing w:after="0"/>
              <w:rPr>
                <w:sz w:val="20"/>
                <w:szCs w:val="20"/>
                <w:color w:val="auto"/>
              </w:rPr>
            </w:pPr>
            <w:r>
              <w:rPr>
                <w:rFonts w:ascii="Arial" w:cs="Arial" w:eastAsia="Arial" w:hAnsi="Arial"/>
                <w:sz w:val="14"/>
                <w:szCs w:val="14"/>
                <w:color w:val="auto"/>
              </w:rPr>
              <w:t>Non-cash lease expense</w:t>
            </w:r>
          </w:p>
        </w:tc>
        <w:tc>
          <w:tcPr>
            <w:tcW w:w="1600" w:type="dxa"/>
            <w:vAlign w:val="bottom"/>
          </w:tcPr>
          <w:p>
            <w:pPr>
              <w:jc w:val="right"/>
              <w:spacing w:after="0"/>
              <w:rPr>
                <w:sz w:val="20"/>
                <w:szCs w:val="20"/>
                <w:color w:val="auto"/>
              </w:rPr>
            </w:pPr>
            <w:r>
              <w:rPr>
                <w:rFonts w:ascii="Arial" w:cs="Arial" w:eastAsia="Arial" w:hAnsi="Arial"/>
                <w:sz w:val="14"/>
                <w:szCs w:val="14"/>
                <w:color w:val="auto"/>
              </w:rPr>
              <w:t>0.7</w:t>
            </w:r>
          </w:p>
        </w:tc>
        <w:tc>
          <w:tcPr>
            <w:tcW w:w="176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30"/>
        </w:trPr>
        <w:tc>
          <w:tcPr>
            <w:tcW w:w="7520" w:type="dxa"/>
            <w:vAlign w:val="bottom"/>
          </w:tcPr>
          <w:p>
            <w:pPr>
              <w:ind w:left="540"/>
              <w:spacing w:after="0"/>
              <w:rPr>
                <w:sz w:val="20"/>
                <w:szCs w:val="20"/>
                <w:color w:val="auto"/>
              </w:rPr>
            </w:pPr>
            <w:r>
              <w:rPr>
                <w:rFonts w:ascii="Arial" w:cs="Arial" w:eastAsia="Arial" w:hAnsi="Arial"/>
                <w:sz w:val="14"/>
                <w:szCs w:val="14"/>
                <w:color w:val="auto"/>
              </w:rPr>
              <w:t>Share-based compensaton expense</w:t>
            </w:r>
          </w:p>
        </w:tc>
        <w:tc>
          <w:tcPr>
            <w:tcW w:w="1600" w:type="dxa"/>
            <w:vAlign w:val="bottom"/>
          </w:tcPr>
          <w:p>
            <w:pPr>
              <w:jc w:val="right"/>
              <w:spacing w:after="0"/>
              <w:rPr>
                <w:sz w:val="20"/>
                <w:szCs w:val="20"/>
                <w:color w:val="auto"/>
              </w:rPr>
            </w:pPr>
            <w:r>
              <w:rPr>
                <w:rFonts w:ascii="Arial" w:cs="Arial" w:eastAsia="Arial" w:hAnsi="Arial"/>
                <w:sz w:val="14"/>
                <w:szCs w:val="14"/>
                <w:color w:val="auto"/>
              </w:rPr>
              <w:t>4.1</w:t>
            </w:r>
          </w:p>
        </w:tc>
        <w:tc>
          <w:tcPr>
            <w:tcW w:w="17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43"/>
        </w:trPr>
        <w:tc>
          <w:tcPr>
            <w:tcW w:w="7520" w:type="dxa"/>
            <w:vAlign w:val="bottom"/>
          </w:tcPr>
          <w:p>
            <w:pPr>
              <w:ind w:left="540"/>
              <w:spacing w:after="0"/>
              <w:rPr>
                <w:sz w:val="20"/>
                <w:szCs w:val="20"/>
                <w:color w:val="auto"/>
              </w:rPr>
            </w:pPr>
            <w:r>
              <w:rPr>
                <w:rFonts w:ascii="Arial" w:cs="Arial" w:eastAsia="Arial" w:hAnsi="Arial"/>
                <w:sz w:val="14"/>
                <w:szCs w:val="14"/>
                <w:color w:val="auto"/>
              </w:rPr>
              <w:t>Unit-based compensaton expense</w:t>
            </w:r>
          </w:p>
        </w:tc>
        <w:tc>
          <w:tcPr>
            <w:tcW w:w="1600" w:type="dxa"/>
            <w:vAlign w:val="bottom"/>
          </w:tcPr>
          <w:p>
            <w:pPr>
              <w:jc w:val="right"/>
              <w:spacing w:after="0"/>
              <w:rPr>
                <w:sz w:val="20"/>
                <w:szCs w:val="20"/>
                <w:color w:val="auto"/>
              </w:rPr>
            </w:pPr>
            <w:r>
              <w:rPr>
                <w:rFonts w:ascii="Arial" w:cs="Arial" w:eastAsia="Arial" w:hAnsi="Arial"/>
                <w:sz w:val="14"/>
                <w:szCs w:val="14"/>
                <w:color w:val="auto"/>
              </w:rPr>
              <w:t>0.2</w:t>
            </w:r>
          </w:p>
        </w:tc>
        <w:tc>
          <w:tcPr>
            <w:tcW w:w="17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30"/>
        </w:trPr>
        <w:tc>
          <w:tcPr>
            <w:tcW w:w="7520" w:type="dxa"/>
            <w:vAlign w:val="bottom"/>
          </w:tcPr>
          <w:p>
            <w:pPr>
              <w:ind w:left="540"/>
              <w:spacing w:after="0"/>
              <w:rPr>
                <w:sz w:val="20"/>
                <w:szCs w:val="20"/>
                <w:color w:val="auto"/>
              </w:rPr>
            </w:pPr>
            <w:r>
              <w:rPr>
                <w:rFonts w:ascii="Arial" w:cs="Arial" w:eastAsia="Arial" w:hAnsi="Arial"/>
                <w:sz w:val="14"/>
                <w:szCs w:val="14"/>
                <w:color w:val="auto"/>
              </w:rPr>
              <w:t>Forfeiture and cancellaton of common units</w:t>
            </w: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(0.0)</w:t>
            </w:r>
          </w:p>
        </w:tc>
      </w:tr>
      <w:tr>
        <w:trPr>
          <w:trHeight w:val="229"/>
        </w:trPr>
        <w:tc>
          <w:tcPr>
            <w:tcW w:w="7520" w:type="dxa"/>
            <w:vAlign w:val="bottom"/>
          </w:tcPr>
          <w:p>
            <w:pPr>
              <w:ind w:left="540"/>
              <w:spacing w:after="0"/>
              <w:rPr>
                <w:sz w:val="20"/>
                <w:szCs w:val="20"/>
                <w:color w:val="auto"/>
              </w:rPr>
            </w:pPr>
            <w:r>
              <w:rPr>
                <w:rFonts w:ascii="Arial" w:cs="Arial" w:eastAsia="Arial" w:hAnsi="Arial"/>
                <w:sz w:val="14"/>
                <w:szCs w:val="14"/>
                <w:color w:val="auto"/>
              </w:rPr>
              <w:t>Deferred income taxes</w:t>
            </w: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43"/>
        </w:trPr>
        <w:tc>
          <w:tcPr>
            <w:tcW w:w="7520" w:type="dxa"/>
            <w:vAlign w:val="bottom"/>
          </w:tcPr>
          <w:p>
            <w:pPr>
              <w:ind w:left="540"/>
              <w:spacing w:after="0"/>
              <w:rPr>
                <w:sz w:val="20"/>
                <w:szCs w:val="20"/>
                <w:color w:val="auto"/>
              </w:rPr>
            </w:pPr>
            <w:r>
              <w:rPr>
                <w:rFonts w:ascii="Arial" w:cs="Arial" w:eastAsia="Arial" w:hAnsi="Arial"/>
                <w:sz w:val="14"/>
                <w:szCs w:val="14"/>
                <w:color w:val="auto"/>
              </w:rPr>
              <w:t>Loss on disposal of assets</w:t>
            </w:r>
          </w:p>
        </w:tc>
        <w:tc>
          <w:tcPr>
            <w:tcW w:w="1600" w:type="dxa"/>
            <w:vAlign w:val="bottom"/>
          </w:tcPr>
          <w:p>
            <w:pPr>
              <w:jc w:val="right"/>
              <w:spacing w:after="0"/>
              <w:rPr>
                <w:sz w:val="20"/>
                <w:szCs w:val="20"/>
                <w:color w:val="auto"/>
              </w:rPr>
            </w:pPr>
            <w:r>
              <w:rPr>
                <w:rFonts w:ascii="Arial" w:cs="Arial" w:eastAsia="Arial" w:hAnsi="Arial"/>
                <w:sz w:val="14"/>
                <w:szCs w:val="14"/>
                <w:color w:val="auto"/>
              </w:rPr>
              <w:t>0.0</w:t>
            </w:r>
          </w:p>
        </w:tc>
        <w:tc>
          <w:tcPr>
            <w:tcW w:w="1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9"/>
        </w:trPr>
        <w:tc>
          <w:tcPr>
            <w:tcW w:w="7520" w:type="dxa"/>
            <w:vAlign w:val="bottom"/>
          </w:tcPr>
          <w:p>
            <w:pPr>
              <w:ind w:left="540"/>
              <w:spacing w:after="0"/>
              <w:rPr>
                <w:sz w:val="20"/>
                <w:szCs w:val="20"/>
                <w:color w:val="auto"/>
              </w:rPr>
            </w:pPr>
            <w:r>
              <w:rPr>
                <w:rFonts w:ascii="Arial" w:cs="Arial" w:eastAsia="Arial" w:hAnsi="Arial"/>
                <w:sz w:val="14"/>
                <w:szCs w:val="14"/>
                <w:color w:val="auto"/>
              </w:rPr>
              <w:t>Gain from change in fair value of warrant liability</w:t>
            </w:r>
          </w:p>
        </w:tc>
        <w:tc>
          <w:tcPr>
            <w:tcW w:w="1600" w:type="dxa"/>
            <w:vAlign w:val="bottom"/>
          </w:tcPr>
          <w:p>
            <w:pPr>
              <w:jc w:val="right"/>
              <w:spacing w:after="0"/>
              <w:rPr>
                <w:sz w:val="20"/>
                <w:szCs w:val="20"/>
                <w:color w:val="auto"/>
              </w:rPr>
            </w:pPr>
            <w:r>
              <w:rPr>
                <w:rFonts w:ascii="Arial" w:cs="Arial" w:eastAsia="Arial" w:hAnsi="Arial"/>
                <w:sz w:val="14"/>
                <w:szCs w:val="14"/>
                <w:color w:val="auto"/>
              </w:rPr>
              <w:t>(0.4)</w:t>
            </w:r>
          </w:p>
        </w:tc>
        <w:tc>
          <w:tcPr>
            <w:tcW w:w="1760" w:type="dxa"/>
            <w:vAlign w:val="bottom"/>
          </w:tcPr>
          <w:p>
            <w:pPr>
              <w:jc w:val="right"/>
              <w:spacing w:after="0"/>
              <w:rPr>
                <w:sz w:val="20"/>
                <w:szCs w:val="20"/>
                <w:color w:val="auto"/>
              </w:rPr>
            </w:pPr>
            <w:r>
              <w:rPr>
                <w:rFonts w:ascii="Arial" w:cs="Arial" w:eastAsia="Arial" w:hAnsi="Arial"/>
                <w:sz w:val="14"/>
                <w:szCs w:val="14"/>
                <w:color w:val="auto"/>
              </w:rPr>
              <w:t>(10.3)</w:t>
            </w:r>
          </w:p>
        </w:tc>
      </w:tr>
      <w:tr>
        <w:trPr>
          <w:trHeight w:val="229"/>
        </w:trPr>
        <w:tc>
          <w:tcPr>
            <w:tcW w:w="7520" w:type="dxa"/>
            <w:vAlign w:val="bottom"/>
          </w:tcPr>
          <w:p>
            <w:pPr>
              <w:ind w:left="540"/>
              <w:spacing w:after="0"/>
              <w:rPr>
                <w:sz w:val="20"/>
                <w:szCs w:val="20"/>
                <w:color w:val="auto"/>
              </w:rPr>
            </w:pPr>
            <w:r>
              <w:rPr>
                <w:rFonts w:ascii="Arial" w:cs="Arial" w:eastAsia="Arial" w:hAnsi="Arial"/>
                <w:sz w:val="14"/>
                <w:szCs w:val="14"/>
                <w:color w:val="auto"/>
              </w:rPr>
              <w:t>Other</w:t>
            </w:r>
          </w:p>
        </w:tc>
        <w:tc>
          <w:tcPr>
            <w:tcW w:w="1600" w:type="dxa"/>
            <w:vAlign w:val="bottom"/>
          </w:tcPr>
          <w:p>
            <w:pPr>
              <w:jc w:val="right"/>
              <w:spacing w:after="0"/>
              <w:rPr>
                <w:sz w:val="20"/>
                <w:szCs w:val="20"/>
                <w:color w:val="auto"/>
              </w:rPr>
            </w:pPr>
            <w:r>
              <w:rPr>
                <w:rFonts w:ascii="Arial" w:cs="Arial" w:eastAsia="Arial" w:hAnsi="Arial"/>
                <w:sz w:val="14"/>
                <w:szCs w:val="14"/>
                <w:color w:val="auto"/>
              </w:rPr>
              <w:t>(0.2)</w:t>
            </w:r>
          </w:p>
        </w:tc>
        <w:tc>
          <w:tcPr>
            <w:tcW w:w="17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43"/>
        </w:trPr>
        <w:tc>
          <w:tcPr>
            <w:tcW w:w="7520" w:type="dxa"/>
            <w:vAlign w:val="bottom"/>
          </w:tcPr>
          <w:p>
            <w:pPr>
              <w:ind w:left="540"/>
              <w:spacing w:after="0"/>
              <w:rPr>
                <w:sz w:val="20"/>
                <w:szCs w:val="20"/>
                <w:color w:val="auto"/>
              </w:rPr>
            </w:pPr>
            <w:r>
              <w:rPr>
                <w:rFonts w:ascii="Arial" w:cs="Arial" w:eastAsia="Arial" w:hAnsi="Arial"/>
                <w:sz w:val="14"/>
                <w:szCs w:val="14"/>
                <w:color w:val="auto"/>
              </w:rPr>
              <w:t>Changes in operatng assets and liabilites:</w:t>
            </w:r>
          </w:p>
        </w:tc>
        <w:tc>
          <w:tcPr>
            <w:tcW w:w="160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43"/>
        </w:trPr>
        <w:tc>
          <w:tcPr>
            <w:tcW w:w="7520" w:type="dxa"/>
            <w:vAlign w:val="bottom"/>
          </w:tcPr>
          <w:p>
            <w:pPr>
              <w:ind w:left="1280"/>
              <w:spacing w:after="0"/>
              <w:rPr>
                <w:sz w:val="20"/>
                <w:szCs w:val="20"/>
                <w:color w:val="auto"/>
              </w:rPr>
            </w:pPr>
            <w:r>
              <w:rPr>
                <w:rFonts w:ascii="Arial" w:cs="Arial" w:eastAsia="Arial" w:hAnsi="Arial"/>
                <w:sz w:val="14"/>
                <w:szCs w:val="14"/>
                <w:color w:val="auto"/>
              </w:rPr>
              <w:t>Accounts receivable</w:t>
            </w:r>
          </w:p>
        </w:tc>
        <w:tc>
          <w:tcPr>
            <w:tcW w:w="1600" w:type="dxa"/>
            <w:vAlign w:val="bottom"/>
          </w:tcPr>
          <w:p>
            <w:pPr>
              <w:jc w:val="right"/>
              <w:spacing w:after="0"/>
              <w:rPr>
                <w:sz w:val="20"/>
                <w:szCs w:val="20"/>
                <w:color w:val="auto"/>
              </w:rPr>
            </w:pPr>
            <w:r>
              <w:rPr>
                <w:rFonts w:ascii="Arial" w:cs="Arial" w:eastAsia="Arial" w:hAnsi="Arial"/>
                <w:sz w:val="14"/>
                <w:szCs w:val="14"/>
                <w:color w:val="auto"/>
              </w:rPr>
              <w:t>4.4</w:t>
            </w:r>
          </w:p>
        </w:tc>
        <w:tc>
          <w:tcPr>
            <w:tcW w:w="17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30"/>
        </w:trPr>
        <w:tc>
          <w:tcPr>
            <w:tcW w:w="7520" w:type="dxa"/>
            <w:vAlign w:val="bottom"/>
          </w:tcPr>
          <w:p>
            <w:pPr>
              <w:ind w:left="1280"/>
              <w:spacing w:after="0"/>
              <w:rPr>
                <w:sz w:val="20"/>
                <w:szCs w:val="20"/>
                <w:color w:val="auto"/>
              </w:rPr>
            </w:pPr>
            <w:r>
              <w:rPr>
                <w:rFonts w:ascii="Arial" w:cs="Arial" w:eastAsia="Arial" w:hAnsi="Arial"/>
                <w:sz w:val="14"/>
                <w:szCs w:val="14"/>
                <w:color w:val="auto"/>
              </w:rPr>
              <w:t>Prepaid insurance</w:t>
            </w:r>
          </w:p>
        </w:tc>
        <w:tc>
          <w:tcPr>
            <w:tcW w:w="1600" w:type="dxa"/>
            <w:vAlign w:val="bottom"/>
          </w:tcPr>
          <w:p>
            <w:pPr>
              <w:jc w:val="right"/>
              <w:spacing w:after="0"/>
              <w:rPr>
                <w:sz w:val="20"/>
                <w:szCs w:val="20"/>
                <w:color w:val="auto"/>
              </w:rPr>
            </w:pPr>
            <w:r>
              <w:rPr>
                <w:rFonts w:ascii="Arial" w:cs="Arial" w:eastAsia="Arial" w:hAnsi="Arial"/>
                <w:sz w:val="14"/>
                <w:szCs w:val="14"/>
                <w:color w:val="auto"/>
              </w:rPr>
              <w:t>2.6</w:t>
            </w:r>
          </w:p>
        </w:tc>
        <w:tc>
          <w:tcPr>
            <w:tcW w:w="176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29"/>
        </w:trPr>
        <w:tc>
          <w:tcPr>
            <w:tcW w:w="7520" w:type="dxa"/>
            <w:vAlign w:val="bottom"/>
          </w:tcPr>
          <w:p>
            <w:pPr>
              <w:ind w:left="1280"/>
              <w:spacing w:after="0"/>
              <w:rPr>
                <w:sz w:val="20"/>
                <w:szCs w:val="20"/>
                <w:color w:val="auto"/>
              </w:rPr>
            </w:pPr>
            <w:r>
              <w:rPr>
                <w:rFonts w:ascii="Arial" w:cs="Arial" w:eastAsia="Arial" w:hAnsi="Arial"/>
                <w:sz w:val="14"/>
                <w:szCs w:val="14"/>
                <w:color w:val="auto"/>
              </w:rPr>
              <w:t>Deposits with clearinghouse</w:t>
            </w:r>
          </w:p>
        </w:tc>
        <w:tc>
          <w:tcPr>
            <w:tcW w:w="1600" w:type="dxa"/>
            <w:vAlign w:val="bottom"/>
          </w:tcPr>
          <w:p>
            <w:pPr>
              <w:jc w:val="right"/>
              <w:spacing w:after="0"/>
              <w:rPr>
                <w:sz w:val="20"/>
                <w:szCs w:val="20"/>
                <w:color w:val="auto"/>
              </w:rPr>
            </w:pPr>
            <w:r>
              <w:rPr>
                <w:rFonts w:ascii="Arial" w:cs="Arial" w:eastAsia="Arial" w:hAnsi="Arial"/>
                <w:sz w:val="14"/>
                <w:szCs w:val="14"/>
                <w:color w:val="auto"/>
              </w:rPr>
              <w:t>0.0</w:t>
            </w:r>
          </w:p>
        </w:tc>
        <w:tc>
          <w:tcPr>
            <w:tcW w:w="1760" w:type="dxa"/>
            <w:vAlign w:val="bottom"/>
          </w:tcPr>
          <w:p>
            <w:pPr>
              <w:jc w:val="right"/>
              <w:spacing w:after="0"/>
              <w:rPr>
                <w:sz w:val="20"/>
                <w:szCs w:val="20"/>
                <w:color w:val="auto"/>
              </w:rPr>
            </w:pPr>
            <w:r>
              <w:rPr>
                <w:rFonts w:ascii="Arial" w:cs="Arial" w:eastAsia="Arial" w:hAnsi="Arial"/>
                <w:sz w:val="14"/>
                <w:szCs w:val="14"/>
                <w:color w:val="auto"/>
              </w:rPr>
              <w:t>0.0</w:t>
            </w:r>
          </w:p>
        </w:tc>
      </w:tr>
      <w:tr>
        <w:trPr>
          <w:trHeight w:val="243"/>
        </w:trPr>
        <w:tc>
          <w:tcPr>
            <w:tcW w:w="7520" w:type="dxa"/>
            <w:vAlign w:val="bottom"/>
          </w:tcPr>
          <w:p>
            <w:pPr>
              <w:ind w:left="1280"/>
              <w:spacing w:after="0"/>
              <w:rPr>
                <w:sz w:val="20"/>
                <w:szCs w:val="20"/>
                <w:color w:val="auto"/>
              </w:rPr>
            </w:pPr>
            <w:r>
              <w:rPr>
                <w:rFonts w:ascii="Arial" w:cs="Arial" w:eastAsia="Arial" w:hAnsi="Arial"/>
                <w:sz w:val="14"/>
                <w:szCs w:val="14"/>
                <w:color w:val="auto"/>
              </w:rPr>
              <w:t>Accounts payable and accrued liabilites</w:t>
            </w:r>
          </w:p>
        </w:tc>
        <w:tc>
          <w:tcPr>
            <w:tcW w:w="1600" w:type="dxa"/>
            <w:vAlign w:val="bottom"/>
          </w:tcPr>
          <w:p>
            <w:pPr>
              <w:jc w:val="right"/>
              <w:spacing w:after="0"/>
              <w:rPr>
                <w:sz w:val="20"/>
                <w:szCs w:val="20"/>
                <w:color w:val="auto"/>
              </w:rPr>
            </w:pPr>
            <w:r>
              <w:rPr>
                <w:rFonts w:ascii="Arial" w:cs="Arial" w:eastAsia="Arial" w:hAnsi="Arial"/>
                <w:sz w:val="14"/>
                <w:szCs w:val="14"/>
                <w:color w:val="auto"/>
              </w:rPr>
              <w:t>4.9</w:t>
            </w:r>
          </w:p>
        </w:tc>
        <w:tc>
          <w:tcPr>
            <w:tcW w:w="17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29"/>
        </w:trPr>
        <w:tc>
          <w:tcPr>
            <w:tcW w:w="7520" w:type="dxa"/>
            <w:vAlign w:val="bottom"/>
          </w:tcPr>
          <w:p>
            <w:pPr>
              <w:ind w:left="1280"/>
              <w:spacing w:after="0"/>
              <w:rPr>
                <w:sz w:val="20"/>
                <w:szCs w:val="20"/>
                <w:color w:val="auto"/>
              </w:rPr>
            </w:pPr>
            <w:r>
              <w:rPr>
                <w:rFonts w:ascii="Arial" w:cs="Arial" w:eastAsia="Arial" w:hAnsi="Arial"/>
                <w:sz w:val="14"/>
                <w:szCs w:val="14"/>
                <w:color w:val="auto"/>
              </w:rPr>
              <w:t>Due to related party</w:t>
            </w:r>
          </w:p>
        </w:tc>
        <w:tc>
          <w:tcPr>
            <w:tcW w:w="1600" w:type="dxa"/>
            <w:vAlign w:val="bottom"/>
          </w:tcPr>
          <w:p>
            <w:pPr>
              <w:jc w:val="right"/>
              <w:spacing w:after="0"/>
              <w:rPr>
                <w:sz w:val="20"/>
                <w:szCs w:val="20"/>
                <w:color w:val="auto"/>
              </w:rPr>
            </w:pPr>
            <w:r>
              <w:rPr>
                <w:rFonts w:ascii="Arial" w:cs="Arial" w:eastAsia="Arial" w:hAnsi="Arial"/>
                <w:sz w:val="14"/>
                <w:szCs w:val="14"/>
                <w:color w:val="auto"/>
              </w:rPr>
              <w:t>0.5</w:t>
            </w:r>
          </w:p>
        </w:tc>
        <w:tc>
          <w:tcPr>
            <w:tcW w:w="176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30"/>
        </w:trPr>
        <w:tc>
          <w:tcPr>
            <w:tcW w:w="7520" w:type="dxa"/>
            <w:vAlign w:val="bottom"/>
          </w:tcPr>
          <w:p>
            <w:pPr>
              <w:ind w:left="1280"/>
              <w:spacing w:after="0"/>
              <w:rPr>
                <w:sz w:val="20"/>
                <w:szCs w:val="20"/>
                <w:color w:val="auto"/>
              </w:rPr>
            </w:pPr>
            <w:r>
              <w:rPr>
                <w:rFonts w:ascii="Arial" w:cs="Arial" w:eastAsia="Arial" w:hAnsi="Arial"/>
                <w:sz w:val="14"/>
                <w:szCs w:val="14"/>
                <w:color w:val="auto"/>
              </w:rPr>
              <w:t>Deferred revenue</w:t>
            </w:r>
          </w:p>
        </w:tc>
        <w:tc>
          <w:tcPr>
            <w:tcW w:w="1600" w:type="dxa"/>
            <w:vAlign w:val="bottom"/>
          </w:tcPr>
          <w:p>
            <w:pPr>
              <w:jc w:val="right"/>
              <w:spacing w:after="0"/>
              <w:rPr>
                <w:sz w:val="20"/>
                <w:szCs w:val="20"/>
                <w:color w:val="auto"/>
              </w:rPr>
            </w:pPr>
            <w:r>
              <w:rPr>
                <w:rFonts w:ascii="Arial" w:cs="Arial" w:eastAsia="Arial" w:hAnsi="Arial"/>
                <w:sz w:val="14"/>
                <w:szCs w:val="14"/>
                <w:color w:val="auto"/>
              </w:rPr>
              <w:t>(0.3)</w:t>
            </w:r>
          </w:p>
        </w:tc>
        <w:tc>
          <w:tcPr>
            <w:tcW w:w="176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43"/>
        </w:trPr>
        <w:tc>
          <w:tcPr>
            <w:tcW w:w="7520" w:type="dxa"/>
            <w:vAlign w:val="bottom"/>
          </w:tcPr>
          <w:p>
            <w:pPr>
              <w:ind w:left="1280"/>
              <w:spacing w:after="0"/>
              <w:rPr>
                <w:sz w:val="20"/>
                <w:szCs w:val="20"/>
                <w:color w:val="auto"/>
              </w:rPr>
            </w:pPr>
            <w:r>
              <w:rPr>
                <w:rFonts w:ascii="Arial" w:cs="Arial" w:eastAsia="Arial" w:hAnsi="Arial"/>
                <w:sz w:val="14"/>
                <w:szCs w:val="14"/>
                <w:color w:val="auto"/>
              </w:rPr>
              <w:t>Operatng lease liabilites</w:t>
            </w:r>
          </w:p>
        </w:tc>
        <w:tc>
          <w:tcPr>
            <w:tcW w:w="1600" w:type="dxa"/>
            <w:vAlign w:val="bottom"/>
          </w:tcPr>
          <w:p>
            <w:pPr>
              <w:jc w:val="right"/>
              <w:spacing w:after="0"/>
              <w:rPr>
                <w:sz w:val="20"/>
                <w:szCs w:val="20"/>
                <w:color w:val="auto"/>
              </w:rPr>
            </w:pPr>
            <w:r>
              <w:rPr>
                <w:rFonts w:ascii="Arial" w:cs="Arial" w:eastAsia="Arial" w:hAnsi="Arial"/>
                <w:sz w:val="14"/>
                <w:szCs w:val="14"/>
                <w:color w:val="auto"/>
              </w:rPr>
              <w:t>(0.7)</w:t>
            </w:r>
          </w:p>
        </w:tc>
        <w:tc>
          <w:tcPr>
            <w:tcW w:w="176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29"/>
        </w:trPr>
        <w:tc>
          <w:tcPr>
            <w:tcW w:w="7520" w:type="dxa"/>
            <w:vAlign w:val="bottom"/>
          </w:tcPr>
          <w:p>
            <w:pPr>
              <w:ind w:left="1280"/>
              <w:spacing w:after="0"/>
              <w:rPr>
                <w:sz w:val="20"/>
                <w:szCs w:val="20"/>
                <w:color w:val="auto"/>
              </w:rPr>
            </w:pPr>
            <w:r>
              <w:rPr>
                <w:rFonts w:ascii="Arial" w:cs="Arial" w:eastAsia="Arial" w:hAnsi="Arial"/>
                <w:sz w:val="14"/>
                <w:szCs w:val="14"/>
                <w:color w:val="auto"/>
              </w:rPr>
              <w:t>Customer funds payable</w:t>
            </w:r>
          </w:p>
        </w:tc>
        <w:tc>
          <w:tcPr>
            <w:tcW w:w="1600" w:type="dxa"/>
            <w:vAlign w:val="bottom"/>
          </w:tcPr>
          <w:p>
            <w:pPr>
              <w:jc w:val="right"/>
              <w:spacing w:after="0"/>
              <w:rPr>
                <w:sz w:val="20"/>
                <w:szCs w:val="20"/>
                <w:color w:val="auto"/>
              </w:rPr>
            </w:pPr>
            <w:r>
              <w:rPr>
                <w:rFonts w:ascii="Arial" w:cs="Arial" w:eastAsia="Arial" w:hAnsi="Arial"/>
                <w:sz w:val="14"/>
                <w:szCs w:val="14"/>
                <w:color w:val="auto"/>
              </w:rPr>
              <w:t>(0.0)</w:t>
            </w:r>
          </w:p>
        </w:tc>
        <w:tc>
          <w:tcPr>
            <w:tcW w:w="1760" w:type="dxa"/>
            <w:vAlign w:val="bottom"/>
          </w:tcPr>
          <w:p>
            <w:pPr>
              <w:jc w:val="right"/>
              <w:spacing w:after="0"/>
              <w:rPr>
                <w:sz w:val="20"/>
                <w:szCs w:val="20"/>
                <w:color w:val="auto"/>
              </w:rPr>
            </w:pPr>
            <w:r>
              <w:rPr>
                <w:rFonts w:ascii="Arial" w:cs="Arial" w:eastAsia="Arial" w:hAnsi="Arial"/>
                <w:sz w:val="14"/>
                <w:szCs w:val="14"/>
                <w:color w:val="auto"/>
              </w:rPr>
              <w:t>(0.0)</w:t>
            </w:r>
          </w:p>
        </w:tc>
      </w:tr>
      <w:tr>
        <w:trPr>
          <w:trHeight w:val="243"/>
        </w:trPr>
        <w:tc>
          <w:tcPr>
            <w:tcW w:w="7520" w:type="dxa"/>
            <w:vAlign w:val="bottom"/>
          </w:tcPr>
          <w:p>
            <w:pPr>
              <w:ind w:left="1280"/>
              <w:spacing w:after="0"/>
              <w:rPr>
                <w:sz w:val="20"/>
                <w:szCs w:val="20"/>
                <w:color w:val="auto"/>
              </w:rPr>
            </w:pPr>
            <w:r>
              <w:rPr>
                <w:rFonts w:ascii="Arial" w:cs="Arial" w:eastAsia="Arial" w:hAnsi="Arial"/>
                <w:sz w:val="14"/>
                <w:szCs w:val="14"/>
                <w:color w:val="auto"/>
              </w:rPr>
              <w:t>Other assets and liabilites</w:t>
            </w:r>
          </w:p>
        </w:tc>
        <w:tc>
          <w:tcPr>
            <w:tcW w:w="1600" w:type="dxa"/>
            <w:vAlign w:val="bottom"/>
          </w:tcPr>
          <w:p>
            <w:pPr>
              <w:jc w:val="right"/>
              <w:spacing w:after="0"/>
              <w:rPr>
                <w:sz w:val="20"/>
                <w:szCs w:val="20"/>
                <w:color w:val="auto"/>
              </w:rPr>
            </w:pPr>
            <w:r>
              <w:rPr>
                <w:rFonts w:ascii="Arial" w:cs="Arial" w:eastAsia="Arial" w:hAnsi="Arial"/>
                <w:sz w:val="14"/>
                <w:szCs w:val="14"/>
                <w:color w:val="auto"/>
              </w:rPr>
              <w:t>(0.3)</w:t>
            </w:r>
          </w:p>
        </w:tc>
        <w:tc>
          <w:tcPr>
            <w:tcW w:w="176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32"/>
        </w:trPr>
        <w:tc>
          <w:tcPr>
            <w:tcW w:w="75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78"/>
        </w:trPr>
        <w:tc>
          <w:tcPr>
            <w:tcW w:w="7520" w:type="dxa"/>
            <w:vAlign w:val="bottom"/>
          </w:tcPr>
          <w:p>
            <w:pPr>
              <w:ind w:left="40"/>
              <w:spacing w:after="0"/>
              <w:rPr>
                <w:sz w:val="20"/>
                <w:szCs w:val="20"/>
                <w:color w:val="auto"/>
              </w:rPr>
            </w:pPr>
            <w:r>
              <w:rPr>
                <w:rFonts w:ascii="Arial" w:cs="Arial" w:eastAsia="Arial" w:hAnsi="Arial"/>
                <w:sz w:val="14"/>
                <w:szCs w:val="14"/>
                <w:color w:val="auto"/>
              </w:rPr>
              <w:t>Net cash used in operatng actvites</w:t>
            </w:r>
          </w:p>
        </w:tc>
        <w:tc>
          <w:tcPr>
            <w:tcW w:w="1600" w:type="dxa"/>
            <w:vAlign w:val="bottom"/>
          </w:tcPr>
          <w:p>
            <w:pPr>
              <w:jc w:val="right"/>
              <w:spacing w:after="0"/>
              <w:rPr>
                <w:sz w:val="20"/>
                <w:szCs w:val="20"/>
                <w:color w:val="auto"/>
              </w:rPr>
            </w:pPr>
            <w:r>
              <w:rPr>
                <w:rFonts w:ascii="Arial" w:cs="Arial" w:eastAsia="Arial" w:hAnsi="Arial"/>
                <w:sz w:val="14"/>
                <w:szCs w:val="14"/>
                <w:color w:val="auto"/>
              </w:rPr>
              <w:t>(30.9)</w:t>
            </w:r>
          </w:p>
        </w:tc>
        <w:tc>
          <w:tcPr>
            <w:tcW w:w="1760" w:type="dxa"/>
            <w:vAlign w:val="bottom"/>
          </w:tcPr>
          <w:p>
            <w:pPr>
              <w:jc w:val="right"/>
              <w:spacing w:after="0"/>
              <w:rPr>
                <w:sz w:val="20"/>
                <w:szCs w:val="20"/>
                <w:color w:val="auto"/>
              </w:rPr>
            </w:pPr>
            <w:r>
              <w:rPr>
                <w:rFonts w:ascii="Arial" w:cs="Arial" w:eastAsia="Arial" w:hAnsi="Arial"/>
                <w:sz w:val="14"/>
                <w:szCs w:val="14"/>
                <w:color w:val="auto"/>
              </w:rPr>
              <w:t>(27.2)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28575</wp:posOffset>
            </wp:positionV>
            <wp:extent cx="21431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4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fows from investng actvites:</w:t>
      </w:r>
    </w:p>
    <w:p>
      <w:pPr>
        <w:sectPr>
          <w:pgSz w:w="11900" w:h="16838" w:orient="portrait"/>
          <w:cols w:equalWidth="0" w:num="1">
            <w:col w:w="10880"/>
          </w:cols>
          <w:pgMar w:left="320" w:top="1440" w:right="699" w:bottom="1440" w:gutter="0" w:footer="0" w:header="0"/>
        </w:sectPr>
      </w:pPr>
    </w:p>
    <w:p>
      <w:pPr>
        <w:spacing w:after="0" w:line="82" w:lineRule="exact"/>
        <w:rPr>
          <w:sz w:val="20"/>
          <w:szCs w:val="20"/>
          <w:color w:val="auto"/>
        </w:rPr>
      </w:pPr>
    </w:p>
    <w:p>
      <w:pPr>
        <w:ind w:left="540" w:right="1380"/>
        <w:spacing w:after="0" w:line="352" w:lineRule="auto"/>
        <w:rPr>
          <w:sz w:val="20"/>
          <w:szCs w:val="20"/>
          <w:color w:val="auto"/>
        </w:rPr>
      </w:pPr>
      <w:r>
        <w:rPr>
          <w:rFonts w:ascii="Arial" w:cs="Arial" w:eastAsia="Arial" w:hAnsi="Arial"/>
          <w:sz w:val="14"/>
          <w:szCs w:val="14"/>
          <w:color w:val="auto"/>
        </w:rPr>
        <w:t>Capitalized internal-use sofware development costs and other capital expenditures Purchase of available-for-sale securites</w:t>
      </w:r>
    </w:p>
    <w:p>
      <w:pPr>
        <w:ind w:left="540"/>
        <w:spacing w:after="0"/>
        <w:rPr>
          <w:sz w:val="20"/>
          <w:szCs w:val="20"/>
          <w:color w:val="auto"/>
        </w:rPr>
      </w:pPr>
      <w:r>
        <w:rPr>
          <w:rFonts w:ascii="Arial" w:cs="Arial" w:eastAsia="Arial" w:hAnsi="Arial"/>
          <w:sz w:val="14"/>
          <w:szCs w:val="14"/>
          <w:color w:val="auto"/>
        </w:rPr>
        <w:t>Proceeds from the maturity of available-for-sale securites</w:t>
      </w:r>
    </w:p>
    <w:p>
      <w:pPr>
        <w:spacing w:after="0" w:line="69" w:lineRule="exact"/>
        <w:rPr>
          <w:sz w:val="20"/>
          <w:szCs w:val="20"/>
          <w:color w:val="auto"/>
        </w:rPr>
      </w:pPr>
    </w:p>
    <w:p>
      <w:pPr>
        <w:ind w:left="540"/>
        <w:spacing w:after="0"/>
        <w:rPr>
          <w:sz w:val="20"/>
          <w:szCs w:val="20"/>
          <w:color w:val="auto"/>
        </w:rPr>
      </w:pPr>
      <w:r>
        <w:rPr>
          <w:rFonts w:ascii="Arial" w:cs="Arial" w:eastAsia="Arial" w:hAnsi="Arial"/>
          <w:sz w:val="14"/>
          <w:szCs w:val="14"/>
          <w:color w:val="auto"/>
        </w:rPr>
        <w:t>Acquisiton of Bumped Financial, LLC</w:t>
      </w:r>
    </w:p>
    <w:p>
      <w:pPr>
        <w:spacing w:after="0" w:line="8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Acquisiton of Apex Crypto LLC, net of cash acquired</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cash provided by (used in) investng actvites</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fows from fnancing actvites:</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260" w:type="dxa"/>
            <w:vAlign w:val="bottom"/>
          </w:tcPr>
          <w:p>
            <w:pPr>
              <w:jc w:val="right"/>
              <w:ind w:right="608"/>
              <w:spacing w:after="0"/>
              <w:rPr>
                <w:sz w:val="20"/>
                <w:szCs w:val="20"/>
                <w:color w:val="auto"/>
              </w:rPr>
            </w:pPr>
            <w:r>
              <w:rPr>
                <w:rFonts w:ascii="Arial" w:cs="Arial" w:eastAsia="Arial" w:hAnsi="Arial"/>
                <w:sz w:val="14"/>
                <w:szCs w:val="14"/>
                <w:color w:val="auto"/>
              </w:rPr>
              <w:t>(2.3)</w:t>
            </w:r>
          </w:p>
        </w:tc>
        <w:tc>
          <w:tcPr>
            <w:tcW w:w="1100" w:type="dxa"/>
            <w:vAlign w:val="bottom"/>
          </w:tcPr>
          <w:p>
            <w:pPr>
              <w:jc w:val="right"/>
              <w:spacing w:after="0"/>
              <w:rPr>
                <w:sz w:val="20"/>
                <w:szCs w:val="20"/>
                <w:color w:val="auto"/>
              </w:rPr>
            </w:pPr>
            <w:r>
              <w:rPr>
                <w:rFonts w:ascii="Arial" w:cs="Arial" w:eastAsia="Arial" w:hAnsi="Arial"/>
                <w:sz w:val="14"/>
                <w:szCs w:val="14"/>
                <w:color w:val="auto"/>
              </w:rPr>
              <w:t>(11.6)</w:t>
            </w:r>
          </w:p>
        </w:tc>
      </w:tr>
      <w:tr>
        <w:trPr>
          <w:trHeight w:val="229"/>
        </w:trPr>
        <w:tc>
          <w:tcPr>
            <w:tcW w:w="226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(189.2)</w:t>
            </w:r>
          </w:p>
        </w:tc>
      </w:tr>
      <w:tr>
        <w:trPr>
          <w:trHeight w:val="230"/>
        </w:trPr>
        <w:tc>
          <w:tcPr>
            <w:tcW w:w="2260" w:type="dxa"/>
            <w:vAlign w:val="bottom"/>
          </w:tcPr>
          <w:p>
            <w:pPr>
              <w:jc w:val="right"/>
              <w:ind w:right="608"/>
              <w:spacing w:after="0"/>
              <w:rPr>
                <w:sz w:val="20"/>
                <w:szCs w:val="20"/>
                <w:color w:val="auto"/>
              </w:rPr>
            </w:pPr>
            <w:r>
              <w:rPr>
                <w:rFonts w:ascii="Arial" w:cs="Arial" w:eastAsia="Arial" w:hAnsi="Arial"/>
                <w:sz w:val="14"/>
                <w:szCs w:val="14"/>
                <w:color w:val="auto"/>
              </w:rPr>
              <w:t>52.2</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226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2260" w:type="dxa"/>
            <w:vAlign w:val="bottom"/>
          </w:tcPr>
          <w:p>
            <w:pPr>
              <w:jc w:val="right"/>
              <w:ind w:right="608"/>
              <w:spacing w:after="0"/>
              <w:rPr>
                <w:sz w:val="20"/>
                <w:szCs w:val="20"/>
                <w:color w:val="auto"/>
              </w:rPr>
            </w:pPr>
            <w:r>
              <w:rPr>
                <w:rFonts w:ascii="Arial" w:cs="Arial" w:eastAsia="Arial" w:hAnsi="Arial"/>
                <w:sz w:val="14"/>
                <w:szCs w:val="14"/>
                <w:color w:val="auto"/>
              </w:rPr>
              <w:t>(44.4)</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5"/>
        </w:trPr>
        <w:tc>
          <w:tcPr>
            <w:tcW w:w="2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8"/>
        </w:trPr>
        <w:tc>
          <w:tcPr>
            <w:tcW w:w="2260" w:type="dxa"/>
            <w:vAlign w:val="bottom"/>
          </w:tcPr>
          <w:p>
            <w:pPr>
              <w:jc w:val="right"/>
              <w:ind w:right="608"/>
              <w:spacing w:after="0"/>
              <w:rPr>
                <w:sz w:val="20"/>
                <w:szCs w:val="20"/>
                <w:color w:val="auto"/>
              </w:rPr>
            </w:pPr>
            <w:r>
              <w:rPr>
                <w:rFonts w:ascii="Arial" w:cs="Arial" w:eastAsia="Arial" w:hAnsi="Arial"/>
                <w:sz w:val="14"/>
                <w:szCs w:val="14"/>
                <w:color w:val="auto"/>
              </w:rPr>
              <w:t>5.4</w:t>
            </w:r>
          </w:p>
        </w:tc>
        <w:tc>
          <w:tcPr>
            <w:tcW w:w="1100" w:type="dxa"/>
            <w:vAlign w:val="bottom"/>
          </w:tcPr>
          <w:p>
            <w:pPr>
              <w:jc w:val="right"/>
              <w:spacing w:after="0"/>
              <w:rPr>
                <w:sz w:val="20"/>
                <w:szCs w:val="20"/>
                <w:color w:val="auto"/>
              </w:rPr>
            </w:pPr>
            <w:r>
              <w:rPr>
                <w:rFonts w:ascii="Arial" w:cs="Arial" w:eastAsia="Arial" w:hAnsi="Arial"/>
                <w:sz w:val="14"/>
                <w:szCs w:val="14"/>
                <w:color w:val="auto"/>
              </w:rPr>
              <w:t>(200.8)</w:t>
            </w:r>
          </w:p>
        </w:tc>
      </w:tr>
    </w:tbl>
    <w:p>
      <w:pPr>
        <w:spacing w:after="0" w:line="290" w:lineRule="exact"/>
        <w:rPr>
          <w:sz w:val="20"/>
          <w:szCs w:val="20"/>
          <w:color w:val="auto"/>
        </w:rPr>
      </w:pPr>
    </w:p>
    <w:p>
      <w:pPr>
        <w:sectPr>
          <w:pgSz w:w="11900" w:h="16838" w:orient="portrait"/>
          <w:cols w:equalWidth="0" w:num="2">
            <w:col w:w="6800" w:space="720"/>
            <w:col w:w="3360"/>
          </w:cols>
          <w:pgMar w:left="320" w:top="1440" w:right="699" w:bottom="1440" w:gutter="0" w:footer="0" w:header="0"/>
          <w:type w:val="continuous"/>
        </w:sectPr>
      </w:pPr>
    </w:p>
    <w:tbl>
      <w:tblPr>
        <w:tblLayout w:type="fixed"/>
        <w:tblInd w:w="20" w:type="dxa"/>
        <w:tblCellMar>
          <w:top w:w="0" w:type="dxa"/>
          <w:left w:w="0" w:type="dxa"/>
          <w:bottom w:w="0" w:type="dxa"/>
          <w:right w:w="0" w:type="dxa"/>
        </w:tblCellMar>
      </w:tblPr>
      <w:tr>
        <w:trPr>
          <w:trHeight w:val="182"/>
        </w:trPr>
        <w:tc>
          <w:tcPr>
            <w:tcW w:w="7500" w:type="dxa"/>
            <w:vAlign w:val="bottom"/>
          </w:tcPr>
          <w:p>
            <w:pPr>
              <w:ind w:left="520"/>
              <w:spacing w:after="0"/>
              <w:rPr>
                <w:sz w:val="20"/>
                <w:szCs w:val="20"/>
                <w:color w:val="auto"/>
              </w:rPr>
            </w:pPr>
            <w:r>
              <w:rPr>
                <w:rFonts w:ascii="Arial" w:cs="Arial" w:eastAsia="Arial" w:hAnsi="Arial"/>
                <w:sz w:val="14"/>
                <w:szCs w:val="14"/>
                <w:color w:val="auto"/>
              </w:rPr>
              <w:t>Proceeds from the exercise of warrants</w:t>
            </w:r>
          </w:p>
        </w:tc>
        <w:tc>
          <w:tcPr>
            <w:tcW w:w="226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43"/>
        </w:trPr>
        <w:tc>
          <w:tcPr>
            <w:tcW w:w="7500" w:type="dxa"/>
            <w:vAlign w:val="bottom"/>
          </w:tcPr>
          <w:p>
            <w:pPr>
              <w:ind w:left="520"/>
              <w:spacing w:after="0"/>
              <w:rPr>
                <w:sz w:val="20"/>
                <w:szCs w:val="20"/>
                <w:color w:val="auto"/>
              </w:rPr>
            </w:pPr>
            <w:r>
              <w:rPr>
                <w:rFonts w:ascii="Arial" w:cs="Arial" w:eastAsia="Arial" w:hAnsi="Arial"/>
                <w:sz w:val="14"/>
                <w:szCs w:val="14"/>
                <w:color w:val="auto"/>
              </w:rPr>
              <w:t>Repurchase and retrement of Class A common stock</w:t>
            </w:r>
          </w:p>
        </w:tc>
        <w:tc>
          <w:tcPr>
            <w:tcW w:w="2260" w:type="dxa"/>
            <w:vAlign w:val="bottom"/>
          </w:tcPr>
          <w:p>
            <w:pPr>
              <w:jc w:val="right"/>
              <w:ind w:right="608"/>
              <w:spacing w:after="0"/>
              <w:rPr>
                <w:sz w:val="20"/>
                <w:szCs w:val="20"/>
                <w:color w:val="auto"/>
              </w:rPr>
            </w:pPr>
            <w:r>
              <w:rPr>
                <w:rFonts w:ascii="Arial" w:cs="Arial" w:eastAsia="Arial" w:hAnsi="Arial"/>
                <w:sz w:val="14"/>
                <w:szCs w:val="14"/>
                <w:color w:val="auto"/>
              </w:rPr>
              <w:t>(2.5)</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
        </w:trPr>
        <w:tc>
          <w:tcPr>
            <w:tcW w:w="750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7500" w:type="dxa"/>
            <w:vAlign w:val="bottom"/>
          </w:tcPr>
          <w:p>
            <w:pPr>
              <w:ind w:left="20"/>
              <w:spacing w:after="0"/>
              <w:rPr>
                <w:sz w:val="20"/>
                <w:szCs w:val="20"/>
                <w:color w:val="auto"/>
              </w:rPr>
            </w:pPr>
            <w:r>
              <w:rPr>
                <w:rFonts w:ascii="Arial" w:cs="Arial" w:eastAsia="Arial" w:hAnsi="Arial"/>
                <w:sz w:val="14"/>
                <w:szCs w:val="14"/>
                <w:color w:val="auto"/>
              </w:rPr>
              <w:t>Net cash (used in) provided by fnancing actvites</w:t>
            </w:r>
          </w:p>
        </w:tc>
        <w:tc>
          <w:tcPr>
            <w:tcW w:w="2260" w:type="dxa"/>
            <w:vAlign w:val="bottom"/>
          </w:tcPr>
          <w:p>
            <w:pPr>
              <w:jc w:val="right"/>
              <w:ind w:right="608"/>
              <w:spacing w:after="0"/>
              <w:rPr>
                <w:sz w:val="20"/>
                <w:szCs w:val="20"/>
                <w:color w:val="auto"/>
              </w:rPr>
            </w:pPr>
            <w:r>
              <w:rPr>
                <w:rFonts w:ascii="Arial" w:cs="Arial" w:eastAsia="Arial" w:hAnsi="Arial"/>
                <w:sz w:val="14"/>
                <w:szCs w:val="14"/>
                <w:color w:val="auto"/>
              </w:rPr>
              <w:t>(2.5)</w:t>
            </w:r>
          </w:p>
        </w:tc>
        <w:tc>
          <w:tcPr>
            <w:tcW w:w="1100" w:type="dxa"/>
            <w:vAlign w:val="bottom"/>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45"/>
        </w:trPr>
        <w:tc>
          <w:tcPr>
            <w:tcW w:w="7500" w:type="dxa"/>
            <w:vAlign w:val="bottom"/>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7500" w:type="dxa"/>
            <w:vAlign w:val="bottom"/>
          </w:tcPr>
          <w:p>
            <w:pPr>
              <w:ind w:left="520"/>
              <w:spacing w:after="0"/>
              <w:rPr>
                <w:sz w:val="20"/>
                <w:szCs w:val="20"/>
                <w:color w:val="auto"/>
              </w:rPr>
            </w:pPr>
            <w:r>
              <w:rPr>
                <w:rFonts w:ascii="Arial" w:cs="Arial" w:eastAsia="Arial" w:hAnsi="Arial"/>
                <w:sz w:val="14"/>
                <w:szCs w:val="14"/>
                <w:color w:val="auto"/>
              </w:rPr>
              <w:t>Efect of exchange rate changes</w:t>
            </w:r>
          </w:p>
        </w:tc>
        <w:tc>
          <w:tcPr>
            <w:tcW w:w="2260" w:type="dxa"/>
            <w:vAlign w:val="bottom"/>
          </w:tcPr>
          <w:p>
            <w:pPr>
              <w:jc w:val="right"/>
              <w:ind w:right="608"/>
              <w:spacing w:after="0"/>
              <w:rPr>
                <w:sz w:val="20"/>
                <w:szCs w:val="20"/>
                <w:color w:val="auto"/>
              </w:rPr>
            </w:pPr>
            <w:r>
              <w:rPr>
                <w:rFonts w:ascii="Arial" w:cs="Arial" w:eastAsia="Arial" w:hAnsi="Arial"/>
                <w:sz w:val="14"/>
                <w:szCs w:val="14"/>
                <w:color w:val="auto"/>
              </w:rPr>
              <w:t>0.3</w:t>
            </w:r>
          </w:p>
        </w:tc>
        <w:tc>
          <w:tcPr>
            <w:tcW w:w="110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32"/>
        </w:trPr>
        <w:tc>
          <w:tcPr>
            <w:tcW w:w="7500" w:type="dxa"/>
            <w:vAlign w:val="bottom"/>
          </w:tcPr>
          <w:p>
            <w:pPr>
              <w:ind w:left="20"/>
              <w:spacing w:after="0"/>
              <w:rPr>
                <w:sz w:val="20"/>
                <w:szCs w:val="20"/>
                <w:color w:val="auto"/>
              </w:rPr>
            </w:pPr>
            <w:r>
              <w:rPr>
                <w:rFonts w:ascii="Arial" w:cs="Arial" w:eastAsia="Arial" w:hAnsi="Arial"/>
                <w:sz w:val="14"/>
                <w:szCs w:val="14"/>
                <w:b w:val="1"/>
                <w:bCs w:val="1"/>
                <w:color w:val="auto"/>
              </w:rPr>
              <w:t>Net decrease in cash, cash equivalents, restricted cash, cash held in escrow and customer funds</w:t>
            </w:r>
          </w:p>
        </w:tc>
        <w:tc>
          <w:tcPr>
            <w:tcW w:w="2260" w:type="dxa"/>
            <w:vAlign w:val="bottom"/>
          </w:tcPr>
          <w:p>
            <w:pPr>
              <w:jc w:val="right"/>
              <w:ind w:right="608"/>
              <w:spacing w:after="0"/>
              <w:rPr>
                <w:sz w:val="20"/>
                <w:szCs w:val="20"/>
                <w:color w:val="auto"/>
              </w:rPr>
            </w:pPr>
            <w:r>
              <w:rPr>
                <w:rFonts w:ascii="Arial" w:cs="Arial" w:eastAsia="Arial" w:hAnsi="Arial"/>
                <w:sz w:val="14"/>
                <w:szCs w:val="14"/>
                <w:color w:val="auto"/>
              </w:rPr>
              <w:t>(27.6)</w:t>
            </w:r>
          </w:p>
        </w:tc>
        <w:tc>
          <w:tcPr>
            <w:tcW w:w="1100" w:type="dxa"/>
            <w:vAlign w:val="bottom"/>
          </w:tcPr>
          <w:p>
            <w:pPr>
              <w:jc w:val="right"/>
              <w:spacing w:after="0"/>
              <w:rPr>
                <w:sz w:val="20"/>
                <w:szCs w:val="20"/>
                <w:color w:val="auto"/>
              </w:rPr>
            </w:pPr>
            <w:r>
              <w:rPr>
                <w:rFonts w:ascii="Arial" w:cs="Arial" w:eastAsia="Arial" w:hAnsi="Arial"/>
                <w:sz w:val="14"/>
                <w:szCs w:val="14"/>
                <w:color w:val="auto"/>
              </w:rPr>
              <w:t>(228.4)</w:t>
            </w:r>
          </w:p>
        </w:tc>
        <w:tc>
          <w:tcPr>
            <w:tcW w:w="0" w:type="dxa"/>
            <w:vAlign w:val="bottom"/>
          </w:tcPr>
          <w:p>
            <w:pPr>
              <w:spacing w:after="0"/>
              <w:rPr>
                <w:sz w:val="1"/>
                <w:szCs w:val="1"/>
                <w:color w:val="auto"/>
              </w:rPr>
            </w:pPr>
          </w:p>
        </w:tc>
      </w:tr>
      <w:tr>
        <w:trPr>
          <w:trHeight w:val="227"/>
        </w:trPr>
        <w:tc>
          <w:tcPr>
            <w:tcW w:w="7500" w:type="dxa"/>
            <w:vAlign w:val="bottom"/>
          </w:tcPr>
          <w:p>
            <w:pPr>
              <w:ind w:left="20"/>
              <w:spacing w:after="0"/>
              <w:rPr>
                <w:sz w:val="20"/>
                <w:szCs w:val="20"/>
                <w:color w:val="auto"/>
              </w:rPr>
            </w:pPr>
            <w:r>
              <w:rPr>
                <w:rFonts w:ascii="Arial" w:cs="Arial" w:eastAsia="Arial" w:hAnsi="Arial"/>
                <w:sz w:val="14"/>
                <w:szCs w:val="14"/>
                <w:color w:val="auto"/>
              </w:rPr>
              <w:t>Cash, cash equivalents, restricted cash, cash held in escrow and customer funds at the</w:t>
            </w:r>
          </w:p>
        </w:tc>
        <w:tc>
          <w:tcPr>
            <w:tcW w:w="2260" w:type="dxa"/>
            <w:vAlign w:val="bottom"/>
            <w:vMerge w:val="restart"/>
          </w:tcPr>
          <w:p>
            <w:pPr>
              <w:jc w:val="right"/>
              <w:ind w:right="608"/>
              <w:spacing w:after="0"/>
              <w:rPr>
                <w:sz w:val="20"/>
                <w:szCs w:val="20"/>
                <w:color w:val="auto"/>
              </w:rPr>
            </w:pPr>
            <w:r>
              <w:rPr>
                <w:rFonts w:ascii="Arial" w:cs="Arial" w:eastAsia="Arial" w:hAnsi="Arial"/>
                <w:sz w:val="14"/>
                <w:szCs w:val="14"/>
                <w:color w:val="auto"/>
              </w:rPr>
              <w:t>$137.9</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$372.3</w:t>
            </w:r>
          </w:p>
        </w:tc>
        <w:tc>
          <w:tcPr>
            <w:tcW w:w="0" w:type="dxa"/>
            <w:vAlign w:val="bottom"/>
          </w:tcPr>
          <w:p>
            <w:pPr>
              <w:spacing w:after="0"/>
              <w:rPr>
                <w:sz w:val="1"/>
                <w:szCs w:val="1"/>
                <w:color w:val="auto"/>
              </w:rPr>
            </w:pPr>
          </w:p>
        </w:tc>
      </w:tr>
      <w:tr>
        <w:trPr>
          <w:trHeight w:val="189"/>
        </w:trPr>
        <w:tc>
          <w:tcPr>
            <w:tcW w:w="7500" w:type="dxa"/>
            <w:vAlign w:val="bottom"/>
          </w:tcPr>
          <w:p>
            <w:pPr>
              <w:ind w:left="20"/>
              <w:spacing w:after="0"/>
              <w:rPr>
                <w:sz w:val="20"/>
                <w:szCs w:val="20"/>
                <w:color w:val="auto"/>
              </w:rPr>
            </w:pPr>
            <w:r>
              <w:rPr>
                <w:rFonts w:ascii="Arial" w:cs="Arial" w:eastAsia="Arial" w:hAnsi="Arial"/>
                <w:sz w:val="14"/>
                <w:szCs w:val="14"/>
                <w:color w:val="auto"/>
              </w:rPr>
              <w:t>beginning of the period</w:t>
            </w:r>
          </w:p>
        </w:tc>
        <w:tc>
          <w:tcPr>
            <w:tcW w:w="22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7500" w:type="dxa"/>
            <w:vAlign w:val="bottom"/>
            <w:vMerge w:val="restart"/>
          </w:tcPr>
          <w:p>
            <w:pPr>
              <w:ind w:left="20"/>
              <w:spacing w:after="0"/>
              <w:rPr>
                <w:sz w:val="20"/>
                <w:szCs w:val="20"/>
                <w:color w:val="auto"/>
              </w:rPr>
            </w:pPr>
            <w:r>
              <w:rPr>
                <w:rFonts w:ascii="Arial" w:cs="Arial" w:eastAsia="Arial" w:hAnsi="Arial"/>
                <w:sz w:val="14"/>
                <w:szCs w:val="14"/>
                <w:color w:val="auto"/>
              </w:rPr>
              <w:t>Cash, cash equivalents, restricted cash, cash held in escrow and customer funds at the end</w:t>
            </w:r>
          </w:p>
        </w:tc>
        <w:tc>
          <w:tcPr>
            <w:tcW w:w="2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7500" w:type="dxa"/>
            <w:vAlign w:val="bottom"/>
            <w:vMerge w:val="continue"/>
          </w:tcPr>
          <w:p>
            <w:pPr>
              <w:spacing w:after="0"/>
              <w:rPr>
                <w:sz w:val="13"/>
                <w:szCs w:val="13"/>
                <w:color w:val="auto"/>
              </w:rPr>
            </w:pPr>
          </w:p>
        </w:tc>
        <w:tc>
          <w:tcPr>
            <w:tcW w:w="2260" w:type="dxa"/>
            <w:vAlign w:val="bottom"/>
            <w:vMerge w:val="restart"/>
          </w:tcPr>
          <w:p>
            <w:pPr>
              <w:jc w:val="right"/>
              <w:ind w:right="608"/>
              <w:spacing w:after="0"/>
              <w:rPr>
                <w:sz w:val="20"/>
                <w:szCs w:val="20"/>
                <w:color w:val="auto"/>
              </w:rPr>
            </w:pPr>
            <w:r>
              <w:rPr>
                <w:rFonts w:ascii="Arial" w:cs="Arial" w:eastAsia="Arial" w:hAnsi="Arial"/>
                <w:sz w:val="14"/>
                <w:szCs w:val="14"/>
                <w:color w:val="auto"/>
              </w:rPr>
              <w:t>$110.3</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$143.9</w:t>
            </w:r>
          </w:p>
        </w:tc>
        <w:tc>
          <w:tcPr>
            <w:tcW w:w="0" w:type="dxa"/>
            <w:vAlign w:val="bottom"/>
          </w:tcPr>
          <w:p>
            <w:pPr>
              <w:spacing w:after="0"/>
              <w:rPr>
                <w:sz w:val="1"/>
                <w:szCs w:val="1"/>
                <w:color w:val="auto"/>
              </w:rPr>
            </w:pPr>
          </w:p>
        </w:tc>
      </w:tr>
      <w:tr>
        <w:trPr>
          <w:trHeight w:val="182"/>
        </w:trPr>
        <w:tc>
          <w:tcPr>
            <w:tcW w:w="7500" w:type="dxa"/>
            <w:vAlign w:val="bottom"/>
          </w:tcPr>
          <w:p>
            <w:pPr>
              <w:ind w:left="20"/>
              <w:spacing w:after="0"/>
              <w:rPr>
                <w:sz w:val="20"/>
                <w:szCs w:val="20"/>
                <w:color w:val="auto"/>
              </w:rPr>
            </w:pPr>
            <w:r>
              <w:rPr>
                <w:rFonts w:ascii="Arial" w:cs="Arial" w:eastAsia="Arial" w:hAnsi="Arial"/>
                <w:sz w:val="14"/>
                <w:szCs w:val="14"/>
                <w:color w:val="auto"/>
              </w:rPr>
              <w:t>of the period</w:t>
            </w:r>
          </w:p>
        </w:tc>
        <w:tc>
          <w:tcPr>
            <w:tcW w:w="22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750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5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9</w:t>
      </w:r>
    </w:p>
    <w:sectPr>
      <w:pgSz w:w="11900" w:h="16838" w:orient="portrait"/>
      <w:cols w:equalWidth="0" w:num="1">
        <w:col w:w="10880"/>
      </w:cols>
      <w:pgMar w:left="320" w:top="1440" w:right="6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2023-08-10T06:45:35Z</dcterms:created>
  <dcterms:modified xsi:type="dcterms:W3CDTF">2023-08-10T06:45:35Z</dcterms:modified>
</cp:coreProperties>
</file>