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Michael Gavin Constantine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w w:val="96"/>
              </w:rPr>
              <w:t>211,670</w:t>
            </w:r>
            <w:r>
              <w:rPr>
                <w:rFonts w:ascii="Times New Roman" w:cs="Times New Roman" w:eastAsia="Times New Roman" w:hAnsi="Times New Roman"/>
                <w:sz w:val="22"/>
                <w:szCs w:val="22"/>
                <w:color w:val="008000"/>
                <w:w w:val="96"/>
                <w:vertAlign w:val="superscript"/>
              </w:rPr>
              <w:t>(1)</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2,482,960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w w:val="97"/>
              </w:rPr>
              <w:t>37,062</w:t>
            </w:r>
            <w:r>
              <w:rPr>
                <w:rFonts w:ascii="Times New Roman" w:cs="Times New Roman" w:eastAsia="Times New Roman" w:hAnsi="Times New Roman"/>
                <w:sz w:val="22"/>
                <w:szCs w:val="22"/>
                <w:color w:val="008000"/>
                <w:w w:val="97"/>
                <w:vertAlign w:val="superscript"/>
              </w:rPr>
              <w:t>(3)</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2,520,022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ind w:left="48"/>
              <w:spacing w:after="0"/>
              <w:rPr>
                <w:sz w:val="20"/>
                <w:szCs w:val="20"/>
                <w:color w:val="auto"/>
              </w:rPr>
            </w:pPr>
            <w:r>
              <w:rPr>
                <w:rFonts w:ascii="Times New Roman" w:cs="Times New Roman" w:eastAsia="Times New Roman" w:hAnsi="Times New Roman"/>
                <w:sz w:val="17"/>
                <w:szCs w:val="17"/>
                <w:color w:val="0000FF"/>
                <w:w w:val="96"/>
              </w:rPr>
              <w:t>366,188</w:t>
            </w:r>
            <w:r>
              <w:rPr>
                <w:rFonts w:ascii="Times New Roman" w:cs="Times New Roman" w:eastAsia="Times New Roman" w:hAnsi="Times New Roman"/>
                <w:sz w:val="22"/>
                <w:szCs w:val="22"/>
                <w:color w:val="008000"/>
                <w:w w:val="96"/>
                <w:vertAlign w:val="superscript"/>
              </w:rPr>
              <w:t>(4)</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(4)</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2,886,210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96"/>
              </w:rPr>
              <w:t>1,332,456</w:t>
            </w:r>
            <w:r>
              <w:rPr>
                <w:rFonts w:ascii="Times New Roman" w:cs="Times New Roman" w:eastAsia="Times New Roman" w:hAnsi="Times New Roman"/>
                <w:sz w:val="22"/>
                <w:szCs w:val="22"/>
                <w:color w:val="008000"/>
                <w:w w:val="96"/>
                <w:vertAlign w:val="superscript"/>
              </w:rPr>
              <w:t>(5)</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(5)</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4,218,666</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0"/>
          </w:tcPr>
          <w:p>
            <w:pPr>
              <w:jc w:val="center"/>
              <w:ind w:left="2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one-third of performance stock units ("PSUs") granted on 01/21/2022 and the attainment of performance goals.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1,131,800 shares of Class A Common Stock subject to restricted stock units ("RSUs") awards that remain subject to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one-third of PSUs granted on 02/01/2022 and the attainment of performance goals.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PSUs granted on 02/13/2023 and the attainment of performance goals.</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RSUs. Each RSU represents a contingent right to receive one share of the issuer's Class A Common Stock. The RSUs shall vest in two equal annual installments on the first two anniversaries of March 18, 2024,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2,464,256 shares of Class A Common Stock subject to RSUs awards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Gavin</w:t>
      </w:r>
      <w:r>
        <w:rPr>
          <w:sz w:val="20"/>
          <w:szCs w:val="20"/>
          <w:color w:val="auto"/>
        </w:rPr>
        <w:tab/>
      </w:r>
      <w:r>
        <w:rPr>
          <w:rFonts w:ascii="Times New Roman" w:cs="Times New Roman" w:eastAsia="Times New Roman" w:hAnsi="Times New Roman"/>
          <w:sz w:val="17"/>
          <w:szCs w:val="17"/>
          <w:color w:val="0000FF"/>
        </w:rPr>
        <w:t>03/20/2024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Constantine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2024-03-20T20:38:51Z</dcterms:created>
  <dcterms:modified xsi:type="dcterms:W3CDTF">2024-03-20T20:38:51Z</dcterms:modified>
</cp:coreProperties>
</file>