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ind w:left="3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-234315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-613410</wp:posOffset>
            </wp:positionV>
            <wp:extent cx="57785" cy="626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67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-613410</wp:posOffset>
            </wp:positionV>
            <wp:extent cx="57785" cy="626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674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20955</wp:posOffset>
            </wp:positionV>
            <wp:extent cx="6996430" cy="49104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6430" cy="4910455"/>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220" w:space="400"/>
            <w:col w:w="8460"/>
          </w:cols>
          <w:pgMar w:left="460" w:top="215"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D'Annunzio Marc</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77"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Bakkt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BKKT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80" w:type="dxa"/>
            <w:vAlign w:val="bottom"/>
            <w:tcBorders>
              <w:top w:val="single" w:sz="8" w:color="0000EE"/>
            </w:tcBorders>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C/O BAKKT HOLDINGS, INC.</w:t>
            </w:r>
          </w:p>
        </w:tc>
        <w:tc>
          <w:tcPr>
            <w:tcW w:w="1220" w:type="dxa"/>
            <w:vAlign w:val="bottom"/>
          </w:tcPr>
          <w:p>
            <w:pPr>
              <w:spacing w:after="0"/>
              <w:rPr>
                <w:sz w:val="18"/>
                <w:szCs w:val="18"/>
                <w:color w:val="auto"/>
              </w:rPr>
            </w:pPr>
          </w:p>
        </w:tc>
        <w:tc>
          <w:tcPr>
            <w:tcW w:w="18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0000FF"/>
              </w:rPr>
              <w:t>02/03/2023</w:t>
            </w: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3"/>
            <w:vMerge w:val="continue"/>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0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10000 AVALON BOULEVARD, SUITE 1000</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8" w:right="680" w:hanging="8"/>
        <w:spacing w:after="0" w:line="250" w:lineRule="auto"/>
        <w:tabs>
          <w:tab w:leader="none" w:pos="14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0"/>
          <w:szCs w:val="20"/>
          <w:color w:val="auto"/>
        </w:rPr>
      </w:pPr>
    </w:p>
    <w:tbl>
      <w:tblPr>
        <w:tblLayout w:type="fixed"/>
        <w:tblInd w:w="208" w:type="dxa"/>
        <w:tblCellMar>
          <w:top w:w="0" w:type="dxa"/>
          <w:left w:w="0" w:type="dxa"/>
          <w:bottom w:w="0" w:type="dxa"/>
          <w:right w:w="0" w:type="dxa"/>
        </w:tblCellMar>
      </w:tblPr>
      <w:tr>
        <w:trPr>
          <w:trHeight w:val="166"/>
        </w:trPr>
        <w:tc>
          <w:tcPr>
            <w:tcW w:w="2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2"/>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3"/>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628"/>
        <w:spacing w:after="0"/>
        <w:rPr>
          <w:sz w:val="20"/>
          <w:szCs w:val="20"/>
          <w:color w:val="auto"/>
        </w:rPr>
      </w:pPr>
      <w:r>
        <w:rPr>
          <w:rFonts w:ascii="Times New Roman" w:cs="Times New Roman" w:eastAsia="Times New Roman" w:hAnsi="Times New Roman"/>
          <w:sz w:val="16"/>
          <w:szCs w:val="16"/>
          <w:color w:val="0000FF"/>
        </w:rPr>
        <w:t>General Counsel &amp; Secretary</w:t>
      </w:r>
    </w:p>
    <w:p>
      <w:pPr>
        <w:spacing w:after="0" w:line="379" w:lineRule="exact"/>
        <w:rPr>
          <w:sz w:val="20"/>
          <w:szCs w:val="20"/>
          <w:color w:val="auto"/>
        </w:rPr>
      </w:pPr>
    </w:p>
    <w:p>
      <w:pPr>
        <w:sectPr>
          <w:pgSz w:w="11900" w:h="16838" w:orient="portrait"/>
          <w:cols w:equalWidth="0" w:num="2">
            <w:col w:w="7660" w:space="72"/>
            <w:col w:w="3348"/>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3420" w:type="dxa"/>
            <w:vAlign w:val="bottom"/>
            <w:gridSpan w:val="8"/>
          </w:tcPr>
          <w:p>
            <w:pPr>
              <w:jc w:val="center"/>
              <w:spacing w:after="0"/>
              <w:rPr>
                <w:sz w:val="20"/>
                <w:szCs w:val="20"/>
                <w:color w:val="auto"/>
              </w:rPr>
            </w:pPr>
            <w:r>
              <w:rPr>
                <w:rFonts w:ascii="Arial" w:cs="Arial" w:eastAsia="Arial" w:hAnsi="Arial"/>
                <w:sz w:val="13"/>
                <w:szCs w:val="13"/>
                <w:color w:val="auto"/>
                <w:w w:val="96"/>
              </w:rPr>
              <w:t>4. If Amendment, Date of Original Filed (Month/Day/Year)</w:t>
            </w:r>
          </w:p>
        </w:tc>
        <w:tc>
          <w:tcPr>
            <w:tcW w:w="140" w:type="dxa"/>
            <w:vAlign w:val="bottom"/>
          </w:tcPr>
          <w:p>
            <w:pPr>
              <w:spacing w:after="0"/>
              <w:rPr>
                <w:sz w:val="15"/>
                <w:szCs w:val="15"/>
                <w:color w:val="auto"/>
              </w:rPr>
            </w:pP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ind w:left="42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760" w:type="dxa"/>
            <w:vAlign w:val="bottom"/>
            <w:gridSpan w:val="10"/>
            <w:vMerge w:val="restart"/>
          </w:tcPr>
          <w:p>
            <w:pPr>
              <w:ind w:left="62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ALPHARETTA  GA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30009</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76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0" w:type="dxa"/>
            <w:vAlign w:val="bottom"/>
            <w:gridSpan w:val="3"/>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280" w:type="dxa"/>
            <w:vAlign w:val="bottom"/>
            <w:tcBorders>
              <w:bottom w:val="single" w:sz="8" w:color="2C2C2C"/>
            </w:tcBorders>
            <w:gridSpan w:val="10"/>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6"/>
          </w:tcPr>
          <w:p>
            <w:pPr>
              <w:jc w:val="center"/>
              <w:ind w:left="69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80" w:type="dxa"/>
            <w:vAlign w:val="bottom"/>
            <w:tcBorders>
              <w:bottom w:val="single" w:sz="8" w:color="2C2C2C"/>
            </w:tcBorders>
            <w:gridSpan w:val="4"/>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0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0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4"/>
                <w:szCs w:val="14"/>
                <w:color w:val="auto"/>
              </w:rPr>
            </w:pPr>
          </w:p>
        </w:tc>
        <w:tc>
          <w:tcPr>
            <w:tcW w:w="2020" w:type="dxa"/>
            <w:vAlign w:val="bottom"/>
            <w:gridSpan w:val="6"/>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ind w:left="700"/>
              <w:spacing w:after="0"/>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6"/>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60" w:type="dxa"/>
            <w:vAlign w:val="bottom"/>
            <w:gridSpan w:val="3"/>
          </w:tcPr>
          <w:p>
            <w:pPr>
              <w:ind w:left="70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00" w:type="dxa"/>
            <w:vAlign w:val="bottom"/>
          </w:tcPr>
          <w:p>
            <w:pPr>
              <w:spacing w:after="0"/>
              <w:rPr>
                <w:sz w:val="10"/>
                <w:szCs w:val="10"/>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w:t>
            </w:r>
          </w:p>
        </w:tc>
        <w:tc>
          <w:tcPr>
            <w:tcW w:w="300" w:type="dxa"/>
            <w:vAlign w:val="bottom"/>
            <w:vMerge w:val="restart"/>
          </w:tcPr>
          <w:p>
            <w:pPr>
              <w:spacing w:after="0"/>
              <w:rPr>
                <w:sz w:val="20"/>
                <w:szCs w:val="20"/>
                <w:color w:val="auto"/>
              </w:rPr>
            </w:pPr>
            <w:r>
              <w:rPr>
                <w:rFonts w:ascii="Arial" w:cs="Arial" w:eastAsia="Arial" w:hAnsi="Arial"/>
                <w:sz w:val="11"/>
                <w:szCs w:val="11"/>
                <w:b w:val="1"/>
                <w:bCs w:val="1"/>
                <w:color w:val="auto"/>
              </w:rPr>
              <w:t>V</w:t>
            </w:r>
          </w:p>
        </w:tc>
        <w:tc>
          <w:tcPr>
            <w:tcW w:w="5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760" w:type="dxa"/>
            <w:vAlign w:val="bottom"/>
            <w:gridSpan w:val="3"/>
          </w:tcPr>
          <w:p>
            <w:pPr>
              <w:ind w:left="360"/>
              <w:spacing w:after="0"/>
              <w:rPr>
                <w:sz w:val="20"/>
                <w:szCs w:val="20"/>
                <w:color w:val="auto"/>
              </w:rPr>
            </w:pPr>
            <w:r>
              <w:rPr>
                <w:rFonts w:ascii="Arial" w:cs="Arial" w:eastAsia="Arial" w:hAnsi="Arial"/>
                <w:sz w:val="11"/>
                <w:szCs w:val="11"/>
                <w:b w:val="1"/>
                <w:bCs w:val="1"/>
                <w:color w:val="auto"/>
              </w:rPr>
              <w:t>(A) or</w:t>
            </w:r>
          </w:p>
        </w:tc>
        <w:tc>
          <w:tcPr>
            <w:tcW w:w="7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62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1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Borders>
              <w:bottom w:val="single" w:sz="8" w:color="2C2C2C"/>
            </w:tcBorders>
            <w:gridSpan w:val="4"/>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6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6"/>
                <w:szCs w:val="16"/>
                <w:color w:val="0000FF"/>
              </w:rPr>
              <w:t>02/03/2023</w:t>
            </w: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jc w:val="center"/>
              <w:ind w:right="2"/>
              <w:spacing w:after="0"/>
              <w:rPr>
                <w:sz w:val="20"/>
                <w:szCs w:val="20"/>
                <w:color w:val="auto"/>
              </w:rPr>
            </w:pPr>
            <w:r>
              <w:rPr>
                <w:rFonts w:ascii="Times New Roman" w:cs="Times New Roman" w:eastAsia="Times New Roman" w:hAnsi="Times New Roman"/>
                <w:sz w:val="13"/>
                <w:szCs w:val="13"/>
                <w:color w:val="0000FF"/>
              </w:rPr>
              <w:t>F</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right"/>
              <w:ind w:right="241"/>
              <w:spacing w:after="0"/>
              <w:rPr>
                <w:sz w:val="20"/>
                <w:szCs w:val="20"/>
                <w:color w:val="auto"/>
              </w:rPr>
            </w:pPr>
            <w:r>
              <w:rPr>
                <w:rFonts w:ascii="Times New Roman" w:cs="Times New Roman" w:eastAsia="Times New Roman" w:hAnsi="Times New Roman"/>
                <w:sz w:val="16"/>
                <w:szCs w:val="16"/>
                <w:color w:val="0000FF"/>
              </w:rPr>
              <w:t>22,843</w:t>
            </w:r>
            <w:r>
              <w:rPr>
                <w:rFonts w:ascii="Times New Roman" w:cs="Times New Roman" w:eastAsia="Times New Roman" w:hAnsi="Times New Roman"/>
                <w:sz w:val="21"/>
                <w:szCs w:val="21"/>
                <w:color w:val="008000"/>
                <w:vertAlign w:val="superscript"/>
              </w:rPr>
              <w:t>(1)</w:t>
            </w:r>
          </w:p>
        </w:tc>
        <w:tc>
          <w:tcPr>
            <w:tcW w:w="1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73"/>
              <w:spacing w:after="0" w:line="302" w:lineRule="exact"/>
              <w:rPr>
                <w:sz w:val="20"/>
                <w:szCs w:val="20"/>
                <w:color w:val="auto"/>
              </w:rPr>
            </w:pPr>
            <w:r>
              <w:rPr>
                <w:rFonts w:ascii="Arial" w:cs="Arial" w:eastAsia="Arial" w:hAnsi="Arial"/>
                <w:sz w:val="32"/>
                <w:szCs w:val="32"/>
                <w:color w:val="000000"/>
                <w:vertAlign w:val="subscript"/>
              </w:rPr>
              <w:t>$</w:t>
            </w:r>
            <w:r>
              <w:rPr>
                <w:rFonts w:ascii="Times New Roman" w:cs="Times New Roman" w:eastAsia="Times New Roman" w:hAnsi="Times New Roman"/>
                <w:sz w:val="32"/>
                <w:szCs w:val="32"/>
                <w:color w:val="0000FF"/>
                <w:vertAlign w:val="subscript"/>
              </w:rPr>
              <w:t>2</w:t>
            </w:r>
            <w:r>
              <w:rPr>
                <w:rFonts w:ascii="Times New Roman" w:cs="Times New Roman" w:eastAsia="Times New Roman" w:hAnsi="Times New Roman"/>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6"/>
                <w:szCs w:val="16"/>
                <w:color w:val="0000FF"/>
              </w:rPr>
              <w:t>514,648</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6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6"/>
                <w:szCs w:val="16"/>
                <w:color w:val="0000FF"/>
              </w:rPr>
              <w:t>02/06/2023</w:t>
            </w: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jc w:val="center"/>
              <w:ind w:right="2"/>
              <w:spacing w:after="0"/>
              <w:rPr>
                <w:sz w:val="20"/>
                <w:szCs w:val="20"/>
                <w:color w:val="auto"/>
              </w:rPr>
            </w:pPr>
            <w:r>
              <w:rPr>
                <w:rFonts w:ascii="Times New Roman" w:cs="Times New Roman" w:eastAsia="Times New Roman" w:hAnsi="Times New Roman"/>
                <w:sz w:val="13"/>
                <w:szCs w:val="13"/>
                <w:color w:val="0000FF"/>
              </w:rPr>
              <w:t>S</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right"/>
              <w:ind w:right="241"/>
              <w:spacing w:after="0"/>
              <w:rPr>
                <w:sz w:val="20"/>
                <w:szCs w:val="20"/>
                <w:color w:val="auto"/>
              </w:rPr>
            </w:pPr>
            <w:r>
              <w:rPr>
                <w:rFonts w:ascii="Times New Roman" w:cs="Times New Roman" w:eastAsia="Times New Roman" w:hAnsi="Times New Roman"/>
                <w:sz w:val="16"/>
                <w:szCs w:val="16"/>
                <w:color w:val="0000FF"/>
              </w:rPr>
              <w:t>43,157</w:t>
            </w:r>
            <w:r>
              <w:rPr>
                <w:rFonts w:ascii="Times New Roman" w:cs="Times New Roman" w:eastAsia="Times New Roman" w:hAnsi="Times New Roman"/>
                <w:sz w:val="21"/>
                <w:szCs w:val="21"/>
                <w:color w:val="008000"/>
                <w:vertAlign w:val="superscript"/>
              </w:rPr>
              <w:t>(3)</w:t>
            </w:r>
          </w:p>
        </w:tc>
        <w:tc>
          <w:tcPr>
            <w:tcW w:w="1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1.7097</w:t>
            </w:r>
            <w:r>
              <w:rPr>
                <w:rFonts w:ascii="Times New Roman" w:cs="Times New Roman" w:eastAsia="Times New Roman" w:hAnsi="Times New Roman"/>
                <w:sz w:val="21"/>
                <w:szCs w:val="21"/>
                <w:color w:val="008000"/>
                <w:vertAlign w:val="superscript"/>
              </w:rPr>
              <w:t>(4)</w:t>
            </w:r>
          </w:p>
        </w:tc>
        <w:tc>
          <w:tcPr>
            <w:tcW w:w="126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6"/>
                <w:szCs w:val="16"/>
                <w:color w:val="0000FF"/>
              </w:rPr>
              <w:t>471,491</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5"/>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80" w:type="dxa"/>
            <w:vAlign w:val="bottom"/>
            <w:gridSpan w:val="13"/>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4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1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0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520" w:type="dxa"/>
            <w:vAlign w:val="bottom"/>
            <w:gridSpan w:val="5"/>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148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   of</w:t>
            </w:r>
          </w:p>
        </w:tc>
        <w:tc>
          <w:tcPr>
            <w:tcW w:w="100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0"/>
                <w:szCs w:val="10"/>
                <w:color w:val="auto"/>
              </w:rPr>
            </w:pPr>
          </w:p>
        </w:tc>
        <w:tc>
          <w:tcPr>
            <w:tcW w:w="1520" w:type="dxa"/>
            <w:vAlign w:val="bottom"/>
            <w:gridSpan w:val="5"/>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w w:val="98"/>
              </w:rPr>
              <w:t>Code (Instr.</w:t>
            </w: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Derivative</w:t>
            </w:r>
          </w:p>
        </w:tc>
        <w:tc>
          <w:tcPr>
            <w:tcW w:w="100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10"/>
                <w:szCs w:val="10"/>
                <w:color w:val="auto"/>
              </w:rPr>
            </w:pPr>
          </w:p>
        </w:tc>
        <w:tc>
          <w:tcPr>
            <w:tcW w:w="1520" w:type="dxa"/>
            <w:vAlign w:val="bottom"/>
            <w:gridSpan w:val="5"/>
          </w:tcPr>
          <w:p>
            <w:pPr>
              <w:ind w:left="20"/>
              <w:spacing w:after="0"/>
              <w:rPr>
                <w:sz w:val="20"/>
                <w:szCs w:val="20"/>
                <w:color w:val="auto"/>
              </w:rPr>
            </w:pPr>
            <w:r>
              <w:rPr>
                <w:rFonts w:ascii="Arial" w:cs="Arial" w:eastAsia="Arial" w:hAnsi="Arial"/>
                <w:sz w:val="11"/>
                <w:szCs w:val="11"/>
                <w:b w:val="1"/>
                <w:bCs w:val="1"/>
                <w:color w:val="auto"/>
              </w:rPr>
              <w:t>Derivative Security (Instr.</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500" w:type="dxa"/>
            <w:vAlign w:val="bottom"/>
          </w:tcPr>
          <w:p>
            <w:pPr>
              <w:spacing w:after="0"/>
              <w:rPr>
                <w:sz w:val="10"/>
                <w:szCs w:val="10"/>
                <w:color w:val="auto"/>
              </w:rPr>
            </w:pP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Securities</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3 and 4)</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Acquired</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Disposed</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of (D)</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(Instr. 3, 4</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and 5)</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3"/>
          </w:tcPr>
          <w:p>
            <w:pPr>
              <w:spacing w:after="0"/>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(A)   (D)</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3"/>
                <w:szCs w:val="13"/>
                <w:color w:val="auto"/>
              </w:rPr>
            </w:pPr>
          </w:p>
        </w:tc>
        <w:tc>
          <w:tcPr>
            <w:tcW w:w="90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Bakkt</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7"/>
              </w:rPr>
              <w:t>Class A</w:t>
            </w:r>
          </w:p>
        </w:tc>
        <w:tc>
          <w:tcPr>
            <w:tcW w:w="140" w:type="dxa"/>
            <w:vAlign w:val="bottom"/>
          </w:tcPr>
          <w:p>
            <w:pPr>
              <w:spacing w:after="0"/>
              <w:rPr>
                <w:sz w:val="15"/>
                <w:szCs w:val="15"/>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1,304,712</w:t>
            </w:r>
            <w:r>
              <w:rPr>
                <w:rFonts w:ascii="Times New Roman" w:cs="Times New Roman" w:eastAsia="Times New Roman" w:hAnsi="Times New Roman"/>
                <w:sz w:val="21"/>
                <w:szCs w:val="21"/>
                <w:color w:val="008000"/>
                <w:vertAlign w:val="superscript"/>
              </w:rPr>
              <w:t>(5)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1,304,712</w:t>
            </w:r>
            <w:r>
              <w:rPr>
                <w:rFonts w:ascii="Times New Roman" w:cs="Times New Roman" w:eastAsia="Times New Roman" w:hAnsi="Times New Roman"/>
                <w:sz w:val="21"/>
                <w:szCs w:val="21"/>
                <w:color w:val="008000"/>
                <w:vertAlign w:val="superscript"/>
              </w:rPr>
              <w:t>(5)</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Opco</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(6)</w:t>
            </w:r>
          </w:p>
        </w:tc>
        <w:tc>
          <w:tcPr>
            <w:tcW w:w="300" w:type="dxa"/>
            <w:vAlign w:val="bottom"/>
          </w:tcPr>
          <w:p>
            <w:pPr>
              <w:spacing w:after="0"/>
              <w:rPr>
                <w:sz w:val="13"/>
                <w:szCs w:val="13"/>
                <w:color w:val="auto"/>
              </w:rPr>
            </w:pPr>
          </w:p>
        </w:tc>
        <w:tc>
          <w:tcPr>
            <w:tcW w:w="500" w:type="dxa"/>
            <w:vAlign w:val="bottom"/>
          </w:tcPr>
          <w:p>
            <w:pPr>
              <w:jc w:val="right"/>
              <w:ind w:right="255"/>
              <w:spacing w:after="0"/>
              <w:rPr>
                <w:sz w:val="20"/>
                <w:szCs w:val="20"/>
                <w:color w:val="auto"/>
              </w:rPr>
            </w:pPr>
            <w:r>
              <w:rPr>
                <w:rFonts w:ascii="Times New Roman" w:cs="Times New Roman" w:eastAsia="Times New Roman" w:hAnsi="Times New Roman"/>
                <w:sz w:val="11"/>
                <w:szCs w:val="11"/>
                <w:color w:val="008000"/>
              </w:rPr>
              <w:t>(6)</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8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gridSpan w:val="2"/>
          </w:tcPr>
          <w:p>
            <w:pPr>
              <w:ind w:left="60"/>
              <w:spacing w:after="0" w:line="215"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(5)</w:t>
            </w:r>
          </w:p>
        </w:tc>
        <w:tc>
          <w:tcPr>
            <w:tcW w:w="78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08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14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-1905000</wp:posOffset>
            </wp:positionV>
            <wp:extent cx="28575" cy="1910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91071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40" w:right="30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restricted stock units on January 21, 2023, the issuer withheld Class A Common Stock that would otherwise have been issued to the reporting person to satisfy such person's tax withholding obligations. The number of shares withheld was determined based on the closing price per share of Class A Common Stock on January 20, 2023.</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471,491 shares of Class A Common Stock subject to restricted stock units that remain subject to vesting.</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were effectuated pursuant to a Rule 10b5-1 trading plan adopted by the reporting person on 12/05/2022.</w:t>
      </w:r>
    </w:p>
    <w:p>
      <w:pPr>
        <w:spacing w:after="0" w:line="40" w:lineRule="exact"/>
        <w:rPr>
          <w:rFonts w:ascii="Times New Roman" w:cs="Times New Roman" w:eastAsia="Times New Roman" w:hAnsi="Times New Roman"/>
          <w:sz w:val="13"/>
          <w:szCs w:val="13"/>
          <w:color w:val="008000"/>
        </w:rPr>
      </w:pPr>
    </w:p>
    <w:p>
      <w:pPr>
        <w:ind w:left="40" w:right="16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weighted-average price. These shares were sold in multiple transactions at prices ranging from $1.65 to $1.76, inclusive. For all transactions reported in this Form 4 utilizing a weighted-average price, the reporting person will provide to the issuer, any security holder of the issuer, or the SEC staff, upon request, information regarding the number of shares sold at each price within the range.</w:t>
      </w:r>
    </w:p>
    <w:p>
      <w:pPr>
        <w:spacing w:after="0" w:line="20" w:lineRule="exact"/>
        <w:rPr>
          <w:rFonts w:ascii="Times New Roman" w:cs="Times New Roman" w:eastAsia="Times New Roman" w:hAnsi="Times New Roman"/>
          <w:sz w:val="13"/>
          <w:szCs w:val="13"/>
          <w:color w:val="008000"/>
        </w:rPr>
      </w:pPr>
    </w:p>
    <w:p>
      <w:pPr>
        <w:ind w:left="40" w:right="34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incentive units of Bakkt Management LLC, which units are, subject to certain limitations, redeemable at the request of the reporting person in exchange for the indicated number of common units of Bakkt Opco Holdings, LLC "(Bakkt Opco Units") and an equal number of shares of the issuer's Class V Common Stock.</w:t>
      </w:r>
    </w:p>
    <w:p>
      <w:pPr>
        <w:spacing w:after="0" w:line="20" w:lineRule="exact"/>
        <w:rPr>
          <w:rFonts w:ascii="Times New Roman" w:cs="Times New Roman" w:eastAsia="Times New Roman" w:hAnsi="Times New Roman"/>
          <w:sz w:val="13"/>
          <w:szCs w:val="13"/>
          <w:color w:val="008000"/>
        </w:rPr>
      </w:pPr>
    </w:p>
    <w:p>
      <w:pPr>
        <w:ind w:left="40" w:right="32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an Amended and Restated Exchange Agreement dated as of May 3, 2022, subject to certain conditions, Bakkt Opco Units together with an equal number of shares of the issuer's Class V Common Stock, are exchangeable by the Reporting Person for shares of the issuer's Class A Common Stock on a one-for-one basis.</w:t>
      </w:r>
    </w:p>
    <w:p>
      <w:pPr>
        <w:spacing w:after="0" w:line="39"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0000FF"/>
              </w:rPr>
              <w:t>/s/ Marc D'Annunzio</w:t>
            </w:r>
          </w:p>
        </w:tc>
        <w:tc>
          <w:tcPr>
            <w:tcW w:w="64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0000FF"/>
                <w:w w:val="98"/>
              </w:rPr>
              <w:t>02/06/2023</w:t>
            </w:r>
          </w:p>
        </w:tc>
      </w:tr>
      <w:tr>
        <w:trPr>
          <w:trHeight w:val="20"/>
        </w:trPr>
        <w:tc>
          <w:tcPr>
            <w:tcW w:w="13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40" w:right="376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1559"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2023-02-06T18:12:09Z</dcterms:created>
  <dcterms:modified xsi:type="dcterms:W3CDTF">2023-02-06T18:12:09Z</dcterms:modified>
</cp:coreProperties>
</file>