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92710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248920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BAKKT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16"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98-1550750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10000 Avalon Boulevard, Suite 1000</w:t>
            </w:r>
          </w:p>
        </w:tc>
        <w:tc>
          <w:tcPr>
            <w:tcW w:w="2560" w:type="dxa"/>
            <w:vAlign w:val="bottom"/>
          </w:tcPr>
          <w:p>
            <w:pPr>
              <w:spacing w:after="0"/>
              <w:rPr>
                <w:sz w:val="18"/>
                <w:szCs w:val="18"/>
                <w:color w:val="auto"/>
              </w:rPr>
            </w:pPr>
          </w:p>
        </w:tc>
      </w:tr>
      <w:tr>
        <w:trPr>
          <w:trHeight w:val="257"/>
        </w:trPr>
        <w:tc>
          <w:tcPr>
            <w:tcW w:w="47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Alpharetta, Georgia</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30009</w:t>
            </w:r>
          </w:p>
        </w:tc>
      </w:tr>
      <w:tr>
        <w:trPr>
          <w:trHeight w:val="164"/>
        </w:trPr>
        <w:tc>
          <w:tcPr>
            <w:tcW w:w="472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60" w:type="dxa"/>
            <w:vAlign w:val="bottom"/>
          </w:tcPr>
          <w:p>
            <w:pPr>
              <w:jc w:val="center"/>
              <w:ind w:left="1904"/>
              <w:spacing w:after="0"/>
              <w:rPr>
                <w:sz w:val="20"/>
                <w:szCs w:val="20"/>
                <w:color w:val="auto"/>
              </w:rPr>
            </w:pPr>
            <w:r>
              <w:rPr>
                <w:rFonts w:ascii="Arial" w:cs="Arial" w:eastAsia="Arial" w:hAnsi="Arial"/>
                <w:sz w:val="13"/>
                <w:szCs w:val="13"/>
                <w:b w:val="1"/>
                <w:bCs w:val="1"/>
                <w:color w:val="auto"/>
                <w:w w:val="90"/>
              </w:rPr>
              <w:t>(Zip Code)</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85725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800" w:type="dxa"/>
            <w:vAlign w:val="bottom"/>
            <w:gridSpan w:val="2"/>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Trading Symbol (s)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r>
        <w:trPr>
          <w:trHeight w:val="193"/>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BKKT WS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bl>
    <w:p>
      <w:pPr>
        <w:spacing w:after="0" w:line="164" w:lineRule="exact"/>
        <w:rPr>
          <w:sz w:val="24"/>
          <w:szCs w:val="24"/>
          <w:color w:val="auto"/>
        </w:rPr>
      </w:pPr>
    </w:p>
    <w:p>
      <w:pPr>
        <w:jc w:val="both"/>
        <w:ind w:firstLine="518"/>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80" w:firstLine="518"/>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300" w:firstLine="518"/>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4" w:lineRule="exact"/>
        <w:rPr>
          <w:sz w:val="24"/>
          <w:szCs w:val="24"/>
          <w:color w:val="auto"/>
        </w:rPr>
      </w:pPr>
    </w:p>
    <w:p>
      <w:pPr>
        <w:ind w:right="60" w:firstLine="518"/>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280" w:firstLine="518"/>
        <w:spacing w:after="0"/>
        <w:rPr>
          <w:sz w:val="20"/>
          <w:szCs w:val="20"/>
          <w:color w:val="auto"/>
        </w:rPr>
      </w:pPr>
      <w:r>
        <w:rPr>
          <w:rFonts w:ascii="Arial" w:cs="Arial" w:eastAsia="Arial" w:hAnsi="Arial"/>
          <w:sz w:val="16"/>
          <w:szCs w:val="16"/>
          <w:color w:val="auto"/>
        </w:rPr>
        <w:t>As of November 10, 2023, there were 91,429,477 shares of the registrant’s Class A common stock, 183,234,872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81280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21"/>
            <w:vMerge w:val="restart"/>
          </w:tcPr>
          <w:p>
            <w:pPr>
              <w:spacing w:after="0"/>
              <w:rPr>
                <w:sz w:val="20"/>
                <w:szCs w:val="20"/>
                <w:color w:val="auto"/>
              </w:rPr>
            </w:pPr>
            <w:r>
              <w:rPr>
                <w:rFonts w:ascii="Arial" w:cs="Arial" w:eastAsia="Arial" w:hAnsi="Arial"/>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9"/>
          </w:tcPr>
          <w:p>
            <w:pPr>
              <w:spacing w:after="0"/>
              <w:rPr>
                <w:sz w:val="20"/>
                <w:szCs w:val="20"/>
                <w:color w:val="auto"/>
              </w:rPr>
            </w:pPr>
            <w:r>
              <w:rPr>
                <w:rFonts w:ascii="Arial" w:cs="Arial" w:eastAsia="Arial" w:hAnsi="Arial"/>
                <w:sz w:val="18"/>
                <w:szCs w:val="18"/>
                <w:color w:val="0E32E1"/>
                <w:w w:val="88"/>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13"/>
          </w:tcPr>
          <w:p>
            <w:pPr>
              <w:spacing w:after="0"/>
              <w:rPr>
                <w:sz w:val="20"/>
                <w:szCs w:val="20"/>
                <w:color w:val="auto"/>
              </w:rPr>
            </w:pPr>
            <w:r>
              <w:rPr>
                <w:rFonts w:ascii="Arial" w:cs="Arial" w:eastAsia="Arial" w:hAnsi="Arial"/>
                <w:sz w:val="18"/>
                <w:szCs w:val="18"/>
                <w:color w:val="0E32E1"/>
                <w:w w:val="89"/>
              </w:rPr>
              <w:t>Consolidated Statements of Cash Flows</w:t>
            </w:r>
          </w:p>
        </w:tc>
        <w:tc>
          <w:tcPr>
            <w:tcW w:w="1520" w:type="dxa"/>
            <w:vAlign w:val="bottom"/>
            <w:tcBorders>
              <w:top w:val="single" w:sz="8" w:color="0E32E1"/>
            </w:tcBorders>
            <w:gridSpan w:val="5"/>
          </w:tcPr>
          <w:p>
            <w:pPr>
              <w:spacing w:after="0"/>
              <w:rPr>
                <w:sz w:val="18"/>
                <w:szCs w:val="18"/>
                <w:color w:val="auto"/>
              </w:rPr>
            </w:pPr>
          </w:p>
        </w:tc>
        <w:tc>
          <w:tcPr>
            <w:tcW w:w="482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960" w:type="dxa"/>
            <w:vAlign w:val="bottom"/>
            <w:tcBorders>
              <w:bottom w:val="single" w:sz="8" w:color="0E32E1"/>
            </w:tcBorders>
            <w:gridSpan w:val="16"/>
          </w:tcPr>
          <w:p>
            <w:pPr>
              <w:spacing w:after="0"/>
              <w:rPr>
                <w:sz w:val="20"/>
                <w:szCs w:val="20"/>
                <w:color w:val="auto"/>
              </w:rPr>
            </w:pPr>
            <w:r>
              <w:rPr>
                <w:rFonts w:ascii="Arial" w:cs="Arial" w:eastAsia="Arial" w:hAnsi="Arial"/>
                <w:sz w:val="18"/>
                <w:szCs w:val="18"/>
                <w:color w:val="0E32E1"/>
                <w:w w:val="90"/>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21"/>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E32E1"/>
            </w:tcBorders>
            <w:gridSpan w:val="19"/>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27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top w:val="single" w:sz="8" w:color="0E32E1"/>
              <w:bottom w:val="single" w:sz="8" w:color="0E32E1"/>
            </w:tcBorders>
            <w:gridSpan w:val="7"/>
          </w:tcPr>
          <w:p>
            <w:pPr>
              <w:spacing w:after="0"/>
              <w:rPr>
                <w:sz w:val="20"/>
                <w:szCs w:val="20"/>
                <w:color w:val="auto"/>
              </w:rPr>
            </w:pPr>
            <w:r>
              <w:rPr>
                <w:rFonts w:ascii="Arial" w:cs="Arial" w:eastAsia="Arial" w:hAnsi="Arial"/>
                <w:sz w:val="18"/>
                <w:szCs w:val="18"/>
                <w:color w:val="0E32E1"/>
                <w:w w:val="89"/>
              </w:rPr>
              <w:t>Controls and Procedures</w:t>
            </w:r>
          </w:p>
        </w:tc>
        <w:tc>
          <w:tcPr>
            <w:tcW w:w="2560" w:type="dxa"/>
            <w:vAlign w:val="bottom"/>
            <w:tcBorders>
              <w:top w:val="single" w:sz="8" w:color="0E32E1"/>
            </w:tcBorders>
            <w:gridSpan w:val="10"/>
          </w:tcPr>
          <w:p>
            <w:pPr>
              <w:spacing w:after="0"/>
              <w:rPr>
                <w:sz w:val="18"/>
                <w:szCs w:val="18"/>
                <w:color w:val="auto"/>
              </w:rPr>
            </w:pP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E32E1"/>
            </w:tcBorders>
            <w:gridSpan w:val="8"/>
          </w:tcPr>
          <w:p>
            <w:pPr>
              <w:spacing w:after="0"/>
              <w:rPr>
                <w:sz w:val="20"/>
                <w:szCs w:val="20"/>
                <w:color w:val="auto"/>
              </w:rPr>
            </w:pPr>
            <w:r>
              <w:rPr>
                <w:rFonts w:ascii="Arial" w:cs="Arial" w:eastAsia="Arial" w:hAnsi="Arial"/>
                <w:sz w:val="18"/>
                <w:szCs w:val="18"/>
                <w:color w:val="0E32E1"/>
                <w:w w:val="96"/>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1"/>
          </w:tcPr>
          <w:p>
            <w:pPr>
              <w:spacing w:after="0"/>
              <w:rPr>
                <w:sz w:val="20"/>
                <w:szCs w:val="20"/>
                <w:color w:val="auto"/>
              </w:rPr>
            </w:pPr>
            <w:r>
              <w:rPr>
                <w:rFonts w:ascii="Arial" w:cs="Arial" w:eastAsia="Arial" w:hAnsi="Arial"/>
                <w:sz w:val="18"/>
                <w:szCs w:val="18"/>
                <w:color w:val="0E32E1"/>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E32E1"/>
              <w:bottom w:val="single" w:sz="8" w:color="0E32E1"/>
            </w:tcBorders>
            <w:gridSpan w:val="3"/>
          </w:tcPr>
          <w:p>
            <w:pPr>
              <w:spacing w:after="0"/>
              <w:rPr>
                <w:sz w:val="20"/>
                <w:szCs w:val="20"/>
                <w:color w:val="auto"/>
              </w:rPr>
            </w:pPr>
            <w:r>
              <w:rPr>
                <w:rFonts w:ascii="Arial" w:cs="Arial" w:eastAsia="Arial" w:hAnsi="Arial"/>
                <w:sz w:val="18"/>
                <w:szCs w:val="18"/>
                <w:color w:val="0E32E1"/>
                <w:w w:val="8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160" w:type="dxa"/>
            <w:vAlign w:val="bottom"/>
            <w:tcBorders>
              <w:bottom w:val="single" w:sz="8" w:color="0E32E1"/>
            </w:tcBorders>
            <w:gridSpan w:val="20"/>
          </w:tcPr>
          <w:p>
            <w:pPr>
              <w:spacing w:after="0"/>
              <w:rPr>
                <w:sz w:val="20"/>
                <w:szCs w:val="20"/>
                <w:color w:val="auto"/>
              </w:rPr>
            </w:pPr>
            <w:r>
              <w:rPr>
                <w:rFonts w:ascii="Arial" w:cs="Arial" w:eastAsia="Arial" w:hAnsi="Arial"/>
                <w:sz w:val="18"/>
                <w:szCs w:val="18"/>
                <w:color w:val="0E32E1"/>
                <w:w w:val="89"/>
              </w:rPr>
              <w:t>Unregistered Sales of Equity Securities, Use of Proceeds, and Issuer Purchases of Equity Securities</w:t>
            </w:r>
          </w:p>
        </w:tc>
        <w:tc>
          <w:tcPr>
            <w:tcW w:w="20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E32E1"/>
            </w:tcBorders>
            <w:gridSpan w:val="11"/>
          </w:tcPr>
          <w:p>
            <w:pPr>
              <w:spacing w:after="0"/>
              <w:rPr>
                <w:sz w:val="20"/>
                <w:szCs w:val="20"/>
                <w:color w:val="auto"/>
              </w:rPr>
            </w:pPr>
            <w:r>
              <w:rPr>
                <w:rFonts w:ascii="Arial" w:cs="Arial" w:eastAsia="Arial" w:hAnsi="Arial"/>
                <w:sz w:val="18"/>
                <w:szCs w:val="18"/>
                <w:color w:val="0E32E1"/>
                <w:w w:val="90"/>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E32E1"/>
            </w:tcBorders>
            <w:gridSpan w:val="6"/>
          </w:tcPr>
          <w:p>
            <w:pPr>
              <w:spacing w:after="0"/>
              <w:rPr>
                <w:sz w:val="20"/>
                <w:szCs w:val="20"/>
                <w:color w:val="auto"/>
              </w:rPr>
            </w:pPr>
            <w:r>
              <w:rPr>
                <w:rFonts w:ascii="Arial" w:cs="Arial" w:eastAsia="Arial" w:hAnsi="Arial"/>
                <w:sz w:val="18"/>
                <w:szCs w:val="18"/>
                <w:color w:val="0E32E1"/>
                <w:w w:val="91"/>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1"/>
          </w:tcPr>
          <w:p>
            <w:pPr>
              <w:spacing w:after="0"/>
              <w:rPr>
                <w:sz w:val="20"/>
                <w:szCs w:val="20"/>
                <w:color w:val="auto"/>
              </w:rPr>
            </w:pPr>
            <w:r>
              <w:rPr>
                <w:rFonts w:ascii="Arial" w:cs="Arial" w:eastAsia="Arial" w:hAnsi="Arial"/>
                <w:sz w:val="18"/>
                <w:szCs w:val="18"/>
                <w:color w:val="0E32E1"/>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Arial" w:cs="Arial" w:eastAsia="Arial" w:hAnsi="Arial"/>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Signatures</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05" w:lineRule="exact"/>
        <w:rPr>
          <w:sz w:val="20"/>
          <w:szCs w:val="20"/>
          <w:color w:val="auto"/>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future financial performance;</w:t>
      </w:r>
    </w:p>
    <w:p>
      <w:pPr>
        <w:spacing w:after="0" w:line="157"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changes in the market for our products and services;</w:t>
      </w:r>
    </w:p>
    <w:p>
      <w:pPr>
        <w:spacing w:after="0" w:line="144"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expected impacts from our acquisition of Apex Crypto LLC, which we have since renamed Bakkt Crypto Solutions, LLC ("Bakkt Crypto");</w:t>
      </w:r>
    </w:p>
    <w:p>
      <w:pPr>
        <w:spacing w:after="0" w:line="72" w:lineRule="exact"/>
        <w:rPr>
          <w:rFonts w:ascii="Arial" w:cs="Arial" w:eastAsia="Arial" w:hAnsi="Arial"/>
          <w:sz w:val="16"/>
          <w:szCs w:val="16"/>
          <w:color w:val="231F20"/>
        </w:rPr>
      </w:pPr>
    </w:p>
    <w:p>
      <w:pPr>
        <w:ind w:left="540"/>
        <w:spacing w:after="0"/>
        <w:rPr>
          <w:rFonts w:ascii="Arial" w:cs="Arial" w:eastAsia="Arial" w:hAnsi="Arial"/>
          <w:sz w:val="16"/>
          <w:szCs w:val="16"/>
          <w:color w:val="231F20"/>
        </w:rPr>
      </w:pPr>
      <w:r>
        <w:rPr>
          <w:rFonts w:ascii="Arial" w:cs="Arial" w:eastAsia="Arial" w:hAnsi="Arial"/>
          <w:sz w:val="18"/>
          <w:szCs w:val="18"/>
          <w:color w:val="231F20"/>
        </w:rPr>
        <w:t>and</w:t>
      </w:r>
    </w:p>
    <w:p>
      <w:pPr>
        <w:spacing w:after="0" w:line="144" w:lineRule="exact"/>
        <w:rPr>
          <w:rFonts w:ascii="Arial" w:cs="Arial" w:eastAsia="Arial" w:hAnsi="Arial"/>
          <w:sz w:val="16"/>
          <w:szCs w:val="16"/>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expansion plans and opportunities. including our plans to expand to international markets.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 xml:space="preserve">These forward-looking statements are based on information available as of the date of this </w:t>
      </w:r>
      <w:r>
        <w:rPr>
          <w:rFonts w:ascii="Arial" w:cs="Arial" w:eastAsia="Arial" w:hAnsi="Arial"/>
          <w:sz w:val="18"/>
          <w:szCs w:val="18"/>
          <w:color w:val="000000"/>
        </w:rPr>
        <w:t>Report</w:t>
      </w:r>
      <w:r>
        <w:rPr>
          <w:rFonts w:ascii="Arial" w:cs="Arial" w:eastAsia="Arial" w:hAnsi="Arial"/>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2" w:lineRule="exact"/>
        <w:rPr>
          <w:sz w:val="20"/>
          <w:szCs w:val="20"/>
          <w:color w:val="auto"/>
        </w:rPr>
      </w:pPr>
    </w:p>
    <w:p>
      <w:pPr>
        <w:jc w:val="both"/>
        <w:ind w:right="40" w:firstLine="648"/>
        <w:spacing w:after="0" w:line="336" w:lineRule="auto"/>
        <w:rPr>
          <w:sz w:val="20"/>
          <w:szCs w:val="20"/>
          <w:color w:val="auto"/>
        </w:rPr>
      </w:pPr>
      <w:r>
        <w:rPr>
          <w:rFonts w:ascii="Arial" w:cs="Arial" w:eastAsia="Arial" w:hAnsi="Arial"/>
          <w:sz w:val="17"/>
          <w:szCs w:val="17"/>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43"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business strategy;</w:t>
      </w:r>
    </w:p>
    <w:p>
      <w:pPr>
        <w:spacing w:after="0" w:line="144" w:lineRule="exact"/>
        <w:rPr>
          <w:rFonts w:ascii="Arial" w:cs="Arial" w:eastAsia="Arial" w:hAnsi="Arial"/>
          <w:sz w:val="18"/>
          <w:szCs w:val="18"/>
          <w:color w:val="auto"/>
        </w:rPr>
      </w:pPr>
    </w:p>
    <w:p>
      <w:pPr>
        <w:ind w:left="820" w:hanging="326"/>
        <w:spacing w:after="0" w:line="324"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in which we compete, including with respect to our competitive landscape, technology evolution or changes in applicable laws or regulations;</w:t>
      </w:r>
    </w:p>
    <w:p>
      <w:pPr>
        <w:spacing w:after="0" w:line="48"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in the crypto market that subject us to additional risks, including the risk that banks may not provide banking services to us;</w:t>
      </w:r>
    </w:p>
    <w:p>
      <w:pPr>
        <w:spacing w:after="0" w:line="155" w:lineRule="exact"/>
        <w:rPr>
          <w:rFonts w:ascii="Arial" w:cs="Arial" w:eastAsia="Arial" w:hAnsi="Arial"/>
          <w:sz w:val="17"/>
          <w:szCs w:val="17"/>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57" w:lineRule="exact"/>
        <w:rPr>
          <w:rFonts w:ascii="Arial" w:cs="Arial" w:eastAsia="Arial" w:hAnsi="Arial"/>
          <w:sz w:val="18"/>
          <w:szCs w:val="18"/>
          <w:color w:val="auto"/>
        </w:rPr>
      </w:pPr>
    </w:p>
    <w:p>
      <w:pPr>
        <w:ind w:left="820" w:hanging="326"/>
        <w:spacing w:after="0" w:line="308"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launch new services and products or to profitably expand into new markets and services, or the inability to continue offering existing services or products;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execute our growth strategies, including identifying and executing acquisitions and our initiatives to add new clients;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expected benefits from the acquisition of Bakkt Crypto;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extensive government regulation, oversight, licensure and appraisals;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 regulatory regime governing blockchain technologies and crypto;</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 and procedures;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exposure to any liability, protracted and costly litigation or reputational damage relating to our data security;</w:t>
      </w:r>
    </w:p>
    <w:p>
      <w:pPr>
        <w:spacing w:after="0" w:line="167" w:lineRule="exact"/>
        <w:rPr>
          <w:rFonts w:ascii="Arial" w:cs="Arial" w:eastAsia="Arial" w:hAnsi="Arial"/>
          <w:sz w:val="16"/>
          <w:szCs w:val="16"/>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goodwill or other intangible assets impairments on our operating results;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pandemics or other public health emergencies;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other risks and uncertainties indicated in this Report, including those set forth under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9"/>
        </w:trPr>
        <w:tc>
          <w:tcPr>
            <w:tcW w:w="7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2"/>
                <w:szCs w:val="12"/>
                <w:color w:val="auto"/>
              </w:rPr>
            </w:pPr>
          </w:p>
        </w:tc>
        <w:tc>
          <w:tcPr>
            <w:tcW w:w="1520" w:type="dxa"/>
            <w:vAlign w:val="bottom"/>
          </w:tcPr>
          <w:p>
            <w:pPr>
              <w:jc w:val="right"/>
              <w:ind w:right="188"/>
              <w:spacing w:after="0" w:line="139" w:lineRule="exact"/>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98,332</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28,262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Available-for-sale securities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22,678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141,062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Prepaid insurance</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22,822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asset for crypto</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505,697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7,329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694,157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326,465</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20,508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19,744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41,738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55,833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clearinghouse</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15,150</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23,672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22,458</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846,734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49,192</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66,787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 payable</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4,370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related party</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Safeguarding obligation for crypto</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505,697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76"/>
        </w:trPr>
        <w:tc>
          <w:tcPr>
            <w:tcW w:w="774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593,555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92,129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0" w:type="dxa"/>
            <w:vAlign w:val="bottom"/>
          </w:tcPr>
          <w:p>
            <w:pPr>
              <w:spacing w:after="0"/>
              <w:rPr>
                <w:sz w:val="1"/>
                <w:szCs w:val="1"/>
                <w:color w:val="auto"/>
              </w:rPr>
            </w:pPr>
          </w:p>
        </w:tc>
      </w:tr>
      <w:tr>
        <w:trPr>
          <w:trHeight w:val="176"/>
        </w:trPr>
        <w:tc>
          <w:tcPr>
            <w:tcW w:w="774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635,659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119,428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Arial" w:cs="Arial" w:eastAsia="Arial" w:hAnsi="Arial"/>
                <w:sz w:val="14"/>
                <w:szCs w:val="14"/>
                <w:color w:val="auto"/>
              </w:rPr>
              <w:t>Class A common stock ($0.0001 par value, 750,000,000 shares authorized, 91,414,923 shares</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40" w:type="dxa"/>
            <w:vAlign w:val="bottom"/>
          </w:tcPr>
          <w:p>
            <w:pPr>
              <w:ind w:left="20"/>
              <w:spacing w:after="0" w:line="143" w:lineRule="exact"/>
              <w:rPr>
                <w:sz w:val="20"/>
                <w:szCs w:val="20"/>
                <w:color w:val="auto"/>
              </w:rPr>
            </w:pPr>
            <w:r>
              <w:rPr>
                <w:rFonts w:ascii="Arial" w:cs="Arial" w:eastAsia="Arial" w:hAnsi="Arial"/>
                <w:sz w:val="14"/>
                <w:szCs w:val="14"/>
                <w:color w:val="auto"/>
              </w:rPr>
              <w:t>issued and outstanding as of September 30, 2023 and 80,926,843 shares issued and outstanding</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Class V common stock ($0.0001 par value, 250,000,000 shares authorized, 183,249,426 shares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issued and outstanding as of September 30, 2023 and 183,482,777 shares issued and outstanding</w:t>
            </w: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794,199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772,973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(724,602)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(676,447)</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96,263</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141,743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239,811</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211,075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336,074</w:t>
            </w: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846,734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19"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r>
      <w:tr>
        <w:trPr>
          <w:trHeight w:val="210"/>
        </w:trPr>
        <w:tc>
          <w:tcPr>
            <w:tcW w:w="490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r>
      <w:tr>
        <w:trPr>
          <w:trHeight w:val="199"/>
        </w:trPr>
        <w:tc>
          <w:tcPr>
            <w:tcW w:w="4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Crypto services</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Loyalty services, net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38,852</w:t>
            </w:r>
          </w:p>
        </w:tc>
      </w:tr>
      <w:tr>
        <w:trPr>
          <w:trHeight w:val="213"/>
        </w:trPr>
        <w:tc>
          <w:tcPr>
            <w:tcW w:w="4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40,316</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Crypto costs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Execution, clearing and brokerage fees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107,135</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9,291</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communication</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26,995</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18,340</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expenses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Goodwill and intangible assets impairments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1,547,711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1,547,711</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Restructuring expenses</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7"/>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257,634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1,608,114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1,727,253</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(1,594,901)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(149,396)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(1,686,937)</w:t>
            </w:r>
          </w:p>
        </w:tc>
      </w:tr>
      <w:tr>
        <w:trPr>
          <w:trHeight w:val="206"/>
        </w:trPr>
        <w:tc>
          <w:tcPr>
            <w:tcW w:w="4900" w:type="dxa"/>
            <w:vAlign w:val="bottom"/>
          </w:tcPr>
          <w:p>
            <w:pPr>
              <w:ind w:left="240"/>
              <w:spacing w:after="0"/>
              <w:rPr>
                <w:sz w:val="20"/>
                <w:szCs w:val="20"/>
                <w:color w:val="auto"/>
              </w:rPr>
            </w:pPr>
            <w:r>
              <w:rPr>
                <w:rFonts w:ascii="Arial" w:cs="Arial" w:eastAsia="Arial" w:hAnsi="Arial"/>
                <w:sz w:val="16"/>
                <w:szCs w:val="16"/>
                <w:color w:val="auto"/>
              </w:rPr>
              <w:t>Interest income, net</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gain from change in fair value of warrant liability</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13,139</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(1,672,353)</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(expense) benefit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8,844</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(1,592,548)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(1,663,509)</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(1,124,416)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(98,964)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(1,184,352)</w:t>
            </w: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(468,132)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(479,157)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Comprehensive Loss</w:t>
      </w:r>
    </w:p>
    <w:p>
      <w:pPr>
        <w:jc w:val="center"/>
        <w:spacing w:after="0" w:line="203" w:lineRule="auto"/>
        <w:rPr>
          <w:sz w:val="20"/>
          <w:szCs w:val="20"/>
          <w:color w:val="auto"/>
        </w:rPr>
      </w:pPr>
      <w:r>
        <w:rPr>
          <w:rFonts w:ascii="Arial" w:cs="Arial" w:eastAsia="Arial" w:hAnsi="Arial"/>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r>
      <w:tr>
        <w:trPr>
          <w:trHeight w:val="213"/>
        </w:trPr>
        <w:tc>
          <w:tcPr>
            <w:tcW w:w="488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(51,749)</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(1,592,548)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(1,663,509)</w:t>
            </w:r>
          </w:p>
        </w:tc>
      </w:tr>
      <w:tr>
        <w:trPr>
          <w:trHeight w:val="213"/>
        </w:trPr>
        <w:tc>
          <w:tcPr>
            <w:tcW w:w="4880" w:type="dxa"/>
            <w:vAlign w:val="bottom"/>
          </w:tcPr>
          <w:p>
            <w:pPr>
              <w:ind w:left="140"/>
              <w:spacing w:after="0"/>
              <w:rPr>
                <w:sz w:val="20"/>
                <w:szCs w:val="20"/>
                <w:color w:val="auto"/>
              </w:rPr>
            </w:pPr>
            <w:r>
              <w:rPr>
                <w:rFonts w:ascii="Arial" w:cs="Arial" w:eastAsia="Arial" w:hAnsi="Arial"/>
                <w:sz w:val="16"/>
                <w:szCs w:val="16"/>
                <w:color w:val="auto"/>
              </w:rPr>
              <w:t>Currency translation adjustment, net of tax</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19"/>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Unrealized gains (losses) on available-for-sale securities,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(52,130)</w:t>
            </w:r>
          </w:p>
        </w:tc>
        <w:tc>
          <w:tcPr>
            <w:tcW w:w="8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(1,593,490)</w:t>
            </w:r>
          </w:p>
        </w:tc>
        <w:tc>
          <w:tcPr>
            <w:tcW w:w="8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(147,135)</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(1,664,658)</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(1,125,081)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(1,185,157)</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(17,461)</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(468,409)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(479,501)</w:t>
            </w:r>
          </w:p>
        </w:tc>
      </w:tr>
      <w:tr>
        <w:trPr>
          <w:trHeight w:val="21"/>
        </w:trPr>
        <w:tc>
          <w:tcPr>
            <w:tcW w:w="4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Changes in Stockholders’ Equity</w:t>
      </w:r>
    </w:p>
    <w:p>
      <w:pPr>
        <w:jc w:val="center"/>
        <w:spacing w:after="0" w:line="203" w:lineRule="auto"/>
        <w:rPr>
          <w:sz w:val="20"/>
          <w:szCs w:val="20"/>
          <w:color w:val="auto"/>
        </w:rPr>
      </w:pPr>
      <w:r>
        <w:rPr>
          <w:rFonts w:ascii="Arial" w:cs="Arial" w:eastAsia="Arial" w:hAnsi="Arial"/>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7"/>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line="115" w:lineRule="exact"/>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5"/>
              </w:rPr>
              <w:t>Class A Common Stock</w:t>
            </w:r>
          </w:p>
        </w:tc>
        <w:tc>
          <w:tcPr>
            <w:tcW w:w="144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w w:val="98"/>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8"/>
              </w:rPr>
              <w:t>Total Equity</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b w:val="1"/>
                <w:bCs w:val="1"/>
                <w:color w:val="auto"/>
              </w:rPr>
              <w:t>in Capital</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3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December 31, 2022</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80,926,843</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8</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183,482,777</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772,973</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(676,447)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96,263</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239,811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336,074</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6,713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6,713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6,713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542</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112"/>
        </w:trPr>
        <w:tc>
          <w:tcPr>
            <w:tcW w:w="2220" w:type="dxa"/>
            <w:vAlign w:val="bottom"/>
          </w:tcPr>
          <w:p>
            <w:pPr>
              <w:ind w:left="140"/>
              <w:spacing w:after="0" w:line="112" w:lineRule="exact"/>
              <w:rPr>
                <w:sz w:val="20"/>
                <w:szCs w:val="20"/>
                <w:color w:val="auto"/>
              </w:rPr>
            </w:pPr>
            <w:r>
              <w:rPr>
                <w:rFonts w:ascii="Arial" w:cs="Arial" w:eastAsia="Arial" w:hAnsi="Arial"/>
                <w:sz w:val="11"/>
                <w:szCs w:val="11"/>
                <w:color w:val="auto"/>
                <w:w w:val="97"/>
              </w:rPr>
              <w:t>Shares issued upon vesting of share-based</w:t>
            </w:r>
          </w:p>
        </w:tc>
        <w:tc>
          <w:tcPr>
            <w:tcW w:w="760" w:type="dxa"/>
            <w:vAlign w:val="bottom"/>
            <w:vMerge w:val="restart"/>
          </w:tcPr>
          <w:p>
            <w:pPr>
              <w:jc w:val="right"/>
              <w:ind w:right="26"/>
              <w:spacing w:after="0"/>
              <w:rPr>
                <w:sz w:val="20"/>
                <w:szCs w:val="20"/>
                <w:color w:val="auto"/>
              </w:rPr>
            </w:pPr>
            <w:r>
              <w:rPr>
                <w:rFonts w:ascii="Arial" w:cs="Arial" w:eastAsia="Arial" w:hAnsi="Arial"/>
                <w:sz w:val="11"/>
                <w:szCs w:val="11"/>
                <w:color w:val="auto"/>
              </w:rPr>
              <w:t>1,495,040</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220" w:type="dxa"/>
            <w:vAlign w:val="bottom"/>
          </w:tcPr>
          <w:p>
            <w:pPr>
              <w:ind w:left="140"/>
              <w:spacing w:after="0"/>
              <w:rPr>
                <w:sz w:val="20"/>
                <w:szCs w:val="20"/>
                <w:color w:val="auto"/>
              </w:rPr>
            </w:pPr>
            <w:r>
              <w:rPr>
                <w:rFonts w:ascii="Arial" w:cs="Arial" w:eastAsia="Arial" w:hAnsi="Arial"/>
                <w:sz w:val="11"/>
                <w:szCs w:val="11"/>
                <w:color w:val="auto"/>
              </w:rPr>
              <w:t>awards, net of tax withholding</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89"/>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202,890</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(202,890)</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(345)</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w w:val="99"/>
              </w:rPr>
              <w:t>Currency translation adjustment, net of tax</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2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(72)</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(157)</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13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(13,976)</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(13,976)</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(30,883)</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(44,859)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March 31,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82,624,773</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8</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183,279,887</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780,031</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(690,423)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(355)</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89,280</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208,983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298,263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20" w:type="dxa"/>
            <w:vAlign w:val="bottom"/>
            <w:vMerge w:val="continue"/>
          </w:tcPr>
          <w:p>
            <w:pPr>
              <w:spacing w:after="0"/>
              <w:rPr>
                <w:sz w:val="9"/>
                <w:szCs w:val="9"/>
                <w:color w:val="auto"/>
              </w:rPr>
            </w:pPr>
          </w:p>
        </w:tc>
        <w:tc>
          <w:tcPr>
            <w:tcW w:w="760" w:type="dxa"/>
            <w:vAlign w:val="bottom"/>
          </w:tcPr>
          <w:p>
            <w:pPr>
              <w:jc w:val="right"/>
              <w:ind w:right="26"/>
              <w:spacing w:after="0" w:line="114"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60" w:type="dxa"/>
            <w:vAlign w:val="bottom"/>
          </w:tcPr>
          <w:p>
            <w:pPr>
              <w:jc w:val="right"/>
              <w:ind w:right="106"/>
              <w:spacing w:after="0" w:line="114"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14"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80" w:type="dxa"/>
            <w:vAlign w:val="bottom"/>
          </w:tcPr>
          <w:p>
            <w:pPr>
              <w:jc w:val="right"/>
              <w:ind w:right="46"/>
              <w:spacing w:after="0" w:line="114"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tcPr>
          <w:p>
            <w:pPr>
              <w:jc w:val="right"/>
              <w:ind w:right="46"/>
              <w:spacing w:after="0" w:line="114" w:lineRule="exact"/>
              <w:rPr>
                <w:sz w:val="20"/>
                <w:szCs w:val="20"/>
                <w:color w:val="auto"/>
              </w:rPr>
            </w:pPr>
            <w:r>
              <w:rPr>
                <w:rFonts w:ascii="Arial" w:cs="Arial" w:eastAsia="Arial" w:hAnsi="Arial"/>
                <w:sz w:val="11"/>
                <w:szCs w:val="11"/>
                <w:color w:val="auto"/>
              </w:rPr>
              <w:t>4,614</w:t>
            </w:r>
          </w:p>
        </w:tc>
        <w:tc>
          <w:tcPr>
            <w:tcW w:w="180" w:type="dxa"/>
            <w:vAlign w:val="bottom"/>
          </w:tcPr>
          <w:p>
            <w:pPr>
              <w:spacing w:after="0"/>
              <w:rPr>
                <w:sz w:val="9"/>
                <w:szCs w:val="9"/>
                <w:color w:val="auto"/>
              </w:rPr>
            </w:pPr>
          </w:p>
        </w:tc>
        <w:tc>
          <w:tcPr>
            <w:tcW w:w="860" w:type="dxa"/>
            <w:vAlign w:val="bottom"/>
          </w:tcPr>
          <w:p>
            <w:pPr>
              <w:jc w:val="right"/>
              <w:ind w:right="46"/>
              <w:spacing w:after="0" w:line="11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tcPr>
          <w:p>
            <w:pPr>
              <w:jc w:val="right"/>
              <w:ind w:right="46"/>
              <w:spacing w:after="0" w:line="114"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00" w:type="dxa"/>
            <w:vAlign w:val="bottom"/>
          </w:tcPr>
          <w:p>
            <w:pPr>
              <w:jc w:val="right"/>
              <w:ind w:right="46"/>
              <w:spacing w:after="0" w:line="114" w:lineRule="exact"/>
              <w:rPr>
                <w:sz w:val="20"/>
                <w:szCs w:val="20"/>
                <w:color w:val="auto"/>
              </w:rPr>
            </w:pPr>
            <w:r>
              <w:rPr>
                <w:rFonts w:ascii="Arial" w:cs="Arial" w:eastAsia="Arial" w:hAnsi="Arial"/>
                <w:sz w:val="11"/>
                <w:szCs w:val="11"/>
                <w:color w:val="auto"/>
              </w:rPr>
              <w:t>4,614</w:t>
            </w:r>
          </w:p>
        </w:tc>
        <w:tc>
          <w:tcPr>
            <w:tcW w:w="180" w:type="dxa"/>
            <w:vAlign w:val="bottom"/>
          </w:tcPr>
          <w:p>
            <w:pPr>
              <w:spacing w:after="0"/>
              <w:rPr>
                <w:sz w:val="9"/>
                <w:szCs w:val="9"/>
                <w:color w:val="auto"/>
              </w:rPr>
            </w:pPr>
          </w:p>
        </w:tc>
        <w:tc>
          <w:tcPr>
            <w:tcW w:w="960" w:type="dxa"/>
            <w:vAlign w:val="bottom"/>
          </w:tcPr>
          <w:p>
            <w:pPr>
              <w:jc w:val="right"/>
              <w:ind w:right="46"/>
              <w:spacing w:after="0" w:line="11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tcPr>
          <w:p>
            <w:pPr>
              <w:jc w:val="right"/>
              <w:ind w:right="6"/>
              <w:spacing w:after="0" w:line="114" w:lineRule="exact"/>
              <w:rPr>
                <w:sz w:val="20"/>
                <w:szCs w:val="20"/>
                <w:color w:val="auto"/>
              </w:rPr>
            </w:pPr>
            <w:r>
              <w:rPr>
                <w:rFonts w:ascii="Arial" w:cs="Arial" w:eastAsia="Arial" w:hAnsi="Arial"/>
                <w:sz w:val="11"/>
                <w:szCs w:val="11"/>
                <w:color w:val="auto"/>
              </w:rPr>
              <w:t>4,614</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377</w:t>
            </w:r>
          </w:p>
        </w:tc>
        <w:tc>
          <w:tcPr>
            <w:tcW w:w="0" w:type="dxa"/>
            <w:vAlign w:val="bottom"/>
          </w:tcPr>
          <w:p>
            <w:pPr>
              <w:spacing w:after="0"/>
              <w:rPr>
                <w:sz w:val="1"/>
                <w:szCs w:val="1"/>
                <w:color w:val="auto"/>
              </w:rPr>
            </w:pPr>
          </w:p>
        </w:tc>
      </w:tr>
      <w:tr>
        <w:trPr>
          <w:trHeight w:val="112"/>
        </w:trPr>
        <w:tc>
          <w:tcPr>
            <w:tcW w:w="2220" w:type="dxa"/>
            <w:vAlign w:val="bottom"/>
          </w:tcPr>
          <w:p>
            <w:pPr>
              <w:ind w:left="140"/>
              <w:spacing w:after="0" w:line="112" w:lineRule="exact"/>
              <w:rPr>
                <w:sz w:val="20"/>
                <w:szCs w:val="20"/>
                <w:color w:val="auto"/>
              </w:rPr>
            </w:pPr>
            <w:r>
              <w:rPr>
                <w:rFonts w:ascii="Arial" w:cs="Arial" w:eastAsia="Arial" w:hAnsi="Arial"/>
                <w:sz w:val="11"/>
                <w:szCs w:val="11"/>
                <w:color w:val="auto"/>
                <w:w w:val="97"/>
              </w:rPr>
              <w:t>Shares issued upon vesting of share-based</w:t>
            </w:r>
          </w:p>
        </w:tc>
        <w:tc>
          <w:tcPr>
            <w:tcW w:w="760" w:type="dxa"/>
            <w:vAlign w:val="bottom"/>
            <w:vMerge w:val="restart"/>
          </w:tcPr>
          <w:p>
            <w:pPr>
              <w:jc w:val="right"/>
              <w:ind w:right="26"/>
              <w:spacing w:after="0"/>
              <w:rPr>
                <w:sz w:val="20"/>
                <w:szCs w:val="20"/>
                <w:color w:val="auto"/>
              </w:rPr>
            </w:pPr>
            <w:r>
              <w:rPr>
                <w:rFonts w:ascii="Arial" w:cs="Arial" w:eastAsia="Arial" w:hAnsi="Arial"/>
                <w:sz w:val="11"/>
                <w:szCs w:val="11"/>
                <w:color w:val="auto"/>
              </w:rPr>
              <w:t>2,520,711</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(2,502)</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(2,502)</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(2,502)</w:t>
            </w:r>
          </w:p>
        </w:tc>
        <w:tc>
          <w:tcPr>
            <w:tcW w:w="0" w:type="dxa"/>
            <w:vAlign w:val="bottom"/>
          </w:tcPr>
          <w:p>
            <w:pPr>
              <w:spacing w:after="0"/>
              <w:rPr>
                <w:sz w:val="1"/>
                <w:szCs w:val="1"/>
                <w:color w:val="auto"/>
              </w:rPr>
            </w:pPr>
          </w:p>
        </w:tc>
      </w:tr>
      <w:tr>
        <w:trPr>
          <w:trHeight w:val="136"/>
        </w:trPr>
        <w:tc>
          <w:tcPr>
            <w:tcW w:w="2220" w:type="dxa"/>
            <w:vAlign w:val="bottom"/>
          </w:tcPr>
          <w:p>
            <w:pPr>
              <w:ind w:left="140"/>
              <w:spacing w:after="0"/>
              <w:rPr>
                <w:sz w:val="20"/>
                <w:szCs w:val="20"/>
                <w:color w:val="auto"/>
              </w:rPr>
            </w:pPr>
            <w:r>
              <w:rPr>
                <w:rFonts w:ascii="Arial" w:cs="Arial" w:eastAsia="Arial" w:hAnsi="Arial"/>
                <w:sz w:val="11"/>
                <w:szCs w:val="11"/>
                <w:color w:val="auto"/>
              </w:rPr>
              <w:t>awards, net of tax withholding</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2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Shares issued in connection with Apex</w:t>
            </w:r>
          </w:p>
        </w:tc>
        <w:tc>
          <w:tcPr>
            <w:tcW w:w="7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6,140,611</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9,062</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9,063</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9,063</w:t>
            </w:r>
          </w:p>
        </w:tc>
        <w:tc>
          <w:tcPr>
            <w:tcW w:w="0" w:type="dxa"/>
            <w:vAlign w:val="bottom"/>
          </w:tcPr>
          <w:p>
            <w:pPr>
              <w:spacing w:after="0"/>
              <w:rPr>
                <w:sz w:val="1"/>
                <w:szCs w:val="1"/>
                <w:color w:val="auto"/>
              </w:rPr>
            </w:pPr>
          </w:p>
        </w:tc>
      </w:tr>
      <w:tr>
        <w:trPr>
          <w:trHeight w:val="13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acquisition</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w w:val="89"/>
              </w:rPr>
              <w:t>Exchange of Class V shares for Class A shares</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9"/>
              </w:rPr>
              <w:t>Currency translation adjustment, net of tax</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339</w:t>
            </w:r>
          </w:p>
        </w:tc>
        <w:tc>
          <w:tcPr>
            <w:tcW w:w="0" w:type="dxa"/>
            <w:vAlign w:val="bottom"/>
          </w:tcPr>
          <w:p>
            <w:pPr>
              <w:spacing w:after="0"/>
              <w:rPr>
                <w:sz w:val="1"/>
                <w:szCs w:val="1"/>
                <w:color w:val="auto"/>
              </w:rPr>
            </w:pPr>
          </w:p>
        </w:tc>
      </w:tr>
      <w:tr>
        <w:trPr>
          <w:trHeight w:val="112"/>
        </w:trPr>
        <w:tc>
          <w:tcPr>
            <w:tcW w:w="2220" w:type="dxa"/>
            <w:vAlign w:val="bottom"/>
          </w:tcPr>
          <w:p>
            <w:pPr>
              <w:ind w:left="140"/>
              <w:spacing w:after="0" w:line="112" w:lineRule="exact"/>
              <w:rPr>
                <w:sz w:val="20"/>
                <w:szCs w:val="20"/>
                <w:color w:val="auto"/>
              </w:rPr>
            </w:pPr>
            <w:r>
              <w:rPr>
                <w:rFonts w:ascii="Arial" w:cs="Arial" w:eastAsia="Arial" w:hAnsi="Arial"/>
                <w:sz w:val="11"/>
                <w:szCs w:val="11"/>
                <w:color w:val="auto"/>
              </w:rPr>
              <w:t>Unrealized losses on available-for-</w:t>
            </w:r>
          </w:p>
        </w:tc>
        <w:tc>
          <w:tcPr>
            <w:tcW w:w="7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77</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77</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Arial" w:cs="Arial" w:eastAsia="Arial" w:hAnsi="Arial"/>
                <w:sz w:val="11"/>
                <w:szCs w:val="11"/>
                <w:color w:val="auto"/>
              </w:rPr>
              <w:t>156</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6"/>
        </w:trPr>
        <w:tc>
          <w:tcPr>
            <w:tcW w:w="2220" w:type="dxa"/>
            <w:vAlign w:val="bottom"/>
          </w:tcPr>
          <w:p>
            <w:pPr>
              <w:ind w:left="140"/>
              <w:spacing w:after="0"/>
              <w:rPr>
                <w:sz w:val="20"/>
                <w:szCs w:val="20"/>
                <w:color w:val="auto"/>
              </w:rPr>
            </w:pPr>
            <w:r>
              <w:rPr>
                <w:rFonts w:ascii="Arial" w:cs="Arial" w:eastAsia="Arial" w:hAnsi="Arial"/>
                <w:sz w:val="11"/>
                <w:szCs w:val="11"/>
                <w:color w:val="auto"/>
              </w:rPr>
              <w:t>sale securities, net of tax</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(16,848)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(16,848)</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(33,663)</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(50,511)</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Arial" w:cs="Arial" w:eastAsia="Arial" w:hAnsi="Arial"/>
                <w:sz w:val="11"/>
                <w:szCs w:val="11"/>
                <w:color w:val="auto"/>
              </w:rPr>
              <w:t>Balance as of June 30, 2023</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91,286,095</w:t>
            </w: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9</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183,279,887</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791,205</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(707,271)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(166)</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83,796</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176,080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259,876</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2,957</w:t>
            </w:r>
          </w:p>
        </w:tc>
        <w:tc>
          <w:tcPr>
            <w:tcW w:w="1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2,957</w:t>
            </w:r>
          </w:p>
        </w:tc>
        <w:tc>
          <w:tcPr>
            <w:tcW w:w="1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2,957</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385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6"/>
              </w:rPr>
              <w:t>Forfeiture and cancellation of common units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(4,845)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2"/>
        </w:trPr>
        <w:tc>
          <w:tcPr>
            <w:tcW w:w="2220" w:type="dxa"/>
            <w:vAlign w:val="bottom"/>
          </w:tcPr>
          <w:p>
            <w:pPr>
              <w:ind w:left="140"/>
              <w:spacing w:after="0" w:line="112" w:lineRule="exact"/>
              <w:rPr>
                <w:sz w:val="20"/>
                <w:szCs w:val="20"/>
                <w:color w:val="auto"/>
              </w:rPr>
            </w:pPr>
            <w:r>
              <w:rPr>
                <w:rFonts w:ascii="Arial" w:cs="Arial" w:eastAsia="Arial" w:hAnsi="Arial"/>
                <w:sz w:val="11"/>
                <w:szCs w:val="11"/>
                <w:color w:val="auto"/>
                <w:w w:val="97"/>
              </w:rPr>
              <w:t>Shares issued upon vesting of share-based</w:t>
            </w:r>
          </w:p>
        </w:tc>
        <w:tc>
          <w:tcPr>
            <w:tcW w:w="760" w:type="dxa"/>
            <w:vAlign w:val="bottom"/>
            <w:vMerge w:val="restart"/>
          </w:tcPr>
          <w:p>
            <w:pPr>
              <w:jc w:val="right"/>
              <w:ind w:right="26"/>
              <w:spacing w:after="0"/>
              <w:rPr>
                <w:sz w:val="20"/>
                <w:szCs w:val="20"/>
                <w:color w:val="auto"/>
              </w:rPr>
            </w:pPr>
            <w:r>
              <w:rPr>
                <w:rFonts w:ascii="Arial" w:cs="Arial" w:eastAsia="Arial" w:hAnsi="Arial"/>
                <w:sz w:val="11"/>
                <w:szCs w:val="11"/>
                <w:color w:val="auto"/>
              </w:rPr>
              <w:t>103,212</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220" w:type="dxa"/>
            <w:vAlign w:val="bottom"/>
          </w:tcPr>
          <w:p>
            <w:pPr>
              <w:ind w:left="140"/>
              <w:spacing w:after="0"/>
              <w:rPr>
                <w:sz w:val="20"/>
                <w:szCs w:val="20"/>
                <w:color w:val="auto"/>
              </w:rPr>
            </w:pPr>
            <w:r>
              <w:rPr>
                <w:rFonts w:ascii="Arial" w:cs="Arial" w:eastAsia="Arial" w:hAnsi="Arial"/>
                <w:sz w:val="11"/>
                <w:szCs w:val="11"/>
                <w:color w:val="auto"/>
              </w:rPr>
              <w:t>awards, net of tax withholding</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89"/>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25,616</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(25,616)</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w w:val="99"/>
              </w:rPr>
              <w:t>Currency translation adjustment, net of tax</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(133)</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(133)</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(264)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(397)</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2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8"/>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(17,331)</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(17,331)</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(34,418)</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(51,749)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September 30,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91,414,923</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9</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183,249,426</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794,199</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(724,602)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69,332</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141,743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211,075</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7"/>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5"/>
              </w:rPr>
              <w:t>Class A Common Stock</w:t>
            </w:r>
          </w:p>
        </w:tc>
        <w:tc>
          <w:tcPr>
            <w:tcW w:w="144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w w:val="98"/>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8"/>
              </w:rPr>
              <w:t>Total Equity</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b w:val="1"/>
                <w:bCs w:val="1"/>
                <w:color w:val="auto"/>
              </w:rPr>
              <w:t>in Capital</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3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December 31, 2021</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57,164,388</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206,271,792</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566,766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(98,342)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Arial" w:cs="Arial" w:eastAsia="Arial" w:hAnsi="Arial"/>
                <w:sz w:val="11"/>
                <w:szCs w:val="11"/>
                <w:color w:val="auto"/>
                <w:w w:val="91"/>
              </w:rPr>
              <w:t>(55)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2,294,171</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13,190</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1,118</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w w:val="96"/>
              </w:rPr>
              <w:t>Forfeiture and cancellation of common units</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(268,522)</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Exercise of warrants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Arial" w:cs="Arial" w:eastAsia="Arial" w:hAnsi="Arial"/>
                <w:sz w:val="11"/>
                <w:szCs w:val="11"/>
                <w:color w:val="auto"/>
                <w:w w:val="99"/>
              </w:rPr>
              <w:t>Currency translation adjustment, net of tax</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Arial" w:cs="Arial" w:eastAsia="Arial" w:hAnsi="Arial"/>
                <w:sz w:val="11"/>
                <w:szCs w:val="11"/>
                <w:color w:val="auto"/>
                <w:w w:val="81"/>
              </w:rPr>
              <w:t>41</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(7,128)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(7,128)</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(36,193)</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(43,321)</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Arial" w:cs="Arial" w:eastAsia="Arial" w:hAnsi="Arial"/>
                <w:sz w:val="11"/>
                <w:szCs w:val="11"/>
                <w:color w:val="auto"/>
              </w:rPr>
              <w:t>Balance as of March 31, 2022</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57,164,488</w:t>
            </w: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206,003,270</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579,957</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(105,470)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center"/>
              <w:ind w:left="686"/>
              <w:spacing w:after="0"/>
              <w:rPr>
                <w:sz w:val="20"/>
                <w:szCs w:val="20"/>
                <w:color w:val="auto"/>
              </w:rPr>
            </w:pPr>
            <w:r>
              <w:rPr>
                <w:rFonts w:ascii="Arial" w:cs="Arial" w:eastAsia="Arial" w:hAnsi="Arial"/>
                <w:sz w:val="11"/>
                <w:szCs w:val="11"/>
                <w:color w:val="auto"/>
                <w:w w:val="91"/>
              </w:rPr>
              <w:t>(14)</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474,500</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1,790,787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2,265,287</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left="686"/>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8,016</w:t>
            </w:r>
          </w:p>
        </w:tc>
        <w:tc>
          <w:tcPr>
            <w:tcW w:w="0" w:type="dxa"/>
            <w:vAlign w:val="bottom"/>
          </w:tcPr>
          <w:p>
            <w:pPr>
              <w:spacing w:after="0"/>
              <w:rPr>
                <w:sz w:val="1"/>
                <w:szCs w:val="1"/>
                <w:color w:val="auto"/>
              </w:rPr>
            </w:pPr>
          </w:p>
        </w:tc>
      </w:tr>
      <w:tr>
        <w:trPr>
          <w:trHeight w:val="22"/>
        </w:trPr>
        <w:tc>
          <w:tcPr>
            <w:tcW w:w="2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11" w:right="339" w:bottom="1440" w:gutter="0" w:footer="0" w:header="0"/>
        </w:sectPr>
      </w:pPr>
    </w:p>
    <w:p>
      <w:pPr>
        <w:ind w:left="140"/>
        <w:spacing w:after="0"/>
        <w:rPr>
          <w:sz w:val="20"/>
          <w:szCs w:val="20"/>
          <w:color w:val="auto"/>
        </w:rPr>
      </w:pPr>
      <w:r>
        <w:rPr>
          <w:rFonts w:ascii="Arial" w:cs="Arial" w:eastAsia="Arial" w:hAnsi="Arial"/>
          <w:sz w:val="11"/>
          <w:szCs w:val="11"/>
          <w:color w:val="auto"/>
        </w:rPr>
        <w:t>Unit-based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Forfeiture and cancellation of common units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Exercise of warrants</w:t>
      </w:r>
    </w:p>
    <w:p>
      <w:pPr>
        <w:spacing w:after="0" w:line="36" w:lineRule="exact"/>
        <w:rPr>
          <w:sz w:val="20"/>
          <w:szCs w:val="20"/>
          <w:color w:val="auto"/>
        </w:rPr>
      </w:pPr>
    </w:p>
    <w:p>
      <w:pPr>
        <w:ind w:left="140" w:right="20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60"/>
        <w:spacing w:after="0" w:line="222" w:lineRule="auto"/>
        <w:rPr>
          <w:sz w:val="20"/>
          <w:szCs w:val="20"/>
          <w:color w:val="auto"/>
        </w:rPr>
      </w:pPr>
      <w:r>
        <w:rPr>
          <w:rFonts w:ascii="Arial" w:cs="Arial" w:eastAsia="Arial" w:hAnsi="Arial"/>
          <w:sz w:val="11"/>
          <w:szCs w:val="11"/>
          <w:color w:val="auto"/>
        </w:rPr>
        <w:t>Increase in deferred tax liability from step-up tax basis related to exchanges of Opco Common Units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2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June 30, 2022</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Share-based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Unit-based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Forfeiture and cancellation of common units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Exercise of warrants</w:t>
      </w:r>
    </w:p>
    <w:p>
      <w:pPr>
        <w:spacing w:after="0" w:line="36" w:lineRule="exact"/>
        <w:rPr>
          <w:sz w:val="20"/>
          <w:szCs w:val="20"/>
          <w:color w:val="auto"/>
        </w:rPr>
      </w:pPr>
    </w:p>
    <w:p>
      <w:pPr>
        <w:ind w:left="140" w:right="20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160"/>
        <w:spacing w:after="0" w:line="222" w:lineRule="auto"/>
        <w:rPr>
          <w:sz w:val="20"/>
          <w:szCs w:val="20"/>
          <w:color w:val="auto"/>
        </w:rPr>
      </w:pPr>
      <w:r>
        <w:rPr>
          <w:rFonts w:ascii="Arial" w:cs="Arial" w:eastAsia="Arial" w:hAnsi="Arial"/>
          <w:sz w:val="11"/>
          <w:szCs w:val="11"/>
          <w:color w:val="auto"/>
        </w:rPr>
        <w:t>Decrease in deferred tax liability due to tax impact of goodwill and intangible assets impairments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2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1,063</w:t>
            </w:r>
          </w:p>
        </w:tc>
        <w:tc>
          <w:tcPr>
            <w:tcW w:w="2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1,063</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(9,693)</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624,497</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(2,586)</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(2,586)</w:t>
            </w:r>
          </w:p>
        </w:tc>
        <w:tc>
          <w:tcPr>
            <w:tcW w:w="3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(2,586)</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17,554,639</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2</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(17,554,639)</w:t>
            </w:r>
          </w:p>
        </w:tc>
        <w:tc>
          <w:tcPr>
            <w:tcW w:w="26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(152,235)</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7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(19,063)</w:t>
            </w:r>
          </w:p>
        </w:tc>
        <w:tc>
          <w:tcPr>
            <w:tcW w:w="34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(19,063)</w:t>
            </w:r>
          </w:p>
        </w:tc>
        <w:tc>
          <w:tcPr>
            <w:tcW w:w="340" w:type="dxa"/>
            <w:vAlign w:val="bottom"/>
          </w:tcPr>
          <w:p>
            <w:pPr>
              <w:spacing w:after="0"/>
              <w:rPr>
                <w:sz w:val="24"/>
                <w:szCs w:val="2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(19,063)</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(277)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(382)</w:t>
            </w: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(3,897)</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(3,897)</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(23,744)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(27,641)</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75,343,724</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188,438,938</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320" w:type="dxa"/>
            <w:vAlign w:val="bottom"/>
          </w:tcPr>
          <w:p>
            <w:pPr>
              <w:ind w:left="120"/>
              <w:spacing w:after="0"/>
              <w:rPr>
                <w:sz w:val="20"/>
                <w:szCs w:val="20"/>
                <w:color w:val="auto"/>
              </w:rPr>
            </w:pPr>
            <w:r>
              <w:rPr>
                <w:rFonts w:ascii="Arial" w:cs="Arial" w:eastAsia="Arial" w:hAnsi="Arial"/>
                <w:sz w:val="11"/>
                <w:szCs w:val="11"/>
                <w:color w:val="auto"/>
              </w:rPr>
              <w:t>19</w:t>
            </w:r>
          </w:p>
        </w:tc>
        <w:tc>
          <w:tcPr>
            <w:tcW w:w="3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718,560</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(109,367)</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609,097</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1,615,570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2,224,667</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7,657</w:t>
            </w:r>
          </w:p>
        </w:tc>
        <w:tc>
          <w:tcPr>
            <w:tcW w:w="3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7,657</w:t>
            </w:r>
          </w:p>
        </w:tc>
        <w:tc>
          <w:tcPr>
            <w:tcW w:w="34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7,657</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1,045</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1,045</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(34,929)</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287,491</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2,051,166</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(2,051,166)</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17,914</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17,914</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(17,914)</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7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19,056</w:t>
            </w:r>
          </w:p>
        </w:tc>
        <w:tc>
          <w:tcPr>
            <w:tcW w:w="34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19,056</w:t>
            </w:r>
          </w:p>
        </w:tc>
        <w:tc>
          <w:tcPr>
            <w:tcW w:w="340" w:type="dxa"/>
            <w:vAlign w:val="bottom"/>
          </w:tcPr>
          <w:p>
            <w:pPr>
              <w:spacing w:after="0"/>
              <w:rPr>
                <w:sz w:val="24"/>
                <w:szCs w:val="2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19,056</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(228)</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(549)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(777)</w:t>
            </w: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(49)</w:t>
            </w:r>
          </w:p>
        </w:tc>
        <w:tc>
          <w:tcPr>
            <w:tcW w:w="3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(116)</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(165)</w:t>
            </w: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(468,132)</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(468,132)</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(1,124,416)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(1,592,548)</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77,682,402</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186,352,843</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320" w:type="dxa"/>
            <w:vAlign w:val="bottom"/>
          </w:tcPr>
          <w:p>
            <w:pPr>
              <w:ind w:left="120"/>
              <w:spacing w:after="0"/>
              <w:rPr>
                <w:sz w:val="20"/>
                <w:szCs w:val="20"/>
                <w:color w:val="auto"/>
              </w:rPr>
            </w:pPr>
            <w:r>
              <w:rPr>
                <w:rFonts w:ascii="Arial" w:cs="Arial" w:eastAsia="Arial" w:hAnsi="Arial"/>
                <w:sz w:val="11"/>
                <w:szCs w:val="11"/>
                <w:color w:val="auto"/>
              </w:rPr>
              <w:t>19</w:t>
            </w:r>
          </w:p>
        </w:tc>
        <w:tc>
          <w:tcPr>
            <w:tcW w:w="3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763,187</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(577,499)</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(400)</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185,315</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473,510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658,825</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-2691130</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-2485390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-2211070</wp:posOffset>
            </wp:positionV>
            <wp:extent cx="71323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-1868170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-1593850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-1345565</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-1139190</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-864870</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-521970</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-247650</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9020"/>
          </w:cols>
          <w:pgMar w:left="320" w:top="111" w:right="3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3"/>
                <w:szCs w:val="13"/>
                <w:color w:val="auto"/>
              </w:rPr>
            </w:pP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164"/>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4"/>
                <w:szCs w:val="14"/>
                <w:color w:val="auto"/>
              </w:rPr>
            </w:pP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September 30, 2022</w:t>
            </w:r>
          </w:p>
        </w:tc>
        <w:tc>
          <w:tcPr>
            <w:tcW w:w="0" w:type="dxa"/>
            <w:vAlign w:val="bottom"/>
          </w:tcPr>
          <w:p>
            <w:pPr>
              <w:spacing w:after="0"/>
              <w:rPr>
                <w:sz w:val="1"/>
                <w:szCs w:val="1"/>
                <w:color w:val="auto"/>
              </w:rPr>
            </w:pPr>
          </w:p>
        </w:tc>
      </w:tr>
      <w:tr>
        <w:trPr>
          <w:trHeight w:val="25"/>
        </w:trPr>
        <w:tc>
          <w:tcPr>
            <w:tcW w:w="8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8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(1,663,509)</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18,340</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Non-cash lease expense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1,893</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 expense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28,863</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Unit-based compensation expense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and cancellation of common units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(8,858)</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Impairment of long-lived 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Goodwill and intangible assets impairments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1,547,711</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disposal of 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Loss (gain) from change in fair value of warrant liability</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(13,139)</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(3,964)</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Arial" w:cs="Arial" w:eastAsia="Arial" w:hAnsi="Arial"/>
                <w:sz w:val="13"/>
                <w:szCs w:val="13"/>
                <w:color w:val="auto"/>
              </w:rPr>
              <w:t>Prepaid insurance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11,629</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Deposits with clearinghouse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Arial" w:cs="Arial" w:eastAsia="Arial" w:hAnsi="Arial"/>
                <w:sz w:val="13"/>
                <w:szCs w:val="13"/>
                <w:color w:val="auto"/>
              </w:rPr>
              <w:t>Accounts payable and accrued liabilities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(14,243)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(10,668)</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Due to related party</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(2,033)</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Operating lease liabilities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4,261</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Arial" w:cs="Arial" w:eastAsia="Arial" w:hAnsi="Arial"/>
                <w:sz w:val="13"/>
                <w:szCs w:val="13"/>
                <w:color w:val="auto"/>
              </w:rPr>
              <w:t>Customer funds payable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27,632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assets and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(5,122)</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(93,905)</w:t>
            </w: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Capitalized internal-use software development costs and other capital expenditures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(7,905)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(22,533)</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available-for-sale securities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(188,759)</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Proceeds from the maturity of available-for-sale securities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163,165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74,714</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of Bumped Financial, LLC</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Acquisition of Apex Crypto LLC, net of cash acquired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65,710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(136,578)</w:t>
            </w:r>
          </w:p>
        </w:tc>
        <w:tc>
          <w:tcPr>
            <w:tcW w:w="0" w:type="dxa"/>
            <w:vAlign w:val="bottom"/>
          </w:tcPr>
          <w:p>
            <w:pPr>
              <w:spacing w:after="0"/>
              <w:rPr>
                <w:sz w:val="1"/>
                <w:szCs w:val="1"/>
                <w:color w:val="auto"/>
              </w:rPr>
            </w:pPr>
          </w:p>
        </w:tc>
      </w:tr>
      <w:tr>
        <w:trPr>
          <w:trHeight w:val="150"/>
        </w:trPr>
        <w:tc>
          <w:tcPr>
            <w:tcW w:w="81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the exercise of warrants</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Repurchase and retirement of Class A common stock</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Effect of exchange rate changes</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increase (decrease) in cash, cash equivalents, restricted cash and customer funds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(231,448)</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restricted cash and customer funds at the beginning of the period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115,423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408,415</w:t>
            </w:r>
          </w:p>
        </w:tc>
        <w:tc>
          <w:tcPr>
            <w:tcW w:w="0" w:type="dxa"/>
            <w:vAlign w:val="bottom"/>
          </w:tcPr>
          <w:p>
            <w:pPr>
              <w:spacing w:after="0"/>
              <w:rPr>
                <w:sz w:val="1"/>
                <w:szCs w:val="1"/>
                <w:color w:val="auto"/>
              </w:rPr>
            </w:pPr>
          </w:p>
        </w:tc>
      </w:tr>
      <w:tr>
        <w:trPr>
          <w:trHeight w:val="20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restricted cash and customer funds at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176,967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operating lease right-of-use asset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11,021</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Capitalized internal-use software development costs and other capital expenditures included in accounts payable and accrued liabilities.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2,756</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Reconciliation of cash, cash equivalents, restricted cash and customer funds to consolidated balance sheets: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159,850</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color w:val="auto"/>
              </w:rPr>
              <w:t>Restricted cash</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16,525</w:t>
            </w:r>
          </w:p>
        </w:tc>
        <w:tc>
          <w:tcPr>
            <w:tcW w:w="0" w:type="dxa"/>
            <w:vAlign w:val="bottom"/>
          </w:tcPr>
          <w:p>
            <w:pPr>
              <w:spacing w:after="0"/>
              <w:rPr>
                <w:sz w:val="1"/>
                <w:szCs w:val="1"/>
                <w:color w:val="auto"/>
              </w:rPr>
            </w:pPr>
          </w:p>
        </w:tc>
      </w:tr>
      <w:tr>
        <w:trPr>
          <w:trHeight w:val="177"/>
        </w:trPr>
        <w:tc>
          <w:tcPr>
            <w:tcW w:w="8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Customer funds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rPr>
                <w:sz w:val="20"/>
                <w:szCs w:val="20"/>
                <w:color w:val="auto"/>
              </w:rPr>
            </w:pPr>
            <w:r>
              <w:rPr>
                <w:rFonts w:ascii="Arial" w:cs="Arial" w:eastAsia="Arial" w:hAnsi="Arial"/>
                <w:sz w:val="13"/>
                <w:szCs w:val="13"/>
                <w:color w:val="auto"/>
              </w:rPr>
              <w:t>Total cash, cash equivalents, restricted cash and customer funds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124,704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176,967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0" w:lineRule="exact"/>
        <w:rPr>
          <w:sz w:val="20"/>
          <w:szCs w:val="20"/>
          <w:color w:val="auto"/>
        </w:rPr>
      </w:pPr>
    </w:p>
    <w:p>
      <w:pPr>
        <w:ind w:right="7720" w:firstLine="8"/>
        <w:spacing w:after="0" w:line="542" w:lineRule="auto"/>
        <w:tabs>
          <w:tab w:leader="none" w:pos="3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6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Unless the context otherwise provides, “we,” “us,” “our,” “Bakkt”, the “Company” and like terms refer to Bakkt Holdings, Inc. and its subsidiaries, including Opco.</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w:t>
      </w:r>
    </w:p>
    <w:p>
      <w:pPr>
        <w:spacing w:after="0" w:line="178"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On April 1, 2023 we completed the acquisition of 100% of the ownership interests of Apex Crypto LLC ("Apex Crypto") and subsequently changed the name of the legal entity to Bakkt Crypto Solutions, LLC ("Bakkt Crypto").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simplified solutions focused in the following areas: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306" w:lineRule="auto"/>
        <w:tabs>
          <w:tab w:leader="none" w:pos="655" w:val="left"/>
        </w:tabs>
        <w:numPr>
          <w:ilvl w:val="0"/>
          <w:numId w:val="7"/>
        </w:numPr>
        <w:rPr>
          <w:rFonts w:ascii="Arial" w:cs="Arial" w:eastAsia="Arial" w:hAnsi="Arial"/>
          <w:sz w:val="17"/>
          <w:szCs w:val="17"/>
          <w:color w:val="0C0C0C"/>
        </w:rPr>
      </w:pPr>
      <w:r>
        <w:rPr>
          <w:rFonts w:ascii="Arial" w:cs="Arial" w:eastAsia="Arial" w:hAnsi="Arial"/>
          <w:sz w:val="17"/>
          <w:szCs w:val="17"/>
          <w:b w:val="1"/>
          <w:bCs w:val="1"/>
          <w:i w:val="1"/>
          <w:iCs w:val="1"/>
          <w:color w:val="0C0C0C"/>
        </w:rPr>
        <w:t xml:space="preserve">Custody: </w:t>
      </w:r>
      <w:r>
        <w:rPr>
          <w:rFonts w:ascii="Arial" w:cs="Arial" w:eastAsia="Arial" w:hAnsi="Arial"/>
          <w:sz w:val="17"/>
          <w:szCs w:val="17"/>
          <w:color w:val="0C0C0C"/>
        </w:rPr>
        <w:t>Our institutional-grade qualified custody solution caters to more experienced market participants and also supports a portion of our</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consumer-facing crypto business. This solution is primarily provided by our subsidiary, Bakkt Trust Company LLC (“Bakkt Trust”), a limited</w:t>
      </w:r>
    </w:p>
    <w:p>
      <w:pPr>
        <w:spacing w:after="0" w:line="1" w:lineRule="exact"/>
        <w:rPr>
          <w:rFonts w:ascii="Arial" w:cs="Arial" w:eastAsia="Arial" w:hAnsi="Arial"/>
          <w:sz w:val="17"/>
          <w:szCs w:val="17"/>
          <w:color w:val="0C0C0C"/>
        </w:rPr>
      </w:pPr>
    </w:p>
    <w:p>
      <w:pPr>
        <w:jc w:val="both"/>
        <w:ind w:left="660"/>
        <w:spacing w:after="0" w:line="325" w:lineRule="auto"/>
        <w:rPr>
          <w:rFonts w:ascii="Arial" w:cs="Arial" w:eastAsia="Arial" w:hAnsi="Arial"/>
          <w:sz w:val="17"/>
          <w:szCs w:val="17"/>
          <w:color w:val="0C0C0C"/>
        </w:rPr>
      </w:pPr>
      <w:r>
        <w:rPr>
          <w:rFonts w:ascii="Arial" w:cs="Arial" w:eastAsia="Arial" w:hAnsi="Arial"/>
          <w:sz w:val="16"/>
          <w:szCs w:val="16"/>
          <w:color w:val="0C0C0C"/>
        </w:rPr>
        <w:t>purpose trust company that is supervised by the New York State Department of Financial Services (“NYDFS”) and governed by an independent Board of Managers. In connection to the acquisition of Apex Crypto, we acquired third-party custodial relationships with BitGo and Coinbase</w:t>
      </w:r>
    </w:p>
    <w:p>
      <w:pPr>
        <w:spacing w:after="0" w:line="1" w:lineRule="exact"/>
        <w:rPr>
          <w:rFonts w:ascii="Arial" w:cs="Arial" w:eastAsia="Arial" w:hAnsi="Arial"/>
          <w:sz w:val="17"/>
          <w:szCs w:val="17"/>
          <w:color w:val="0C0C0C"/>
        </w:rPr>
      </w:pPr>
    </w:p>
    <w:p>
      <w:pPr>
        <w:jc w:val="both"/>
        <w:ind w:left="660"/>
        <w:spacing w:after="0" w:line="303" w:lineRule="auto"/>
        <w:rPr>
          <w:rFonts w:ascii="Arial" w:cs="Arial" w:eastAsia="Arial" w:hAnsi="Arial"/>
          <w:sz w:val="17"/>
          <w:szCs w:val="17"/>
          <w:color w:val="0C0C0C"/>
        </w:rPr>
      </w:pPr>
      <w:r>
        <w:rPr>
          <w:rFonts w:ascii="Arial" w:cs="Arial" w:eastAsia="Arial" w:hAnsi="Arial"/>
          <w:sz w:val="18"/>
          <w:szCs w:val="18"/>
          <w:color w:val="0C0C0C"/>
        </w:rPr>
        <w:t>Custody, which are currently used by Bakkt Crypto for custody and coin transfers, where applicable. In addition, Bakkt Crypto also self-custodies select coins to facilitate consumer withdrawals. Our intention is to consolidate our self-custodial services while still offering diversification across custodians for clients that request 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hanging="328"/>
        <w:spacing w:after="0" w:line="23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0C0C0C"/>
        </w:rPr>
        <w:t xml:space="preserve">Trading: </w:t>
      </w:r>
      <w:r>
        <w:rPr>
          <w:rFonts w:ascii="Arial" w:cs="Arial" w:eastAsia="Arial" w:hAnsi="Arial"/>
          <w:sz w:val="18"/>
          <w:szCs w:val="18"/>
          <w:color w:val="000000"/>
        </w:rPr>
        <w:t>Bakkt Marketplace, LLC (“Bakkt Marketplace”), together with its wholly owned subsidiary Bakkt Crypto, operates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platforms that</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provide consumers with the ability to buy, sell and store crypto in a simple, intuitive digital experience accessed via application programming interfaces or embedded web experience. We aim to enable businesses in various industries - such as fintechs, financial institutions and wallet providers - to provide their customers with the ability to transact in crypto directly in their trusted environments. W</w:t>
      </w:r>
      <w:r>
        <w:rPr>
          <w:rFonts w:ascii="Arial" w:cs="Arial" w:eastAsia="Arial" w:hAnsi="Arial"/>
          <w:sz w:val="18"/>
          <w:szCs w:val="18"/>
          <w:color w:val="000000"/>
        </w:rPr>
        <w:t>e currently facilitate</w:t>
      </w:r>
      <w:r>
        <w:rPr>
          <w:rFonts w:ascii="Arial" w:cs="Arial" w:eastAsia="Arial" w:hAnsi="Arial"/>
          <w:sz w:val="18"/>
          <w:szCs w:val="18"/>
          <w:color w:val="0C0C0C"/>
        </w:rPr>
        <w:t xml:space="preserve"> </w:t>
      </w:r>
      <w:r>
        <w:rPr>
          <w:rFonts w:ascii="Arial" w:cs="Arial" w:eastAsia="Arial" w:hAnsi="Arial"/>
          <w:sz w:val="18"/>
          <w:szCs w:val="18"/>
          <w:color w:val="000000"/>
        </w:rPr>
        <w:t>transactions in the crypto assets listed in the table below.</w:t>
      </w:r>
    </w:p>
    <w:p>
      <w:pPr>
        <w:spacing w:after="0" w:line="254" w:lineRule="exact"/>
        <w:rPr>
          <w:sz w:val="20"/>
          <w:szCs w:val="20"/>
          <w:color w:val="auto"/>
        </w:rPr>
      </w:pPr>
    </w:p>
    <w:tbl>
      <w:tblPr>
        <w:tblLayout w:type="fixed"/>
        <w:tblInd w:w="3570" w:type="dxa"/>
        <w:tblCellMar>
          <w:top w:w="0" w:type="dxa"/>
          <w:left w:w="0" w:type="dxa"/>
          <w:bottom w:w="0" w:type="dxa"/>
          <w:right w:w="0" w:type="dxa"/>
        </w:tblCellMar>
      </w:tblPr>
      <w:tr>
        <w:trPr>
          <w:trHeight w:val="275"/>
        </w:trPr>
        <w:tc>
          <w:tcPr>
            <w:tcW w:w="2500" w:type="dxa"/>
            <w:vAlign w:val="bottom"/>
            <w:tcBorders>
              <w:top w:val="single" w:sz="8" w:color="auto"/>
              <w:left w:val="single" w:sz="8" w:color="auto"/>
              <w:bottom w:val="single" w:sz="8" w:color="EEECE1"/>
              <w:right w:val="single" w:sz="8" w:color="auto"/>
            </w:tcBorders>
            <w:shd w:val="clear" w:color="auto" w:fill="EEECE1"/>
          </w:tcPr>
          <w:p>
            <w:pPr>
              <w:ind w:left="40"/>
              <w:spacing w:after="0"/>
              <w:rPr>
                <w:sz w:val="20"/>
                <w:szCs w:val="20"/>
                <w:color w:val="auto"/>
              </w:rPr>
            </w:pPr>
            <w:r>
              <w:rPr>
                <w:rFonts w:ascii="Arial" w:cs="Arial" w:eastAsia="Arial" w:hAnsi="Arial"/>
                <w:sz w:val="18"/>
                <w:szCs w:val="18"/>
                <w:color w:val="auto"/>
              </w:rPr>
              <w:t>Crypto Asset</w:t>
            </w:r>
          </w:p>
        </w:tc>
        <w:tc>
          <w:tcPr>
            <w:tcW w:w="1640" w:type="dxa"/>
            <w:vAlign w:val="bottom"/>
            <w:tcBorders>
              <w:top w:val="single" w:sz="8" w:color="auto"/>
              <w:bottom w:val="single" w:sz="8" w:color="EEECE1"/>
              <w:right w:val="single" w:sz="8" w:color="auto"/>
            </w:tcBorders>
            <w:shd w:val="clear" w:color="auto" w:fill="EEECE1"/>
          </w:tcPr>
          <w:p>
            <w:pPr>
              <w:ind w:left="20"/>
              <w:spacing w:after="0"/>
              <w:rPr>
                <w:sz w:val="20"/>
                <w:szCs w:val="20"/>
                <w:color w:val="auto"/>
              </w:rPr>
            </w:pPr>
            <w:r>
              <w:rPr>
                <w:rFonts w:ascii="Arial" w:cs="Arial" w:eastAsia="Arial" w:hAnsi="Arial"/>
                <w:sz w:val="18"/>
                <w:szCs w:val="18"/>
                <w:color w:val="auto"/>
              </w:rPr>
              <w:t>Symbol</w:t>
            </w:r>
          </w:p>
        </w:tc>
      </w:tr>
      <w:tr>
        <w:trPr>
          <w:trHeight w:val="224"/>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Bitcoin</w:t>
            </w:r>
          </w:p>
        </w:tc>
        <w:tc>
          <w:tcPr>
            <w:tcW w:w="1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BTC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Bitcoin Cash</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BCH</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Dogecoin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DOGE</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ETH</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Ether Classic</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ETC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Litecoin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Shiba Inu</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SHIB</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USD 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USDC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jc w:val="both"/>
        <w:ind w:left="660" w:firstLine="648"/>
        <w:spacing w:after="0" w:line="328" w:lineRule="auto"/>
        <w:rPr>
          <w:sz w:val="20"/>
          <w:szCs w:val="20"/>
          <w:color w:val="auto"/>
        </w:rPr>
      </w:pPr>
      <w:r>
        <w:rPr>
          <w:rFonts w:ascii="Arial" w:cs="Arial" w:eastAsia="Arial" w:hAnsi="Arial"/>
          <w:sz w:val="17"/>
          <w:szCs w:val="17"/>
          <w:color w:val="auto"/>
        </w:rPr>
        <w:t>We also intend to expand our services to include crypto rewards, as described in more detail below. As part of our ongoing review of potential services we have de-prioritized investment in Bakkt Payouts as a service offering as we work with our clients to understand the desired feature set and their timelines to implementation. Any new services will be subject to governance and regulatory approvals.</w:t>
      </w:r>
    </w:p>
    <w:p>
      <w:pPr>
        <w:spacing w:after="0" w:line="171" w:lineRule="exact"/>
        <w:rPr>
          <w:sz w:val="20"/>
          <w:szCs w:val="20"/>
          <w:color w:val="auto"/>
        </w:rPr>
      </w:pPr>
    </w:p>
    <w:p>
      <w:pPr>
        <w:jc w:val="both"/>
        <w:ind w:left="1300" w:hanging="320"/>
        <w:spacing w:after="0" w:line="303"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0C0C0C"/>
        </w:rPr>
        <w:t xml:space="preserve">Bakkt Rewards: </w:t>
      </w:r>
      <w:r>
        <w:rPr>
          <w:rFonts w:ascii="Arial" w:cs="Arial" w:eastAsia="Arial" w:hAnsi="Arial"/>
          <w:sz w:val="18"/>
          <w:szCs w:val="18"/>
          <w:color w:val="0C0C0C"/>
        </w:rPr>
        <w:t>Subject to regulatory approval, we are in the process of enabling clients of all sizes to offer their customers the ability to</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 xml:space="preserve">convert loyalty points earned through participation in the client's loyalty program into bitcoin (and, in the future, into other crypto assets depending on demand). </w:t>
      </w:r>
      <w:r>
        <w:rPr>
          <w:rFonts w:ascii="Arial" w:cs="Arial" w:eastAsia="Arial" w:hAnsi="Arial"/>
          <w:sz w:val="18"/>
          <w:szCs w:val="18"/>
          <w:color w:val="000000"/>
        </w:rPr>
        <w:t>We initially expect to offer this service in the first quarter of 2024.</w:t>
      </w:r>
    </w:p>
    <w:p>
      <w:pPr>
        <w:spacing w:after="0" w:line="175" w:lineRule="exact"/>
        <w:rPr>
          <w:sz w:val="20"/>
          <w:szCs w:val="20"/>
          <w:color w:val="auto"/>
        </w:rPr>
      </w:pPr>
    </w:p>
    <w:p>
      <w:pPr>
        <w:jc w:val="both"/>
        <w:ind w:left="660" w:firstLine="648"/>
        <w:spacing w:after="0" w:line="314" w:lineRule="auto"/>
        <w:rPr>
          <w:sz w:val="20"/>
          <w:szCs w:val="20"/>
          <w:color w:val="auto"/>
        </w:rPr>
      </w:pPr>
      <w:r>
        <w:rPr>
          <w:rFonts w:ascii="Arial" w:cs="Arial" w:eastAsia="Arial" w:hAnsi="Arial"/>
          <w:sz w:val="17"/>
          <w:szCs w:val="17"/>
          <w:color w:val="231F20"/>
        </w:rPr>
        <w:t>Bakkt Trust’s custody solution provides support to Bakkt Marketplace with respect to bitcoin and ether functionality. T</w:t>
      </w:r>
      <w:r>
        <w:rPr>
          <w:rFonts w:ascii="Arial" w:cs="Arial" w:eastAsia="Arial" w:hAnsi="Arial"/>
          <w:sz w:val="17"/>
          <w:szCs w:val="17"/>
          <w:color w:val="000000"/>
        </w:rPr>
        <w:t>he list of crypto</w:t>
      </w:r>
      <w:r>
        <w:rPr>
          <w:rFonts w:ascii="Arial" w:cs="Arial" w:eastAsia="Arial" w:hAnsi="Arial"/>
          <w:sz w:val="17"/>
          <w:szCs w:val="17"/>
          <w:color w:val="231F20"/>
        </w:rPr>
        <w:t xml:space="preserve"> </w:t>
      </w:r>
      <w:r>
        <w:rPr>
          <w:rFonts w:ascii="Arial" w:cs="Arial" w:eastAsia="Arial" w:hAnsi="Arial"/>
          <w:sz w:val="17"/>
          <w:szCs w:val="17"/>
          <w:color w:val="000000"/>
        </w:rPr>
        <w:t xml:space="preserve">assets for which </w:t>
      </w:r>
      <w:r>
        <w:rPr>
          <w:rFonts w:ascii="Arial" w:cs="Arial" w:eastAsia="Arial" w:hAnsi="Arial"/>
          <w:sz w:val="17"/>
          <w:szCs w:val="17"/>
          <w:color w:val="231F20"/>
        </w:rPr>
        <w:t>Bakkt Trust</w:t>
      </w:r>
      <w:r>
        <w:rPr>
          <w:rFonts w:ascii="Arial" w:cs="Arial" w:eastAsia="Arial" w:hAnsi="Arial"/>
          <w:sz w:val="17"/>
          <w:szCs w:val="17"/>
          <w:color w:val="000000"/>
        </w:rPr>
        <w:t xml:space="preserve"> provides custody services will expand by the end of this year to include more of the crypto assets which we support for trading. </w:t>
      </w:r>
      <w:r>
        <w:rPr>
          <w:rFonts w:ascii="Arial" w:cs="Arial" w:eastAsia="Arial" w:hAnsi="Arial"/>
          <w:sz w:val="17"/>
          <w:szCs w:val="17"/>
          <w:color w:val="231F20"/>
        </w:rPr>
        <w:t>In addition, Bakkt Crypto provides custodial services that support certain crypto tokens offered on the consumer platform.</w:t>
      </w:r>
      <w:r>
        <w:rPr>
          <w:rFonts w:ascii="Arial" w:cs="Arial" w:eastAsia="Arial" w:hAnsi="Arial"/>
          <w:sz w:val="17"/>
          <w:szCs w:val="17"/>
          <w:color w:val="000000"/>
        </w:rPr>
        <w:t xml:space="preserve"> </w:t>
      </w:r>
      <w:r>
        <w:rPr>
          <w:rFonts w:ascii="Arial" w:cs="Arial" w:eastAsia="Arial" w:hAnsi="Arial"/>
          <w:sz w:val="17"/>
          <w:szCs w:val="17"/>
          <w:color w:val="231F20"/>
        </w:rPr>
        <w:t xml:space="preserve">Additionally, until October 2, 2023, Bakkt Trust operated, in conjunction with Intercontinental Exchange, Inc. ("ICE"), regulated infrastructure for trading, clearing, and custody services for physically-delivered bitcoin futures (See Note 8 "Related Parties" below for a description of a recent delisting of some Bakkt Bitcoin futures and option contracts by </w:t>
      </w:r>
      <w:r>
        <w:rPr>
          <w:rFonts w:ascii="Arial" w:cs="Arial" w:eastAsia="Arial" w:hAnsi="Arial"/>
          <w:sz w:val="17"/>
          <w:szCs w:val="17"/>
          <w:color w:val="000000"/>
        </w:rPr>
        <w:t>ICE Futures U.S., Inc. ("IFUS")</w:t>
      </w:r>
      <w:r>
        <w:rPr>
          <w:rFonts w:ascii="Arial" w:cs="Arial" w:eastAsia="Arial" w:hAnsi="Arial"/>
          <w:sz w:val="17"/>
          <w:szCs w:val="17"/>
          <w:color w:val="231F20"/>
        </w:rPr>
        <w:t>). Bakkt Marketplace and Bakkt Crypto each hold a New York State virtual currency license (commonly referred to as a "BitLicense"), and money transmitter licenses from all states throughout the U.S. where such licenses are required for the operation of their business, and both are registered as a money services business with the Financial Crimes Enforcement Network of the United States Department of the Treasury.</w:t>
      </w:r>
    </w:p>
    <w:p>
      <w:pPr>
        <w:spacing w:after="0" w:line="169" w:lineRule="exact"/>
        <w:rPr>
          <w:sz w:val="20"/>
          <w:szCs w:val="20"/>
          <w:color w:val="auto"/>
        </w:rPr>
      </w:pPr>
    </w:p>
    <w:p>
      <w:pPr>
        <w:jc w:val="both"/>
        <w:ind w:left="660" w:firstLine="648"/>
        <w:spacing w:after="0" w:line="303" w:lineRule="auto"/>
        <w:rPr>
          <w:sz w:val="20"/>
          <w:szCs w:val="20"/>
          <w:color w:val="auto"/>
        </w:rPr>
      </w:pPr>
      <w:r>
        <w:rPr>
          <w:rFonts w:ascii="Arial" w:cs="Arial" w:eastAsia="Arial" w:hAnsi="Arial"/>
          <w:sz w:val="18"/>
          <w:szCs w:val="18"/>
          <w:color w:val="auto"/>
        </w:rPr>
        <w:t>We are also expanding into new international markets. We are currently offering crypto services in Latin America, and expect crypto services to launch in the United Kingdom, Hong Kong, Dubai, Australia and Spain by the end of this year. We expect to continue to pursue new international markets in the future by working with our existing client base as well as targeting new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Loyalty</w:t>
      </w:r>
    </w:p>
    <w:p>
      <w:pPr>
        <w:spacing w:after="0" w:line="27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9"/>
          <w:szCs w:val="19"/>
          <w:color w:val="0C0C0C"/>
        </w:rPr>
      </w:pPr>
      <w:r>
        <w:rPr>
          <w:rFonts w:ascii="Arial" w:cs="Arial" w:eastAsia="Arial" w:hAnsi="Arial"/>
          <w:sz w:val="17"/>
          <w:szCs w:val="17"/>
          <w:color w:val="0C0C0C"/>
        </w:rPr>
        <w:t>We offer a full spectrum of content that our clients can make available to their customers when redeeming loyalty currencies. Our redemption</w:t>
      </w:r>
    </w:p>
    <w:p>
      <w:pPr>
        <w:spacing w:after="0" w:line="38" w:lineRule="exact"/>
        <w:rPr>
          <w:rFonts w:ascii="Arial" w:cs="Arial" w:eastAsia="Arial" w:hAnsi="Arial"/>
          <w:sz w:val="19"/>
          <w:szCs w:val="19"/>
          <w:color w:val="0C0C0C"/>
        </w:rPr>
      </w:pPr>
    </w:p>
    <w:p>
      <w:pPr>
        <w:jc w:val="both"/>
        <w:ind w:left="660"/>
        <w:spacing w:after="0" w:line="303" w:lineRule="auto"/>
        <w:rPr>
          <w:rFonts w:ascii="Arial" w:cs="Arial" w:eastAsia="Arial" w:hAnsi="Arial"/>
          <w:sz w:val="19"/>
          <w:szCs w:val="19"/>
          <w:color w:val="0C0C0C"/>
        </w:rPr>
      </w:pPr>
      <w:r>
        <w:rPr>
          <w:rFonts w:ascii="Arial" w:cs="Arial" w:eastAsia="Arial" w:hAnsi="Arial"/>
          <w:sz w:val="18"/>
          <w:szCs w:val="18"/>
          <w:color w:val="0C0C0C"/>
        </w:rPr>
        <w:t>solutions span a variety of rewards categories including merchandise (such as Apple products and services), gift cards and digital experiences. Our travel solution offers a retail e-commerce booking platform, as well as live-agent booking and servicing. Our platform provides a unified shopping experience that 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20"/>
        <w:spacing w:after="0" w:line="303" w:lineRule="auto"/>
        <w:rPr>
          <w:sz w:val="20"/>
          <w:szCs w:val="20"/>
          <w:color w:val="auto"/>
        </w:rPr>
      </w:pPr>
      <w:r>
        <w:rPr>
          <w:rFonts w:ascii="Arial" w:cs="Arial" w:eastAsia="Arial" w:hAnsi="Arial"/>
          <w:sz w:val="18"/>
          <w:szCs w:val="18"/>
          <w:color w:val="0C0C0C"/>
        </w:rPr>
        <w:t>configurable for our clients and their loyalty programs. Capabilities include a mobile-first user experience, a multi-tier construct to accommodate loyalty tiers, comprehensive fraud protection capabilities and a split-tender payments platform to accept both points and credit cards as a form of payment.</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policies are as set forth in the notes to our Annual Report on Form 10-K for the year ended December 31, 2022 (our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The interim results for the nine months ended September 30, 2023 are not necessarily indicative of the results that may be expected for the year ending December 31, 2023, or for any other future annual or interim period. These consolidated financial statements should be read in conjunction with the Company’s audited financial statements and accompanying notes thereto included in our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those that are related to going concern,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accompanying unaudited Consolidated Financial Statements are prepared in accordance with U.S. GAAP applicable to a going concern.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in conjunction with the issuance of the September 30, 2023 unaudited Consolidated Financial Statements</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We have incurred net losses and consumed cashflow from operations since our inception. For the nine months ended September 30, 2023 we incurred a net loss of $147.1 million and consumed $53.9 million of cash in operations. The Company has historically relied on its existing cash and available-for-sale securities portfolio to fund operations. As of September 30, 2023 the Company had $68.2 million of available cash and cash equivalents that was not restricted or required to be held for regulatory capital (see Note 13) and $22.7 million in available-for-sale securities. The Company does not have any debt to service but has commitments under long-term cloud computing, lease and marketing contracts as described in Notes 14 and 17. We expect to continue to incur losses and consume cash for the foreseeable future and will require additional capital to continue to fund operations or will need to take other measures to reduce our cash burn. Due to the challenging nature of our business and regulatory environment, we have limited prospects to secure additional debt or equity financing. In forecasting our expectation of cash needs for the initial ASC 205-40 evaluation, the crypto revenue growth projections exclude expansion to international retail crypto markets where such arrangements are not signed, as well as activation of new partners currently not live on our platform as of the date of release of these Consolidated Financial Statements.</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losses and projected cash needs, combined with our current liquidity level, initially raised substantial doubt about our ability to continue as a going concern. Management’s plan to improve our liquidity and mitigate the substantial doubt includes integrating our regulated entities to reduce regulatory capital and insurance requirements. We expect these actions will increase available cash by approximately $11.5 million. Additionally, we have been executing a strategic plan to optimize our capital allocation and expense base since the fourth quarter of 2022. Management's plans over the next twelve months include the further reduction of cash expenses through continued alignment of headcount and vendor spend, and further reductions in our non-essential operating footprint.</w:t>
      </w:r>
    </w:p>
    <w:p>
      <w:pPr>
        <w:spacing w:after="0" w:line="1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Management believes the expected impact on our liquidity and cash flows resulting from the entity integration and the operational initiatives outlined above are probable of occurring, sufficient to enable us to meet our obligations for at least twelve months from the date the financial statements are issued and alleviate the conditions that initially raised substantial doubt about our ability to continue as a going concern.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Crypto Revenue Recognition</w:t>
      </w:r>
    </w:p>
    <w:p>
      <w:pPr>
        <w:spacing w:after="0" w:line="21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carry a single performance obligation which is execution of the trade. We consider the sale of customer crypto associated with delisted crypto to be revenue in the context of our contracts with customers. We own the crypto as it crosses our platform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three or nine months ended September 30, 2023.</w:t>
      </w:r>
    </w:p>
    <w:p>
      <w:pPr>
        <w:spacing w:after="0" w:line="16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are presented gross in our consolidated statement of operations.</w:t>
      </w:r>
    </w:p>
    <w:p>
      <w:pPr>
        <w:spacing w:after="0" w:line="177"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For the nine months ended September 30, 2023, there were no significant changes to the recently adopted accounting pronouncements applicable to us from those disclosed in Note 2 to the consolidated financial statements included in our Form 10-K.</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respectively,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Service Type</w:t>
            </w: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 revenue</w:t>
            </w:r>
            <w:r>
              <w:rPr>
                <w:rFonts w:ascii="Arial" w:cs="Arial" w:eastAsia="Arial" w:hAnsi="Arial"/>
                <w:sz w:val="23"/>
                <w:szCs w:val="23"/>
                <w:color w:val="auto"/>
                <w:vertAlign w:val="superscript"/>
              </w:rPr>
              <w:t>(a)</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548,774</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Subscription and service revenue</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are net of rebates and incentive payments of less than $0.1 million for both the three and nine months ended September 30, 2023,</w:t>
      </w:r>
    </w:p>
    <w:p>
      <w:pPr>
        <w:spacing w:after="0" w:line="61" w:lineRule="exact"/>
        <w:rPr>
          <w:rFonts w:ascii="Arial" w:cs="Arial" w:eastAsia="Arial" w:hAnsi="Arial"/>
          <w:sz w:val="17"/>
          <w:szCs w:val="17"/>
          <w:color w:val="auto"/>
        </w:rPr>
      </w:pPr>
    </w:p>
    <w:p>
      <w:pPr>
        <w:jc w:val="both"/>
        <w:ind w:left="340"/>
        <w:spacing w:after="0" w:line="303" w:lineRule="auto"/>
        <w:rPr>
          <w:rFonts w:ascii="Arial" w:cs="Arial" w:eastAsia="Arial" w:hAnsi="Arial"/>
          <w:sz w:val="17"/>
          <w:szCs w:val="17"/>
          <w:color w:val="auto"/>
        </w:rPr>
      </w:pPr>
      <w:r>
        <w:rPr>
          <w:rFonts w:ascii="Arial" w:cs="Arial" w:eastAsia="Arial" w:hAnsi="Arial"/>
          <w:sz w:val="18"/>
          <w:szCs w:val="18"/>
          <w:color w:val="auto"/>
        </w:rPr>
        <w:t>respectively, and less than $0.1 million and $0.4 million for the three and nine months ended September 30, 2022, respectively. Included in these amounts are amounts earned from related parties of less than $0.1 million for both the three and nine months ended September 30, 2023 and September 30,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Platform</w:t>
            </w: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Loyalty redemption platform</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Crypto services</w:t>
            </w:r>
            <w:r>
              <w:rPr>
                <w:rFonts w:ascii="Arial" w:cs="Arial" w:eastAsia="Arial" w:hAnsi="Arial"/>
                <w:sz w:val="23"/>
                <w:szCs w:val="23"/>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527,526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301"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are net of rebates and incentive payments of less than $0.1 million for both the three and nine months ended September 30, 2023, respectively, and less than $0.1 million and $0.4 million for the three and nine months ended September 30, 2022, respectively. Included in these amounts are amounts earned from related parties of less than $0.1 million for both the three and nine months ended September 30, 2023 and September 30, 2022,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recognized revenue from foreign jurisdictions of $1.1 million and $2.8 million for the three and nine months ended September 30, 2023, respectively, and $0.8 million and $2.8 million for the three and nine months ended September 30, 2022,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to which our revenues relate.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nine months ended September 30, 2023 and September 30, 2022, respectively,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128905</wp:posOffset>
            </wp:positionV>
            <wp:extent cx="2434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16"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40" w:hanging="15"/>
        <w:spacing w:after="0" w:line="292" w:lineRule="auto"/>
        <w:rPr>
          <w:sz w:val="20"/>
          <w:szCs w:val="20"/>
          <w:color w:val="auto"/>
        </w:rPr>
      </w:pPr>
      <w:r>
        <w:rPr>
          <w:rFonts w:ascii="Arial" w:cs="Arial" w:eastAsia="Arial" w:hAnsi="Arial"/>
          <w:sz w:val="14"/>
          <w:szCs w:val="14"/>
          <w:b w:val="1"/>
          <w:bCs w:val="1"/>
          <w:color w:val="auto"/>
        </w:rPr>
        <w:t>Nine Months Ended September 30, 2022</w:t>
      </w:r>
    </w:p>
    <w:p>
      <w:pPr>
        <w:spacing w:after="0" w:line="1" w:lineRule="exact"/>
        <w:rPr>
          <w:sz w:val="20"/>
          <w:szCs w:val="20"/>
          <w:color w:val="auto"/>
        </w:rPr>
      </w:pPr>
    </w:p>
    <w:p>
      <w:pPr>
        <w:sectPr>
          <w:pgSz w:w="11900" w:h="16838" w:orient="portrait"/>
          <w:cols w:equalWidth="0" w:num="2">
            <w:col w:w="9040" w:space="600"/>
            <w:col w:w="160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7,084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9,448</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720" w:type="dxa"/>
            <w:vAlign w:val="bottom"/>
          </w:tcPr>
          <w:p>
            <w:pPr>
              <w:spacing w:after="0"/>
              <w:rPr>
                <w:sz w:val="21"/>
                <w:szCs w:val="21"/>
                <w:color w:val="auto"/>
              </w:rPr>
            </w:pPr>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91"/>
              </w:rPr>
              <w:t>(3,055)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94"/>
              </w:rPr>
              <w:t>(3,629)</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due to cash received, net of amounts recognized in revenue during the period</w:t>
            </w:r>
          </w:p>
        </w:tc>
        <w:tc>
          <w:tcPr>
            <w:tcW w:w="7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3,191</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1,596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8"/>
              </w:rPr>
              <w:t>7,220</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7,415</w:t>
            </w:r>
          </w:p>
        </w:tc>
      </w:tr>
      <w:tr>
        <w:trPr>
          <w:trHeight w:val="21"/>
        </w:trPr>
        <w:tc>
          <w:tcPr>
            <w:tcW w:w="7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September 30, 2023, the aggregate amount of the transaction price allocated to the remaining performance obligations related to partially completed contracts is $20.5 million, comprised of $13.3 million of subscription fees and $7.2 million of service fees that are deferred. We recognize our subscription fees as revenue over a weighted-average period of 29 months (ranges from 1 month – 36 months) and our service fees as revenue over approximately 14 months.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September 30, 2022, the aggregate amount of the transaction price allocated to the remaining performance obligations related to partially completed contracts is $21.9 million, comprised of $14.5 million of subscription fees and $7.4 million of service fees that are deferred. We recognize our subscription fees as revenue over a weighted-average period of 41 months (ranges from 3 months – 48 months) and our service fees as revenue over approximately 24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For the three and nine months ended September 30, 2023 and September 30, 2022, we incurred no incremental costs to obtain and/or fulfill contracts with customers.</w:t>
      </w:r>
    </w:p>
    <w:p>
      <w:pPr>
        <w:spacing w:after="0" w:line="15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Asset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Apex Crypto</w:t>
      </w:r>
    </w:p>
    <w:p>
      <w:pPr>
        <w:spacing w:after="0" w:line="25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$9.1 million in Class A common stock payable based on Apex Crypto’s performance in the fourth quarter of 2022, and $12.2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 The Company has since recognized expense of $(0.3) million and $10.1 million during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three and nine months ended September 30, 2023, respectively, to adjust the value of the contingent consideration. The Company’s evaluation of the fair value of the contingent consideration and of the assets acquired and the liabilities assumed is preliminary. Accordingly, the adjustments to record the assets acquired and the liabilities assumed at fair value reflect the best estimates of the Company based on the information currently available and are subject to change once additional analyses are completed.</w:t>
      </w:r>
    </w:p>
    <w:p>
      <w:pPr>
        <w:spacing w:after="0" w:line="17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preliminary reconciliation of the fair value of consideration transferred in the acquisition to the fair value of the assets acquired and liabilities assumed.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consideration paid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9760" w:type="dxa"/>
            <w:vAlign w:val="bottom"/>
          </w:tcPr>
          <w:p>
            <w:pPr>
              <w:ind w:left="240"/>
              <w:spacing w:after="0"/>
              <w:rPr>
                <w:sz w:val="20"/>
                <w:szCs w:val="20"/>
                <w:color w:val="auto"/>
              </w:rPr>
            </w:pPr>
            <w:r>
              <w:rPr>
                <w:rFonts w:ascii="Arial" w:cs="Arial" w:eastAsia="Arial" w:hAnsi="Arial"/>
                <w:sz w:val="18"/>
                <w:szCs w:val="18"/>
                <w:color w:val="auto"/>
              </w:rPr>
              <w:t>Cash paid for working capital and cash</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at transaction close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Estimated fair value of Class A common stock contingent consideration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9"/>
        </w:trPr>
        <w:tc>
          <w:tcPr>
            <w:tcW w:w="97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Safeguarding asset for crypto</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assets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760" w:type="dxa"/>
            <w:vAlign w:val="bottom"/>
          </w:tcPr>
          <w:p>
            <w:pPr>
              <w:ind w:left="240"/>
              <w:spacing w:after="0"/>
              <w:rPr>
                <w:sz w:val="20"/>
                <w:szCs w:val="20"/>
                <w:color w:val="auto"/>
              </w:rPr>
            </w:pPr>
            <w:r>
              <w:rPr>
                <w:rFonts w:ascii="Arial" w:cs="Arial" w:eastAsia="Arial" w:hAnsi="Arial"/>
                <w:sz w:val="18"/>
                <w:szCs w:val="18"/>
                <w:color w:val="auto"/>
              </w:rPr>
              <w:t>Intangible assets - developed technology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 customer relationships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97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Safeguarding obligation for crypto</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above fair values are as of the acquisition date. The acquired intangible assets and goodwill required the use of significant unobservable inputs including partner activation forecasts, expectations about customer trading volume and frequency, customer attrition rates, and estimated useful lives of acquired technology and discount rates.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Other assets and liabilities were carried over at their acquired costs which was not materially different than their fair values.</w:t>
      </w:r>
    </w:p>
    <w:p>
      <w:pPr>
        <w:spacing w:after="0" w:line="18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contingent consideration payable in Class A common stock to Apex Crypto's former owners based on the performance of the business in the 2023-2025 annual periods was estimated using a Monte Carlo model given the range of possible outcomes.</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Revenue generated by Apex Crypto for the three and nine months ended September 30, 2023 was $191.4 million and $526.7 million, respectively, and is included in the Company's statements of operations. Net loss generated by Apex Crypto for the three and nine months ended September 30, 2023 was $8.4 million and $17.0 million, respectively, and is included in the Company's statements of operations.</w:t>
      </w:r>
    </w:p>
    <w:p>
      <w:pPr>
        <w:spacing w:after="0" w:line="18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nine months ended September 30, 2023 would be $1,011.0 million. Proforma revenue for the three and nine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months ended September 30, 2022 would be $496.2 million and $2,695.6 million, respectively. Proforma net loss for the nine months ended September 30, 2023 would be $148.3 million. Proforma net loss for the three and nine months ended September 30, 2022 would be $1,601.9 million and $1,675.4 million,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the acquisition, we changed the name of Apex Crypto to Bakkt Crypto Solutions, LLC ("Bakkt Crypto").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Bumped Financial, LLC</w:t>
      </w:r>
    </w:p>
    <w:p>
      <w:pPr>
        <w:spacing w:after="0" w:line="26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On February 8, 2023, we acquired 100% of the units of Bumped Financial, LLC, which we subsequently renamed Bakkt Brokerage, LLC ("Bakkt Brokerage"), a broker-dealer registered with the SEC and the Financial Industry Regulatory Authority, Inc., for cash consideration of $631,000.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Arial" w:cs="Arial" w:eastAsia="Arial" w:hAnsi="Arial"/>
                <w:sz w:val="18"/>
                <w:szCs w:val="18"/>
                <w:b w:val="1"/>
                <w:bCs w:val="1"/>
                <w:color w:val="auto"/>
              </w:rPr>
              <w:t>5.  Goodwill and Intangible Assets, Net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60" w:type="dxa"/>
            <w:vAlign w:val="bottom"/>
          </w:tcPr>
          <w:p>
            <w:pPr>
              <w:ind w:left="660"/>
              <w:spacing w:after="0"/>
              <w:rPr>
                <w:sz w:val="20"/>
                <w:szCs w:val="20"/>
                <w:color w:val="auto"/>
              </w:rPr>
            </w:pPr>
            <w:r>
              <w:rPr>
                <w:rFonts w:ascii="Arial" w:cs="Arial" w:eastAsia="Arial" w:hAnsi="Arial"/>
                <w:sz w:val="18"/>
                <w:szCs w:val="18"/>
                <w:color w:val="auto"/>
              </w:rPr>
              <w:t>Changes in goodwill consisted of the following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9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Apex acquisition</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During the period ended September 30,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determinative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of $16.6 million, $3.1 million and $3.7 million, respectively. No impairment of the recently acquired Apex Crypto customer-relationships or developed technology was indicated. No goodwill impairment was indicated by the quantitative assessment and no goodwill impairment charges have been recognized in the nine months ended September 30, 2023.</w:t>
      </w:r>
    </w:p>
    <w:p>
      <w:pPr>
        <w:spacing w:after="0" w:line="17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16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During the period ended September 30, 2022, we concluded it was more likely than not the fair value of our equity was lower than book basis as of September 30, 2022, and our indefinite-lived intangible assets, long-lived assets and goodwill should be evaluated for impairment as of September 30, 2022. Our conclusion was based on several determinative factors, including the elongated timing for expected crypto product activations and the sustained decline in our market capitalization as of September 30, 2022.</w:t>
      </w:r>
    </w:p>
    <w:p>
      <w:pPr>
        <w:spacing w:after="0" w:line="177"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After assessing the totality of circumstances and giving effect to the indefinite-lived intangible asset impairment described below, as of September 30, 2022 we concluded that the carrying value of our reporting unit exceeded its fair value and recorded a goodwill impairment of $1,389.9 million.</w:t>
      </w:r>
    </w:p>
    <w:p>
      <w:pPr>
        <w:spacing w:after="0" w:line="123"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Our goodwill impairment analysis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2022 and in consultation with third party valuation specialists. We used discount rates that were commensurate with the risks and uncertainty inherent in our business. Assumptions used, such as forecasted growth rates, capital expenditures, and our cost of capital, were consistent with our internal projections and operating plans as of September 30, 2022.</w:t>
      </w:r>
    </w:p>
    <w:p>
      <w:pPr>
        <w:spacing w:after="0" w:line="165"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During the period ended September 30, 2022, we also concluded that the fair value of our licenses and trademark/trade name indefinite-lived intangible assets fell below their carrying values as of September 30, 2022 and recorded impairments of $131.3 million and $26.5 million, respectively.</w:t>
      </w:r>
    </w:p>
    <w:p>
      <w:pPr>
        <w:spacing w:after="0" w:line="1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licenses intangible asset involved the use of an income approach which estimated the value of the in-place licenses as compared to cash flows if the licenses had to be obtained at a delay. Significant judgments used in this analysis were consistent with the inputs used in the income approach for the goodwill impairment analysis and the assumed time to obtain the licenses.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and the royalty rate.</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discount rate used in the valuations described above was 15.5%, which was 400 basis points higher than the discount rate assumed in the valuation of these intangibles for the VIH Business Combination. The higher discount rate reflected the higher risk-free rate and beta observed as of September 30, 2022 as compared to the October 15, 2021 VIH Business Combination valuation date.</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Our quantitative analysis of long-lived assets involved a comparison of undiscounted cash flows against the carrying value of the related assets which included finite-lived intangible assets and property, plant, and equipment. We concluded no impairment existed for the long-lived assets as of September 30, 2022. Significant judgments in this analysis were consistent with the inputs used in the income approach for the goodwill impairment analysis.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September 30, 2023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2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280" w:type="dxa"/>
            <w:vAlign w:val="bottom"/>
          </w:tcPr>
          <w:p>
            <w:pPr>
              <w:spacing w:after="0"/>
              <w:rPr>
                <w:sz w:val="13"/>
                <w:szCs w:val="13"/>
                <w:color w:val="auto"/>
              </w:rPr>
            </w:pPr>
          </w:p>
        </w:tc>
        <w:tc>
          <w:tcPr>
            <w:tcW w:w="136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(5,558)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right"/>
              <w:ind w:right="634"/>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(11,520)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(16,556)</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27,094</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82,141</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(17,078)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1"/>
              </w:rPr>
              <w:t>December 31, 2022</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260" w:type="dxa"/>
            <w:vAlign w:val="bottom"/>
          </w:tcPr>
          <w:p>
            <w:pPr>
              <w:spacing w:after="0"/>
              <w:rPr>
                <w:sz w:val="13"/>
                <w:szCs w:val="13"/>
                <w:color w:val="auto"/>
              </w:rPr>
            </w:pPr>
          </w:p>
        </w:tc>
        <w:tc>
          <w:tcPr>
            <w:tcW w:w="13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9"/>
              </w:rPr>
              <w:t>Accumulated</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241,320</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39,470</w:t>
            </w:r>
          </w:p>
        </w:tc>
        <w:tc>
          <w:tcPr>
            <w:tcW w:w="26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(31,470)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67,310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right"/>
              <w:ind w:right="694"/>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44,970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38,163</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393,070</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Amortization of intangible assets for the three and nine months ended September 30, 2023 was $2.6 million and $7.2 million, respectively, and is included in “Depreciation and amortization” in the statements of operations. Amortization of intangible assets for the three and nine months ended September 30, 2022 was $5.5 million and $16.3 million, respectively, and is included in “Depreciation and amortization” in the statements of operations.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for definite-lived intangible assets as of September 30, 2023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2023</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6,581</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w:t>
            </w:r>
          </w:p>
        </w:tc>
      </w:tr>
      <w:tr>
        <w:trPr>
          <w:trHeight w:val="248"/>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Intangible assets include crypto we own, which are accounted for as indefinite-lived intangible assets and are initially measured at cost (under a first-in, first-out basis) under the guidance in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These assets are not amortized, but assessed for impairment continually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 of operations. Impairment losses were not material to the three or nine months ended September 30, 2023. Our owned crypto are typically liquidated on a daily basis during the fulfillment of customer orders and settlement with our liquidity providers. We classify cash flows from crypto within cash flows from operating activities.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6.  Consolidated Balance Sheet Components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7040" w:type="dxa"/>
            <w:vAlign w:val="bottom"/>
          </w:tcPr>
          <w:p>
            <w:pPr>
              <w:ind w:left="660"/>
              <w:spacing w:after="0"/>
              <w:rPr>
                <w:sz w:val="20"/>
                <w:szCs w:val="20"/>
                <w:color w:val="auto"/>
              </w:rPr>
            </w:pPr>
            <w:r>
              <w:rPr>
                <w:rFonts w:ascii="Arial" w:cs="Arial" w:eastAsia="Arial" w:hAnsi="Arial"/>
                <w:sz w:val="18"/>
                <w:szCs w:val="18"/>
                <w:color w:val="auto"/>
              </w:rPr>
              <w:t>Accounts receivable,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00"/>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16,284</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Deposits at brokers or dealers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 receivable from liquidity providers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6,445</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Total accounts receivable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25,516</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payable and receivable to our liquidity providers are reported net by counterparty when the right of offset exists.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320" w:type="dxa"/>
            <w:vAlign w:val="bottom"/>
          </w:tcPr>
          <w:p>
            <w:pPr>
              <w:ind w:left="660"/>
              <w:spacing w:after="0"/>
              <w:rPr>
                <w:sz w:val="20"/>
                <w:szCs w:val="20"/>
                <w:color w:val="auto"/>
              </w:rPr>
            </w:pPr>
            <w:r>
              <w:rPr>
                <w:rFonts w:ascii="Arial" w:cs="Arial" w:eastAsia="Arial" w:hAnsi="Arial"/>
                <w:sz w:val="18"/>
                <w:szCs w:val="18"/>
                <w:color w:val="auto"/>
                <w:w w:val="94"/>
              </w:rPr>
              <w:t>Other current assets consisted of the following (in thousands):</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7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04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4,732</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Property, equipment and software, gross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26,046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21,619</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r>
      <w:tr>
        <w:trPr>
          <w:trHeight w:val="21"/>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and nine months ended September 30, 2023, depreciation and amortization expense related to property, equipment and software amounted to $1.4 million and $3.7 million, respectively, of which $0.5 million and $1.2 million, respectively, related to amortization expense of capitalized internal-use software placed in service.</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and nine months ended September 30, 2022, depreciation and amortization expense related to property, equipment and software amounted to $0.9 million and $2.0 million, respectively, of which $0.4 million and $0.7 million, respectively, related to amortization expense of capitalized internal-use software placed in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Total deposits at clearinghouses amounted to $0.2 million and $15.2 million as of September 30, 2023 and December 31, 2022, respectively. Deposits with clearinghouse historically have primarily consisted of the ICE Clear US, Inc. ("ICUS") default resource contribution; however, as described further in Note 8, ICUS returned the contribution on September 29, 2023, as a result of the recent delisting of </w:t>
      </w:r>
      <w:r>
        <w:rPr>
          <w:rFonts w:ascii="Arial" w:cs="Arial" w:eastAsia="Arial" w:hAnsi="Arial"/>
          <w:sz w:val="18"/>
          <w:szCs w:val="18"/>
          <w:color w:val="231F20"/>
        </w:rPr>
        <w:t>Bakkt Bitcoin futures and option contracts by</w:t>
      </w:r>
      <w:r>
        <w:rPr>
          <w:rFonts w:ascii="Arial" w:cs="Arial" w:eastAsia="Arial" w:hAnsi="Arial"/>
          <w:sz w:val="18"/>
          <w:szCs w:val="18"/>
          <w:color w:val="auto"/>
        </w:rPr>
        <w:t xml:space="preserve"> </w:t>
      </w:r>
      <w:r>
        <w:rPr>
          <w:rFonts w:ascii="Arial" w:cs="Arial" w:eastAsia="Arial" w:hAnsi="Arial"/>
          <w:sz w:val="18"/>
          <w:szCs w:val="18"/>
          <w:color w:val="231F20"/>
        </w:rPr>
        <w:t>IFUS.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60" w:type="dxa"/>
            <w:vAlign w:val="bottom"/>
          </w:tcPr>
          <w:p>
            <w:pPr>
              <w:ind w:left="660"/>
              <w:spacing w:after="0"/>
              <w:rPr>
                <w:sz w:val="20"/>
                <w:szCs w:val="20"/>
                <w:color w:val="auto"/>
              </w:rPr>
            </w:pPr>
            <w:r>
              <w:rPr>
                <w:rFonts w:ascii="Arial" w:cs="Arial" w:eastAsia="Arial" w:hAnsi="Arial"/>
                <w:sz w:val="18"/>
                <w:szCs w:val="18"/>
                <w:color w:val="auto"/>
              </w:rPr>
              <w:t>Other assets consisted of the following (in thousands):</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9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Arial" w:cs="Arial" w:eastAsia="Arial" w:hAnsi="Arial"/>
                <w:sz w:val="18"/>
                <w:szCs w:val="18"/>
                <w:color w:val="auto"/>
                <w:w w:val="97"/>
              </w:rPr>
              <w:t>Accounts payable and accrued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Payables to clients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Purchasing card payable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12,502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 payable</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Loyalty revenue share liability</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TRA provides for the payment by us to exchanging holders of Opco common units of 85% of certain net income tax benefits, if any, that we realize (or in certain cases are deemed to realize) as a result of these increases in tax</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2023, 22,704,377 Opco common units had been exchanged for Class A common stock. Refer to Note 14 regarding the contingency related to the TRA.</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$0.6 million and $2.2 million of expense related to the ICE TSA for the three and nine months ended September 30, 2023, respectively, which is reflected as “Related party expenses” in the consolidated statements of operations. We recognized $0.3 million and $0.9 million of expense related to the ICE TSA for the three and nine months ended September 30, 2022, respectively, which is reflected as “Related party expenses” in the consolidated statements of operations. As of September 30, 2023 and December 31, 2022, we had $1.6 million and $1.2 million, respectively, reflected as “Due to related party” in the consolidated balance sheets related to the ICE TSA.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three and nine months ended September 30, 2023 and September 30, 2022,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 The contribution requirement was $15.2 million as of December 31, 2022. The contribution was reflected as “Deposits with clearinghouse” in the consolidated balance sheets.</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As of September 30, 2023 and December 31, 2022, we had no amount recorded within “Due to related party” in the consolidated balance sheets related to the Triparty Agreement. As of September 30, 2023 and December 31, 2022, we had no amount recorded within “Accounts receivable, net” in the consolidated balance sheets related to the Triparty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Apex Crypto Technical Support</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$0.4 million of expense related to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Apex TSA for the three months ended September 30, 2023, which are reflected as “Related party expenses” in the consolidated statements of operations. As of September 30, 2023, we had approximately $0.2 million reflected as “Due to related party” in the consolidated balance sheets related to the Apex TSA.</w:t>
      </w:r>
    </w:p>
    <w:p>
      <w:pPr>
        <w:spacing w:after="0" w:line="18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September 30, 2023 and December 31, 2022, there were 7,140,808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three and nine months ended September 30, 2023, we did not receive any proceeds from the exercise of the public warrants. During the three and nine months ended September 30, 2022, we received less than $0.1 million in proceeds from the exercise of the public warrants. We recognized a loss from the change in fair value of the warrant liability during the three and nine months ended September 30, 2023 of $0.2 million and $0.9 million, respectively. We recognized a gain from the change in fair value of the warrant liability during the three and nine months ended September 30, 2022 of $0.4 million and $13.1 million, respectively.</w:t>
      </w:r>
    </w:p>
    <w:p>
      <w:pPr>
        <w:spacing w:after="0" w:line="191" w:lineRule="exact"/>
        <w:rPr>
          <w:sz w:val="20"/>
          <w:szCs w:val="20"/>
          <w:color w:val="auto"/>
        </w:rPr>
      </w:pPr>
    </w:p>
    <w:p>
      <w:pPr>
        <w:ind w:right="9280" w:firstLine="8"/>
        <w:spacing w:after="0" w:line="542" w:lineRule="auto"/>
        <w:tabs>
          <w:tab w:leader="none" w:pos="31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September 30, 2023, no shares of preferred stock have been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September 30, 2023 and December 31, 2022, there were 91,414,923 and 80,926,843 shares of Class A common stock issued and outstanding,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September 30, 2023, no dividends have been declared.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subject to prior distribution rights of preferred stock or any class or series of stock having a preference over the Class A common stock, then outstanding, if 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and nine months ended September 30, 2023, there were less than 0.1 million and 0.2 million Paired Interests exchanged for our Class A common stock, and the Company did not elect to settle any such exchanges in cash. As of September 30, 2023 and December 31, 2022, there were 183,249,426 and 183,482,777 shares of Class V common stock issued and outstanding,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will not be declared or paid on the Class V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ownership interest in Opco as of September 30, 2023 and December 31,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360" w:type="dxa"/>
            <w:vAlign w:val="bottom"/>
            <w:gridSpan w:val="3"/>
          </w:tcPr>
          <w:p>
            <w:pPr>
              <w:ind w:left="880"/>
              <w:spacing w:after="0"/>
              <w:rPr>
                <w:sz w:val="20"/>
                <w:szCs w:val="20"/>
                <w:color w:val="auto"/>
              </w:rPr>
            </w:pPr>
            <w:r>
              <w:rPr>
                <w:rFonts w:ascii="Arial" w:cs="Arial" w:eastAsia="Arial" w:hAnsi="Arial"/>
                <w:sz w:val="18"/>
                <w:szCs w:val="18"/>
                <w:b w:val="1"/>
                <w:bCs w:val="1"/>
                <w:color w:val="auto"/>
              </w:rPr>
              <w:t>September 30, 2023</w:t>
            </w:r>
          </w:p>
        </w:tc>
        <w:tc>
          <w:tcPr>
            <w:tcW w:w="32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December 31, 2022</w:t>
            </w:r>
          </w:p>
        </w:tc>
      </w:tr>
      <w:tr>
        <w:trPr>
          <w:trHeight w:val="180"/>
        </w:trPr>
        <w:tc>
          <w:tcPr>
            <w:tcW w:w="4620" w:type="dxa"/>
            <w:vAlign w:val="bottom"/>
          </w:tcPr>
          <w:p>
            <w:pPr>
              <w:spacing w:after="0"/>
              <w:rPr>
                <w:sz w:val="15"/>
                <w:szCs w:val="15"/>
                <w:color w:val="auto"/>
              </w:rPr>
            </w:pPr>
          </w:p>
        </w:tc>
        <w:tc>
          <w:tcPr>
            <w:tcW w:w="1740" w:type="dxa"/>
            <w:vAlign w:val="bottom"/>
          </w:tcPr>
          <w:p>
            <w:pPr>
              <w:jc w:val="right"/>
              <w:ind w:right="650"/>
              <w:spacing w:after="0" w:line="181" w:lineRule="exact"/>
              <w:rPr>
                <w:sz w:val="20"/>
                <w:szCs w:val="20"/>
                <w:color w:val="auto"/>
              </w:rPr>
            </w:pPr>
            <w:r>
              <w:rPr>
                <w:rFonts w:ascii="Arial" w:cs="Arial" w:eastAsia="Arial" w:hAnsi="Arial"/>
                <w:sz w:val="18"/>
                <w:szCs w:val="18"/>
                <w:b w:val="1"/>
                <w:bCs w:val="1"/>
                <w:color w:val="auto"/>
              </w:rPr>
              <w:t>Opco</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ind w:right="670"/>
              <w:spacing w:after="0" w:line="181" w:lineRule="exact"/>
              <w:rPr>
                <w:sz w:val="20"/>
                <w:szCs w:val="20"/>
                <w:color w:val="auto"/>
              </w:rPr>
            </w:pPr>
            <w:r>
              <w:rPr>
                <w:rFonts w:ascii="Arial" w:cs="Arial" w:eastAsia="Arial" w:hAnsi="Arial"/>
                <w:sz w:val="18"/>
                <w:szCs w:val="18"/>
                <w:b w:val="1"/>
                <w:bCs w:val="1"/>
                <w:color w:val="auto"/>
              </w:rPr>
              <w:t>Opco</w:t>
            </w:r>
          </w:p>
        </w:tc>
        <w:tc>
          <w:tcPr>
            <w:tcW w:w="1500" w:type="dxa"/>
            <w:vAlign w:val="bottom"/>
          </w:tcPr>
          <w:p>
            <w:pPr>
              <w:spacing w:after="0"/>
              <w:rPr>
                <w:sz w:val="15"/>
                <w:szCs w:val="15"/>
                <w:color w:val="auto"/>
              </w:rPr>
            </w:pPr>
          </w:p>
        </w:tc>
      </w:tr>
      <w:tr>
        <w:trPr>
          <w:trHeight w:val="243"/>
        </w:trPr>
        <w:tc>
          <w:tcPr>
            <w:tcW w:w="462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Ownership %</w:t>
            </w: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91,414,923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80,926,843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183,249,426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183,482,777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274,664,349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264,409,620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and nine months ended September 30, 2023 was 66.5% and 67.4%,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66"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17"/>
          <w:szCs w:val="17"/>
          <w:color w:val="auto"/>
        </w:rPr>
        <w:t>In May, 2020, Opco issued a warrant to a minority investor to purchase 3,603,600 of Opco’s Class C voting units (“Class C Warrant”), at an exercise price of $1.11 per unit. Refer to Note 10 to the consolidated financial statements included in our Form 10-K for additional information.</w:t>
      </w:r>
    </w:p>
    <w:p>
      <w:pPr>
        <w:spacing w:after="0" w:line="16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In connection with the VIH Business Combination, the modified warrant units automatically converted into the right to purchase 793,352 Paired Interests in Opco at an exercise price of $5.04 per Paired Interest. As of September 30, 2023, 172,055 modified warrant units have vested but have not been exercised, and the remaining 621,297 warrant units have not vested or been exercised. No expenses were recorded during the three and nine months ended September 30, 2023 and September 30, 2022, since the service conditions were not probable of being met in those periods.</w:t>
      </w:r>
    </w:p>
    <w:p>
      <w:pPr>
        <w:spacing w:after="0" w:line="175" w:lineRule="exact"/>
        <w:rPr>
          <w:sz w:val="20"/>
          <w:szCs w:val="20"/>
          <w:color w:val="auto"/>
        </w:rPr>
      </w:pPr>
    </w:p>
    <w:p>
      <w:pPr>
        <w:ind w:right="7560" w:firstLine="8"/>
        <w:spacing w:after="0" w:line="542" w:lineRule="auto"/>
        <w:tabs>
          <w:tab w:leader="none" w:pos="30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26,590,466 shares the number of authorized shares of Class A common stock available for issuance for a new total of 52,407,412 shares authorized. No award may vest earlier than the first anniversary of the date of grant, subject to limited exceptions.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During the three and nine months ended September 30, 2023, we granted 92,820 and 7,783,077 RSUs, respectively, to employees and directors. We did not grant any PSUs to employees or directors during the three months ended September 30, 2023. During the nine months ended September 30, 2023, we granted 673,627 PSUs to employees which represents 100% of the target award. During the three and nine months ended September 30, 2022, we granted 869,589 and 10,162,061 RSUs, respectively, to employees and directors. During the three and nine months ended September 30, 2022, we granted 225,000 and 5,116,984 PSUs, respectively, to employees which represents 100% of the target award.</w:t>
      </w:r>
    </w:p>
    <w:p>
      <w:pPr>
        <w:spacing w:after="0" w:line="18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recorded $2.7 million and $12.1 million of share-based compensation expense related to RSUs during the three and nine months ended September 30, 2023, respectively. We recorded $4.0 million and $20.7 million of share-based compensation expense related to RSUs during the three and nine months ended September 30, 2022, respectively. We recorded $0.3 million and $2.2 million of share-based compensation expense related to PSUs during the three and nine months ended September 30, 2023, reflecting expected performance relative to PSU performance targets. We recorded $3.6 million and $8.2 million of share-based compensation expense related to PSUs during the three and nine months ended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September 30, 2022, respectively. Share-based compensation expense for both RSUs and PSUs is included in “Compensation and benefits” in the consolidated statements of operations.</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September 30, 2023 and December 31, 2022 was $19.4 million and $29.9 million, respectively, for the RSUs and PSUs. The unrecognized compensation expense as of September 30, 2023 and December 31, 2022 will be recognized over a weighted-average period of 1.57 years and 2.05 years,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5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tables summarize RSU and PSU activity under the 2021 Incentive Plan for the nine months ended September 30, 2023 (in thousands,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6"/>
        </w:trPr>
        <w:tc>
          <w:tcPr>
            <w:tcW w:w="404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RSUs and PSUs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5"/>
                <w:szCs w:val="15"/>
                <w:color w:val="auto"/>
              </w:rPr>
            </w:pPr>
          </w:p>
        </w:tc>
        <w:tc>
          <w:tcPr>
            <w:tcW w:w="16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vMerge w:val="continue"/>
          </w:tcPr>
          <w:p>
            <w:pPr>
              <w:spacing w:after="0"/>
              <w:rPr>
                <w:sz w:val="19"/>
                <w:szCs w:val="19"/>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PSUs</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38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During the nine months ended September 30, 2023, we recorded $2.3 million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$2.0 million during the nine months ended September 30, 2023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1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fair value of the RSUs and PSUs used in determining share-based compensation expense is based on the closing price of our common stock on the grant date.</w:t>
      </w:r>
    </w:p>
    <w:p>
      <w:pPr>
        <w:spacing w:after="0" w:line="15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approved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Opco classifies participation units as liability awards on its consolidated balance sheets. Refer to Note 11 to our consolidated financial statements included in our Form 10-K where the modifications to the Opco Plan are described in detail.</w:t>
      </w:r>
    </w:p>
    <w:p>
      <w:pPr>
        <w:spacing w:after="0" w:line="177"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Unit-based compensation expense for the three and nine months ended September 30, 2023 and September 30, 2022,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 of unit</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3"/>
              </w:rPr>
              <w:t>(32)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September 30, 2023 was $0.1 million for common incentive units. The unrecognized compensation expense will be recognized over a weighted-average period of 0.04 years. There was no unrecognized compensation expense for participation units as of September 30, 2023.</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5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 summarizes common incentive unit activity under the Opco Plan for the nine months ended September 30, 2023 (in thousands,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5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Common</w:t>
            </w: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7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5"/>
        </w:trPr>
        <w:tc>
          <w:tcPr>
            <w:tcW w:w="440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19"/>
                <w:szCs w:val="19"/>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19"/>
                <w:szCs w:val="19"/>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400" w:type="dxa"/>
            <w:vAlign w:val="bottom"/>
          </w:tcPr>
          <w:p>
            <w:pPr>
              <w:spacing w:after="0"/>
              <w:rPr>
                <w:sz w:val="24"/>
                <w:szCs w:val="24"/>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 summarizes common incentive unit activity under the Opco Plan for the nine months ended September 30, 2022 (in thousands,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7"/>
                <w:szCs w:val="17"/>
                <w:color w:val="auto"/>
              </w:rPr>
            </w:pPr>
          </w:p>
        </w:tc>
        <w:tc>
          <w:tcPr>
            <w:tcW w:w="15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3"/>
              </w:rPr>
              <w:t>Number of Common</w:t>
            </w:r>
          </w:p>
        </w:tc>
        <w:tc>
          <w:tcPr>
            <w:tcW w:w="17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Contractual Term</w:t>
            </w:r>
          </w:p>
        </w:tc>
        <w:tc>
          <w:tcPr>
            <w:tcW w:w="140" w:type="dxa"/>
            <w:vAlign w:val="bottom"/>
          </w:tcPr>
          <w:p>
            <w:pPr>
              <w:spacing w:after="0"/>
              <w:rPr>
                <w:sz w:val="16"/>
                <w:szCs w:val="16"/>
                <w:color w:val="auto"/>
              </w:rPr>
            </w:pPr>
          </w:p>
        </w:tc>
        <w:tc>
          <w:tcPr>
            <w:tcW w:w="15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5"/>
              </w:rPr>
              <w:t>Grant Date Fair</w:t>
            </w:r>
          </w:p>
        </w:tc>
        <w:tc>
          <w:tcPr>
            <w:tcW w:w="140" w:type="dxa"/>
            <w:vAlign w:val="bottom"/>
          </w:tcPr>
          <w:p>
            <w:pPr>
              <w:spacing w:after="0"/>
              <w:rPr>
                <w:sz w:val="16"/>
                <w:szCs w:val="16"/>
                <w:color w:val="auto"/>
              </w:rPr>
            </w:pPr>
          </w:p>
        </w:tc>
        <w:tc>
          <w:tcPr>
            <w:tcW w:w="16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19"/>
                <w:szCs w:val="19"/>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19"/>
                <w:szCs w:val="19"/>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There were no participation units granted during the three and nine months ended September 30, 2023 or September 30, 2022. As of September 30, 2023 and December 31, 2022, the total number of participation units outstanding was 0.2 million and 0.2 million, respectively. The fair value of the participation units as of September 30, 2023 and December 31, 2022 was $0.2 million and $0.3 million, respectively. We did not make any cash payments to settle vested participation units during the three months ended September 30, 2023. We made cash payments of less than $0.1 million to settle vested participation units during the nine months ended September 30, 2023. We did not make any cash payments to settle vested participation units during the three and nine months ended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90" w:lineRule="exact"/>
        <w:rPr>
          <w:sz w:val="20"/>
          <w:szCs w:val="20"/>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252" w:lineRule="exact"/>
        <w:rPr>
          <w:rFonts w:ascii="Arial" w:cs="Arial" w:eastAsia="Arial" w:hAnsi="Arial"/>
          <w:sz w:val="18"/>
          <w:szCs w:val="18"/>
          <w:color w:val="auto"/>
        </w:rPr>
      </w:pPr>
    </w:p>
    <w:p>
      <w:pPr>
        <w:ind w:left="660" w:right="2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net loss position. The potentially dilutive securities that would be anti-dilutive due to our net loss are not included in the calculation of diluted net loss per share attributable to controlling interest.</w:t>
      </w:r>
    </w:p>
    <w:p>
      <w:pPr>
        <w:spacing w:after="0" w:line="15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r>
      <w:tr>
        <w:trPr>
          <w:trHeight w:val="213"/>
        </w:trPr>
        <w:tc>
          <w:tcPr>
            <w:tcW w:w="488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per share:</w:t>
            </w: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Numerator – basic and diluted:</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(1,592,548)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(1,663,509)</w:t>
            </w:r>
          </w:p>
        </w:tc>
      </w:tr>
      <w:tr>
        <w:trPr>
          <w:trHeight w:val="213"/>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Net loss attributable to noncontrolling interest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(1,124,416)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(1,184,352)</w:t>
            </w:r>
          </w:p>
        </w:tc>
      </w:tr>
      <w:tr>
        <w:trPr>
          <w:trHeight w:val="213"/>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Bakkt Holdings, Inc. – basic</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(479,157)</w:t>
            </w:r>
          </w:p>
        </w:tc>
      </w:tr>
      <w:tr>
        <w:trPr>
          <w:trHeight w:val="213"/>
        </w:trPr>
        <w:tc>
          <w:tcPr>
            <w:tcW w:w="4880" w:type="dxa"/>
            <w:vAlign w:val="bottom"/>
          </w:tcPr>
          <w:p>
            <w:pPr>
              <w:ind w:left="140"/>
              <w:spacing w:after="0"/>
              <w:rPr>
                <w:sz w:val="20"/>
                <w:szCs w:val="20"/>
                <w:color w:val="auto"/>
              </w:rPr>
            </w:pPr>
            <w:r>
              <w:rPr>
                <w:rFonts w:ascii="Arial" w:cs="Arial" w:eastAsia="Arial" w:hAnsi="Arial"/>
                <w:sz w:val="16"/>
                <w:szCs w:val="16"/>
                <w:color w:val="auto"/>
              </w:rPr>
              <w:t>Net loss and tax effect attributable to noncontrolling interests</w:t>
            </w: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 attributable to Bakkt Holdings, Inc. – diluted</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(468,132)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(479,157)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 – basic and diluted:</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4880" w:type="dxa"/>
            <w:vAlign w:val="bottom"/>
          </w:tcPr>
          <w:p>
            <w:pPr>
              <w:ind w:left="140"/>
              <w:spacing w:after="0"/>
              <w:rPr>
                <w:sz w:val="20"/>
                <w:szCs w:val="20"/>
                <w:color w:val="auto"/>
              </w:rPr>
            </w:pPr>
            <w:r>
              <w:rPr>
                <w:rFonts w:ascii="Arial" w:cs="Arial" w:eastAsia="Arial" w:hAnsi="Arial"/>
                <w:sz w:val="16"/>
                <w:szCs w:val="16"/>
                <w:color w:val="auto"/>
              </w:rPr>
              <w:t>Weighted average shares outstanding – basic</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91,357,858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76,591,676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87,726,210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68,408,530</w:t>
            </w:r>
          </w:p>
        </w:tc>
      </w:tr>
      <w:tr>
        <w:trPr>
          <w:trHeight w:val="219"/>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 – diluted</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91,357,858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76,591,676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87,726,210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68,408,530</w:t>
            </w:r>
          </w:p>
        </w:tc>
      </w:tr>
      <w:tr>
        <w:trPr>
          <w:trHeight w:val="270"/>
        </w:trPr>
        <w:tc>
          <w:tcPr>
            <w:tcW w:w="4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per share – basic</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0"/>
        </w:trPr>
        <w:tc>
          <w:tcPr>
            <w:tcW w:w="4880" w:type="dxa"/>
            <w:vAlign w:val="bottom"/>
          </w:tcPr>
          <w:p>
            <w:pPr>
              <w:ind w:left="140"/>
              <w:spacing w:after="0"/>
              <w:rPr>
                <w:sz w:val="20"/>
                <w:szCs w:val="20"/>
                <w:color w:val="auto"/>
              </w:rPr>
            </w:pPr>
            <w:r>
              <w:rPr>
                <w:rFonts w:ascii="Arial" w:cs="Arial" w:eastAsia="Arial" w:hAnsi="Arial"/>
                <w:sz w:val="16"/>
                <w:szCs w:val="16"/>
                <w:color w:val="auto"/>
              </w:rPr>
              <w:t>Net loss per share – diluted</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(7.00)</w:t>
            </w:r>
          </w:p>
        </w:tc>
      </w:tr>
    </w:tbl>
    <w:p>
      <w:pPr>
        <w:spacing w:after="0" w:line="3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No shares that are contingently issuable as part of the Bakkt Crypto acquisition have been included in the calculation of diluted EPS as no amounts are payable as of September 30, 2023. The following table summarizes the total potential common shares excluded from diluted loss per common share as their effect would be anti-dilutive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As of</w:t>
            </w:r>
          </w:p>
        </w:tc>
      </w:tr>
      <w:tr>
        <w:trPr>
          <w:trHeight w:val="239"/>
        </w:trPr>
        <w:tc>
          <w:tcPr>
            <w:tcW w:w="96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30, 2023</w:t>
            </w:r>
          </w:p>
        </w:tc>
      </w:tr>
      <w:tr>
        <w:trPr>
          <w:trHeight w:val="23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7,141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Opco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unvested incentive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Opco common units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181,125</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204,398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Requirements</w:t>
      </w:r>
    </w:p>
    <w:p>
      <w:pPr>
        <w:spacing w:after="0" w:line="25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Bakkt Trust </w:t>
      </w:r>
      <w:r>
        <w:rPr>
          <w:rFonts w:ascii="Arial" w:cs="Arial" w:eastAsia="Arial" w:hAnsi="Arial"/>
          <w:sz w:val="18"/>
          <w:szCs w:val="18"/>
          <w:color w:val="auto"/>
        </w:rPr>
        <w:t>is subject to certain regulatory capital requirements imposed by NYDFS. These capital requirements require Bakkt Trust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greater of a defined positive net worth or the sum of the required percentage established for transmitted assets, cold wallet, and hot wallet custody assets.</w:t>
      </w:r>
    </w:p>
    <w:p>
      <w:pPr>
        <w:spacing w:after="0" w:line="18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Bakkt Clearing, LLC ("Bakkt Clearing") </w:t>
      </w:r>
      <w:r>
        <w:rPr>
          <w:rFonts w:ascii="Arial" w:cs="Arial" w:eastAsia="Arial" w:hAnsi="Arial"/>
          <w:sz w:val="18"/>
          <w:szCs w:val="18"/>
          <w:color w:val="auto"/>
        </w:rPr>
        <w:t>was registered as a futures commission merchant (“FCM”) with the Commodity Futures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(“CFTC”) and was a member of the National Futures Association (“NFA”).</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Bakkt Clearing was subject to CFTC Regulation 1.17 and the NFA capital requirements. On May 20, 2022, we withdrew Bakkt Clearing's registration with the CFTC and membership in the NFA, which was effective on June 20, 2022. Accordingly, as of September 30, 2023, Bakkt Clearing was no longer required to maintain capital under the rules described above.</w:t>
      </w:r>
    </w:p>
    <w:p>
      <w:pPr>
        <w:spacing w:after="0" w:line="184"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6"/>
          <w:szCs w:val="16"/>
          <w:b w:val="1"/>
          <w:bCs w:val="1"/>
          <w:color w:val="auto"/>
        </w:rPr>
        <w:t xml:space="preserve">Bakkt Marketplace </w:t>
      </w:r>
      <w:r>
        <w:rPr>
          <w:rFonts w:ascii="Arial" w:cs="Arial" w:eastAsia="Arial" w:hAnsi="Arial"/>
          <w:sz w:val="16"/>
          <w:szCs w:val="16"/>
          <w:color w:val="auto"/>
        </w:rPr>
        <w:t>is required to maintain tangible net worth of a minimum amount. Several states have adopted the Model Money Transmission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Modernization Act ("MMTMA"), which defined tangible net worth as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a number of money transmitter licenses </w:t>
      </w:r>
      <w:r>
        <w:rPr>
          <w:rFonts w:ascii="Arial" w:cs="Arial" w:eastAsia="Arial" w:hAnsi="Arial"/>
          <w:sz w:val="16"/>
          <w:szCs w:val="16"/>
          <w:color w:val="0C0C0C"/>
        </w:rPr>
        <w:t>and has a BitLicense from the NYDFS, which subjects it to</w:t>
      </w:r>
      <w:r>
        <w:rPr>
          <w:rFonts w:ascii="Arial" w:cs="Arial" w:eastAsia="Arial" w:hAnsi="Arial"/>
          <w:sz w:val="16"/>
          <w:szCs w:val="16"/>
          <w:color w:val="auto"/>
        </w:rPr>
        <w:t xml:space="preserve"> </w:t>
      </w:r>
      <w:r>
        <w:rPr>
          <w:rFonts w:ascii="Arial" w:cs="Arial" w:eastAsia="Arial" w:hAnsi="Arial"/>
          <w:sz w:val="16"/>
          <w:szCs w:val="16"/>
          <w:color w:val="0C0C0C"/>
        </w:rPr>
        <w:t xml:space="preserve">NYDFS’ oversight with respect to such business activities conducted in New York State and with New York residents. </w:t>
      </w:r>
      <w:r>
        <w:rPr>
          <w:rFonts w:ascii="Arial" w:cs="Arial" w:eastAsia="Arial" w:hAnsi="Arial"/>
          <w:sz w:val="16"/>
          <w:szCs w:val="16"/>
          <w:color w:val="000000"/>
        </w:rPr>
        <w:t>Bakkt Marketplace is also required</w:t>
      </w:r>
      <w:r>
        <w:rPr>
          <w:rFonts w:ascii="Arial" w:cs="Arial" w:eastAsia="Arial" w:hAnsi="Arial"/>
          <w:sz w:val="16"/>
          <w:szCs w:val="16"/>
          <w:color w:val="0C0C0C"/>
        </w:rPr>
        <w:t xml:space="preserve"> </w:t>
      </w:r>
      <w:r>
        <w:rPr>
          <w:rFonts w:ascii="Arial" w:cs="Arial" w:eastAsia="Arial" w:hAnsi="Arial"/>
          <w:sz w:val="16"/>
          <w:szCs w:val="16"/>
          <w:color w:val="000000"/>
        </w:rPr>
        <w:t>to maintain positive net worth equal to its wind-down costs, or expected costs associated with the orderly wind-down of the business.</w:t>
      </w:r>
    </w:p>
    <w:p>
      <w:pPr>
        <w:spacing w:after="0" w:line="16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 xml:space="preserve">Bakkt Crypto </w:t>
      </w:r>
      <w:r>
        <w:rPr>
          <w:rFonts w:ascii="Arial" w:cs="Arial" w:eastAsia="Arial" w:hAnsi="Arial"/>
          <w:sz w:val="18"/>
          <w:szCs w:val="18"/>
          <w:color w:val="auto"/>
        </w:rPr>
        <w:t>is also required to maintain tangible net worth of a minimum amount, as defined by the MMTMA. In addition to the tangible net</w:t>
      </w:r>
      <w:r>
        <w:rPr>
          <w:rFonts w:ascii="Arial" w:cs="Arial" w:eastAsia="Arial" w:hAnsi="Arial"/>
          <w:sz w:val="18"/>
          <w:szCs w:val="18"/>
          <w:b w:val="1"/>
          <w:bCs w:val="1"/>
          <w:color w:val="auto"/>
        </w:rPr>
        <w:t xml:space="preserve"> </w:t>
      </w:r>
      <w:r>
        <w:rPr>
          <w:rFonts w:ascii="Arial" w:cs="Arial" w:eastAsia="Arial" w:hAnsi="Arial"/>
          <w:sz w:val="18"/>
          <w:szCs w:val="18"/>
          <w:color w:val="auto"/>
        </w:rPr>
        <w:t>worth requirement, Bakkt Crypto also holds a BitLicense from the NYDFS and a number of money transmitter licenses, for the same licensure and compliance reasons as Bakkt Marketplace, and is required to maintain minimum positive net worth held as cash in excess of the sum of crypto asset requirements and predefined wind-down costs.</w:t>
      </w:r>
    </w:p>
    <w:p>
      <w:pPr>
        <w:spacing w:after="0" w:line="19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Bakkt Brokerage </w:t>
      </w:r>
      <w:r>
        <w:rPr>
          <w:rFonts w:ascii="Arial" w:cs="Arial" w:eastAsia="Arial" w:hAnsi="Arial"/>
          <w:sz w:val="18"/>
          <w:szCs w:val="18"/>
          <w:color w:val="auto"/>
        </w:rPr>
        <w:t>is registered as a broker-dealer with the Financial Industry Regulatory Authority and is required to maintain a minimum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net capital. Bakkt Brokerage's net capital requirement is not material.</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As of September 30,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sponsor a 401(k) defined contribution plan covering all eligible U.S. employees. Both Company and employee contributions to the 401(k) plan are discretionary. For the three and nine months ended September 30, 2023, we recorded approximately $0.7 million and $2.4 million, respectively, of expenses related to the 401(k) plan, which is included in "Compensation and benefits" in the consolidated statement of operations. For the three and nine months ended September 30, 2022, we recorded approximately $0.8 million and $2.1 million, respectively, of expenses related to the 401(k) plan, which is included in "Compensation and benefits" in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6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The Company is party to a TRA with certain Opco equity holders. As of September 30,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6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7"/>
          <w:szCs w:val="17"/>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alleges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w:t>
      </w:r>
    </w:p>
    <w:p>
      <w:pPr>
        <w:spacing w:after="0" w:line="19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On June 23, 2023, an “opt-out” action related to the foregoing class action was filed against Bakkt Holdings, Inc. and the individuals named in the class action. We intend to vigorously defend against the allegations.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19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6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7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$35.0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In December 2021, we entered into a four-year cloud computing arrangement which includes minimum contractual payments due to the third-party provider. During the nine months ended September 30, 2023, we entered into a five-year strategic marketing agreement which required a committed spend. As of September 30, 2023, our outstanding purchase obligations consisted of the following future minimum commitments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3-5 years</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5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8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 of less than 1% for the three and nine months ending September 30, 2023, respectively, differ from statutory rates primarily due to the loss that is not taxed to the Company and the absence of taxable income to realize the Company's net operating losses and other deferred tax assets.</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 of less than 1% for the three and nine months ending September 30, 2022, respectively, differ from statutory rates primarily due to the loss allocated to noncontrolling interest that is not taxed to the Company and the non-deductible fair value gains and losses related to the changes in our warrant liability and nondeductible compensation.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results and tax planning strategies. As of September 30, 2023 and December 31, 2022, the Company believed it was not more likely that not that the net deferred tax assets would be realizable and thus has maintained a full valuation allowance.</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September 30, 2023 or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Financial assets and liabilities that are measured at fair value on a recurring basis are classified as Level 1, Level 2 and Level 3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8"/>
              </w:rPr>
              <w:t>As of September 30,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U.S. Treasury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22,678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22,678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asset for crypto</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528,375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obligation for crypto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13,065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13,065</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520,404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505,697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9"/>
              </w:rPr>
              <w:t>As of December 31, 2022</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Safeguarding asset for crypto</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141,062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Safeguarding obligation for crypto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investments in debt securities consist of U.S. Treasury debt securities held in the custody of a major financial institution. As of September 30, 2023, the Company’s investment in available-for-sale debt securities was determined to be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Level 1 investment based on quoted prices in active markets and was recorded in the consolidated balance sheet at fair value.</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 to be the principal market for the related crypto as of September 30, 2023.</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During the three and nine months ended September 30, 2023, the Company recognized expense of $(0.3) million and $10.1 million, respectively, related to the change in the fair value of the contingent consideration. The change in fair value reflects our current forecasts for the performance of Bakkt Crypto during the earnout period and an estimated gross profit volatility of 78.3%.</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7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Company leases real estate for office space under operating leases. On March 15, 2023, we signed an amendment to our Scottsdale, Arizona lease that extended the lease term. The amended lease has a term of 90 months and total fixed lease payments over the term of the amended lease are $5.7 million.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September 30, 2023, we do not have any active finance leases.</w:t>
      </w:r>
    </w:p>
    <w:p>
      <w:pPr>
        <w:spacing w:after="0" w:line="17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Our real estate leases have remaining lease terms as of September 30, 2023 ranging from 31 months to 108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87 months, and the weighted average discount rate for our operating leases was 5.3%. We were party to short-term leases during the three and nine months ended September 30, 2023, which resulted in less than $0.1 million and $0.1 million of rent expense, respectively. We were party to short-term leases during the three and nine months ended September 30, 2022, which resulted in less than $0.1 million and less than $0.1 million of rent expense,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18. Safeguarding Obligation For Crypto</w:t>
      </w:r>
    </w:p>
    <w:p>
      <w:pPr>
        <w:spacing w:after="0" w:line="22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provide custody services for Bakkt Crypto's customers and for Bakkt Trust's standalone custody customers. Bakkt Trust also provides custody services for Bakkt Marketplace crypto customers as described in Note 1.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Subcustodians used by Bakkt Crypto hold our customer cryptographic key information and are not permitted to move assets without our specific authorization.</w:t>
      </w:r>
    </w:p>
    <w:p>
      <w:pPr>
        <w:spacing w:after="0" w:line="16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September 30, 2023, we have a safeguarding obligation for crypto of $505.7 million. The safeguarding liability, and corresponding safeguarding asset for crypto on the balance sheet, are measured at the fair value of the crypto held for our customers. We are not aware of any actual or possible safeguarding loss events as of September 30, 2023. Therefore, the safeguarding obligation for crypto and the related safeguarding asset for crypto are recorded at the same amount.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responsible for holding the following crypto on behalf of our customers as of September 30, 2023 and December 31, 2022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Ether</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148,733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Shiba Inu</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Dogecoin</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53,626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Safeguarding obligation for crypto</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505,697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Safeguarding asset for crypto</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505,697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31F20"/>
        </w:rPr>
        <w:t>Investment in Debt Securities</w:t>
      </w:r>
    </w:p>
    <w:p>
      <w:pPr>
        <w:spacing w:after="0" w:line="2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sheets.</w:t>
      </w:r>
    </w:p>
    <w:p>
      <w:pPr>
        <w:spacing w:after="0" w:line="15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6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b w:val="1"/>
                <w:bCs w:val="1"/>
                <w:color w:val="auto"/>
                <w:w w:val="88"/>
              </w:rPr>
              <w:t>December 31, 2022</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3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4"/>
                <w:szCs w:val="14"/>
                <w:color w:val="auto"/>
              </w:rPr>
            </w:pPr>
          </w:p>
        </w:tc>
        <w:tc>
          <w:tcPr>
            <w:tcW w:w="9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70"/>
              <w:spacing w:after="0" w:line="169" w:lineRule="exact"/>
              <w:rPr>
                <w:sz w:val="20"/>
                <w:szCs w:val="20"/>
                <w:color w:val="auto"/>
              </w:rPr>
            </w:pPr>
            <w:r>
              <w:rPr>
                <w:rFonts w:ascii="Arial" w:cs="Arial" w:eastAsia="Arial" w:hAnsi="Arial"/>
                <w:sz w:val="18"/>
                <w:szCs w:val="18"/>
                <w:b w:val="1"/>
                <w:bCs w:val="1"/>
                <w:color w:val="auto"/>
                <w:w w:val="98"/>
              </w:rPr>
              <w:t>Unrealized</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7"/>
              </w:rPr>
              <w:t>Gains/(Losses),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jc w:val="center"/>
              <w:ind w:right="70"/>
              <w:spacing w:after="0" w:line="176" w:lineRule="exact"/>
              <w:rPr>
                <w:sz w:val="20"/>
                <w:szCs w:val="20"/>
                <w:color w:val="auto"/>
              </w:rPr>
            </w:pPr>
            <w:r>
              <w:rPr>
                <w:rFonts w:ascii="Arial" w:cs="Arial" w:eastAsia="Arial" w:hAnsi="Arial"/>
                <w:sz w:val="18"/>
                <w:szCs w:val="18"/>
                <w:b w:val="1"/>
                <w:bCs w:val="1"/>
                <w:color w:val="auto"/>
                <w:w w:val="86"/>
              </w:rPr>
              <w:t>Gains/(Losses),</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60" w:type="dxa"/>
            <w:vAlign w:val="bottom"/>
          </w:tcPr>
          <w:p>
            <w:pPr>
              <w:spacing w:after="0"/>
              <w:rPr>
                <w:sz w:val="21"/>
                <w:szCs w:val="21"/>
                <w:color w:val="auto"/>
              </w:rPr>
            </w:pP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Basis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Basis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net</w:t>
            </w:r>
          </w:p>
        </w:tc>
        <w:tc>
          <w:tcPr>
            <w:tcW w:w="160" w:type="dxa"/>
            <w:vAlign w:val="bottom"/>
          </w:tcPr>
          <w:p>
            <w:pPr>
              <w:spacing w:after="0"/>
              <w:rPr>
                <w:sz w:val="21"/>
                <w:szCs w:val="21"/>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treasury bonds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22,600</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141,003</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141,003</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w w:val="88"/>
              </w:rPr>
              <w:t>Available-for-sale securities in an unrealized loss position</w:t>
            </w:r>
          </w:p>
        </w:tc>
        <w:tc>
          <w:tcPr>
            <w:tcW w:w="1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3"/>
              </w:rPr>
              <w:t>Losses</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Less than 12 months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3240" w:type="dxa"/>
            <w:vAlign w:val="bottom"/>
          </w:tcPr>
          <w:p>
            <w:pPr>
              <w:ind w:left="460"/>
              <w:spacing w:after="0" w:line="230" w:lineRule="exact"/>
              <w:rPr>
                <w:sz w:val="20"/>
                <w:szCs w:val="20"/>
                <w:color w:val="auto"/>
              </w:rPr>
            </w:pPr>
            <w:r>
              <w:rPr>
                <w:rFonts w:ascii="Arial" w:cs="Arial" w:eastAsia="Arial" w:hAnsi="Arial"/>
                <w:sz w:val="18"/>
                <w:szCs w:val="18"/>
                <w:color w:val="auto"/>
              </w:rPr>
              <w:t>12 months or more</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39,574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200" w:hanging="174"/>
        <w:spacing w:after="0"/>
        <w:tabs>
          <w:tab w:leader="none" w:pos="2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Indicates the length of time that individual securities have been in a continuous unrealized loss position.</w:t>
      </w:r>
    </w:p>
    <w:p>
      <w:pPr>
        <w:spacing w:after="0" w:line="29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The unrealized gains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September 30, 2023.</w:t>
      </w:r>
    </w:p>
    <w:p>
      <w:pPr>
        <w:spacing w:after="0" w:line="17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cost basis and fair value of available-for-sale debt securities at September 30, 2023, by contractual maturity, are shown below (in thousands). Expected maturities may differ from contractual maturities because borrowers may have the right to prepay and creditors may have the right to call obligations.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8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Cost Basis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color w:val="231F20"/>
        </w:rPr>
        <w:t>Subsequent Events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have evaluated subsequent events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Arial" w:cs="Arial" w:eastAsia="Arial" w:hAnsi="Arial"/>
          <w:sz w:val="18"/>
          <w:szCs w:val="18"/>
          <w:i w:val="1"/>
          <w:iCs w:val="1"/>
          <w:color w:val="000000"/>
        </w:rPr>
        <w:t>September 30, 2023</w:t>
      </w:r>
      <w:r>
        <w:rPr>
          <w:rFonts w:ascii="Arial" w:cs="Arial" w:eastAsia="Arial" w:hAnsi="Arial"/>
          <w:sz w:val="18"/>
          <w:szCs w:val="18"/>
          <w:i w:val="1"/>
          <w:iCs w:val="1"/>
          <w:color w:val="231F20"/>
        </w:rPr>
        <w:t xml:space="preserve"> and in our Annual Report on Form 10-K for the fiscal year ended </w:t>
      </w:r>
      <w:r>
        <w:rPr>
          <w:rFonts w:ascii="Arial" w:cs="Arial" w:eastAsia="Arial" w:hAnsi="Arial"/>
          <w:sz w:val="18"/>
          <w:szCs w:val="18"/>
          <w:i w:val="1"/>
          <w:iCs w:val="1"/>
          <w:color w:val="000000"/>
        </w:rPr>
        <w:t>December 31, 2022</w:t>
      </w:r>
      <w:r>
        <w:rPr>
          <w:rFonts w:ascii="Arial" w:cs="Arial" w:eastAsia="Arial" w:hAnsi="Arial"/>
          <w:sz w:val="18"/>
          <w:szCs w:val="18"/>
          <w:i w:val="1"/>
          <w:iCs w:val="1"/>
          <w:color w:val="231F20"/>
        </w:rPr>
        <w:t xml:space="preserve">, which is incorporated herein by reference. References in this section to “we,” “us,” “our,” “Bakkt” or the “Company” and like terms refer to Bakkt Holdings, Inc. and its subsidiaries for the </w:t>
      </w:r>
      <w:r>
        <w:rPr>
          <w:rFonts w:ascii="Arial" w:cs="Arial" w:eastAsia="Arial" w:hAnsi="Arial"/>
          <w:sz w:val="18"/>
          <w:szCs w:val="18"/>
          <w:i w:val="1"/>
          <w:iCs w:val="1"/>
          <w:color w:val="000000"/>
        </w:rPr>
        <w:t>three and nine months ending</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September 30, 2023, </w:t>
      </w:r>
      <w:r>
        <w:rPr>
          <w:rFonts w:ascii="Arial" w:cs="Arial" w:eastAsia="Arial" w:hAnsi="Arial"/>
          <w:sz w:val="18"/>
          <w:szCs w:val="18"/>
          <w:i w:val="1"/>
          <w:iCs w:val="1"/>
          <w:color w:val="231F20"/>
        </w:rPr>
        <w:t>unless the context otherwise requires. Some of the information contained in this discussion and analysis or set forth elsewhere in this</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0C0C0C"/>
        </w:rPr>
        <w:t>In this section and elsewhere in this Report, we use the following terms, which are defined as follows:</w:t>
      </w:r>
    </w:p>
    <w:p>
      <w:pPr>
        <w:spacing w:after="0" w:line="208" w:lineRule="exact"/>
        <w:rPr>
          <w:sz w:val="20"/>
          <w:szCs w:val="20"/>
          <w:color w:val="auto"/>
        </w:rPr>
      </w:pPr>
    </w:p>
    <w:p>
      <w:pPr>
        <w:jc w:val="both"/>
        <w:ind w:left="660" w:hanging="328"/>
        <w:spacing w:after="0" w:line="328"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Client </w:t>
      </w:r>
      <w:r>
        <w:rPr>
          <w:rFonts w:ascii="Arial" w:cs="Arial" w:eastAsia="Arial" w:hAnsi="Arial"/>
          <w:sz w:val="16"/>
          <w:szCs w:val="16"/>
          <w:color w:val="auto"/>
        </w:rPr>
        <w:t>means businesses with whom we contract to provide services to customers on our platform, and includes financial institutions, hedge funds,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merchants, retailers, and other businesses (except in the accompanying </w:t>
      </w:r>
      <w:r>
        <w:rPr>
          <w:rFonts w:ascii="Arial" w:cs="Arial" w:eastAsia="Arial" w:hAnsi="Arial"/>
          <w:sz w:val="16"/>
          <w:szCs w:val="16"/>
          <w:color w:val="231F20"/>
        </w:rPr>
        <w:t>notes to the consolidated financial statements, where we refer to revenue</w:t>
      </w:r>
    </w:p>
    <w:p>
      <w:pPr>
        <w:ind w:left="660" w:right="20"/>
        <w:spacing w:after="0" w:line="308" w:lineRule="auto"/>
        <w:rPr>
          <w:rFonts w:ascii="Arial" w:cs="Arial" w:eastAsia="Arial" w:hAnsi="Arial"/>
          <w:sz w:val="16"/>
          <w:szCs w:val="16"/>
          <w:color w:val="auto"/>
        </w:rPr>
      </w:pPr>
      <w:r>
        <w:rPr>
          <w:rFonts w:ascii="Arial" w:cs="Arial" w:eastAsia="Arial" w:hAnsi="Arial"/>
          <w:sz w:val="18"/>
          <w:szCs w:val="18"/>
          <w:color w:val="231F20"/>
        </w:rPr>
        <w:t xml:space="preserve">earned from customers, instead of clients. The term customers is </w:t>
      </w:r>
      <w:r>
        <w:rPr>
          <w:rFonts w:ascii="Arial" w:cs="Arial" w:eastAsia="Arial" w:hAnsi="Arial"/>
          <w:sz w:val="18"/>
          <w:szCs w:val="18"/>
          <w:color w:val="000000"/>
        </w:rPr>
        <w:t>in accordance with the Financial Accounting Standards Board (“FASB”)</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Standards Codification (“ASC”) Topic </w:t>
      </w:r>
      <w:r>
        <w:rPr>
          <w:rFonts w:ascii="Arial" w:cs="Arial" w:eastAsia="Arial" w:hAnsi="Arial"/>
          <w:sz w:val="18"/>
          <w:szCs w:val="18"/>
          <w:color w:val="231F20"/>
        </w:rPr>
        <w:t>606,</w:t>
      </w:r>
      <w:r>
        <w:rPr>
          <w:rFonts w:ascii="Arial" w:cs="Arial" w:eastAsia="Arial" w:hAnsi="Arial"/>
          <w:sz w:val="18"/>
          <w:szCs w:val="18"/>
          <w:color w:val="000000"/>
        </w:rPr>
        <w:t xml:space="preserve">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w:t>
      </w:r>
    </w:p>
    <w:p>
      <w:pPr>
        <w:spacing w:after="0" w:line="72" w:lineRule="exact"/>
        <w:rPr>
          <w:rFonts w:ascii="Arial" w:cs="Arial" w:eastAsia="Arial" w:hAnsi="Arial"/>
          <w:sz w:val="16"/>
          <w:szCs w:val="16"/>
          <w:color w:val="auto"/>
        </w:rPr>
      </w:pPr>
    </w:p>
    <w:p>
      <w:pPr>
        <w:ind w:left="660" w:hanging="328"/>
        <w:spacing w:after="0" w:line="31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Crypto assets </w:t>
      </w:r>
      <w:r>
        <w:rPr>
          <w:rFonts w:ascii="Arial" w:cs="Arial" w:eastAsia="Arial" w:hAnsi="Arial"/>
          <w:sz w:val="18"/>
          <w:szCs w:val="18"/>
          <w:color w:val="auto"/>
        </w:rPr>
        <w:t>(or</w:t>
      </w:r>
      <w:r>
        <w:rPr>
          <w:rFonts w:ascii="Arial" w:cs="Arial" w:eastAsia="Arial" w:hAnsi="Arial"/>
          <w:sz w:val="18"/>
          <w:szCs w:val="18"/>
          <w:b w:val="1"/>
          <w:bCs w:val="1"/>
          <w:color w:val="auto"/>
        </w:rPr>
        <w:t xml:space="preserve"> crypto</w:t>
      </w:r>
      <w:r>
        <w:rPr>
          <w:rFonts w:ascii="Arial" w:cs="Arial" w:eastAsia="Arial" w:hAnsi="Arial"/>
          <w:sz w:val="18"/>
          <w:szCs w:val="18"/>
          <w:color w:val="auto"/>
        </w:rPr>
        <w:t>) means an asset that is built using blockchain technology, including cryptocurrencies, stablecoins, and other tokens.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transactions in certain supported cryptocurrencies.</w:t>
      </w:r>
    </w:p>
    <w:p>
      <w:pPr>
        <w:spacing w:after="0" w:line="67" w:lineRule="exact"/>
        <w:rPr>
          <w:rFonts w:ascii="Arial" w:cs="Arial" w:eastAsia="Arial" w:hAnsi="Arial"/>
          <w:sz w:val="18"/>
          <w:szCs w:val="18"/>
          <w:color w:val="auto"/>
        </w:rPr>
      </w:pPr>
    </w:p>
    <w:p>
      <w:pPr>
        <w:jc w:val="both"/>
        <w:ind w:left="660" w:hanging="328"/>
        <w:spacing w:after="0" w:line="30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 individual user of our platform. Customers include customers of our loyalty clients who use our platform to transact in</w:t>
      </w:r>
      <w:r>
        <w:rPr>
          <w:rFonts w:ascii="Arial" w:cs="Arial" w:eastAsia="Arial" w:hAnsi="Arial"/>
          <w:sz w:val="18"/>
          <w:szCs w:val="18"/>
          <w:b w:val="1"/>
          <w:bCs w:val="1"/>
          <w:color w:val="auto"/>
        </w:rPr>
        <w:t xml:space="preserve"> </w:t>
      </w:r>
      <w:r>
        <w:rPr>
          <w:rFonts w:ascii="Arial" w:cs="Arial" w:eastAsia="Arial" w:hAnsi="Arial"/>
          <w:sz w:val="18"/>
          <w:szCs w:val="18"/>
          <w:color w:val="auto"/>
        </w:rPr>
        <w:t>loyalty points, as well as customers of our clients who transact in crypto through, and have accounts on, our platform (except as defined for ASC 606 purposes above).</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Loyalty points </w:t>
      </w:r>
      <w:r>
        <w:rPr>
          <w:rFonts w:ascii="Arial" w:cs="Arial" w:eastAsia="Arial" w:hAnsi="Arial"/>
          <w:sz w:val="18"/>
          <w:szCs w:val="18"/>
          <w:color w:val="auto"/>
        </w:rPr>
        <w:t>means loyalty and/or reward points that are issued by clients to their customers.</w:t>
      </w:r>
    </w:p>
    <w:p>
      <w:pPr>
        <w:spacing w:after="0" w:line="27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151515"/>
        </w:rPr>
        <w:t xml:space="preserve">Founded in 2018, Bakkt builds technology that connects the digital economy by offering one ecosystem for crypto and loyalty points. We enable our clients to deliver new opportunities to their customers through </w:t>
      </w:r>
      <w:r>
        <w:rPr>
          <w:rFonts w:ascii="Arial" w:cs="Arial" w:eastAsia="Arial" w:hAnsi="Arial"/>
          <w:sz w:val="17"/>
          <w:szCs w:val="17"/>
          <w:color w:val="0C0C0C"/>
        </w:rPr>
        <w:t>software as a service (“SaaS”)</w:t>
      </w:r>
      <w:r>
        <w:rPr>
          <w:rFonts w:ascii="Arial" w:cs="Arial" w:eastAsia="Arial" w:hAnsi="Arial"/>
          <w:sz w:val="17"/>
          <w:szCs w:val="17"/>
          <w:color w:val="151515"/>
        </w:rPr>
        <w:t xml:space="preserve"> and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Arial" w:cs="Arial" w:eastAsia="Arial" w:hAnsi="Arial"/>
          <w:sz w:val="18"/>
          <w:szCs w:val="18"/>
          <w:color w:val="000000"/>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Developments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 Market Developments</w:t>
      </w:r>
    </w:p>
    <w:p>
      <w:pPr>
        <w:spacing w:after="0" w:line="22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In 2023, the crypto markets have continued to be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BlockFi and PrimeTrust.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In addition, crypto assets and crypto market participants have recently faced increased scrutiny by regulators. For example, the SEC has, in 2023, brought charges against a number of crypto asset exchanges, including Coinbase and Binance, and other crypto asset service providers, identifying a number of crypto assets as securities and alleging violations of, and non-compliance with, U.S. federal securities laws. A recent federal court ruling in a lawsuit brought by the SEC against Ripple Labs determined that "programmatic" sales" by Ripple Labs to retail investors of the XRP crypto token (XRPUSD) did not constitute sales of unregistered securities in violation of U.S, securities laws. However, the court determined that Ripple Labs' sales of XRP to institutional investors were unregistered securities offerings in violation of the U.S. securities laws. On July 31, 2023, a different court in the Southern District of New York held that the SEC had asserted a plausible claim that certain inter-related crypto-assets offered by Terraform Labs qualified as investment contracts. We continue to monitor regulatory developments in this area and assess our business model and the assets we support in light of developments.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Apex Crypto Acquisition</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On April 1, 2023, we completed the acquisition of 100% of the ownership interests of Apex Crypto LLC, which changed its name to Bakkt Crypto Solutions, LLC, effective June 12, 2023 (“Bakkt Crypto”). We expect to leverage Bakkt Crypto’s proprietary trading platform and existing relationships with liquidity providers to provide a wider range of assets and competitive pricing to our customers. Our acquisition of Bakkt Crypto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8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addition, Bakkt Crypto is in the process of developing, subject to applicable regulatory approvals, functionalities enabling transfers of supported crypto assets between registered Customers, and conversion of certain loyalty and rewards points into supported crypto assets.</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Bakkt Crypto is regularly exploring additional ways to innovate and provide additional products and services to its customers. Bakkt Crypto periodically evaluates market conditions and is gauging demand for offering the following additional products or services in the near future to its customers: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opportunity to purchase, store, and sell non-fungible tokens or NFTs;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services for customers in jurisdictions outside of the United States;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and/or external wallet transfers of crypto assets, subject to risk assessment on incoming and outgoing transfers; and</w:t>
      </w:r>
    </w:p>
    <w:p>
      <w:pPr>
        <w:spacing w:after="0" w:line="265" w:lineRule="exact"/>
        <w:rPr>
          <w:sz w:val="20"/>
          <w:szCs w:val="20"/>
          <w:color w:val="auto"/>
        </w:rPr>
      </w:pPr>
    </w:p>
    <w:p>
      <w:pPr>
        <w:ind w:left="660" w:hanging="324"/>
        <w:spacing w:after="0" w:line="308" w:lineRule="auto"/>
        <w:rPr>
          <w:sz w:val="20"/>
          <w:szCs w:val="20"/>
          <w:color w:val="auto"/>
        </w:rPr>
      </w:pPr>
      <w:r>
        <w:rPr>
          <w:rFonts w:ascii="Arial" w:cs="Arial" w:eastAsia="Arial" w:hAnsi="Arial"/>
          <w:sz w:val="18"/>
          <w:szCs w:val="18"/>
          <w:color w:val="auto"/>
        </w:rPr>
        <w:t>– enhanced capabilities on its trading platform, including support for larger orders and recurring buys, and extending the platform to support institutional execution.</w:t>
      </w:r>
    </w:p>
    <w:p>
      <w:pPr>
        <w:spacing w:after="0" w:line="18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At the time our acquisition of Bakkt Crypto closed, Bakkt Crypto had agreements with more than 30 fintech partners pursuant to which the partners made Bakkt Crypto’s crypto asset trading service available to their customer base. Our acquisition of Bakkt Crypto resulted in us obtaining access to such partners. The majority of these fintech partners are also part of Apex Fintech Solutions’ client network.</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agreements with these fintech partners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partner through its platform, and, in some cases, exclusivity covenants pursuant to which partners have agreed not to refer their customers to other crypto asset trading platforms.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Following the closing of the acquisition of Bakkt Crypto and in light of recent regulatory developments, we reviewed all crypto assets then available on the Bakkt Crypto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Arial" w:cs="Arial" w:eastAsia="Arial" w:hAnsi="Arial"/>
          <w:sz w:val="18"/>
          <w:szCs w:val="18"/>
          <w:color w:val="231F20"/>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Bumped Acquisition</w:t>
      </w:r>
    </w:p>
    <w:p>
      <w:pPr>
        <w:spacing w:after="0" w:line="252" w:lineRule="exact"/>
        <w:rPr>
          <w:sz w:val="20"/>
          <w:szCs w:val="20"/>
          <w:color w:val="auto"/>
        </w:rPr>
      </w:pPr>
    </w:p>
    <w:p>
      <w:pPr>
        <w:jc w:val="both"/>
        <w:ind w:right="20" w:firstLine="648"/>
        <w:spacing w:after="0" w:line="395" w:lineRule="auto"/>
        <w:rPr>
          <w:sz w:val="20"/>
          <w:szCs w:val="20"/>
          <w:color w:val="auto"/>
        </w:rPr>
      </w:pPr>
      <w:r>
        <w:rPr>
          <w:rFonts w:ascii="Arial" w:cs="Arial" w:eastAsia="Arial" w:hAnsi="Arial"/>
          <w:sz w:val="16"/>
          <w:szCs w:val="16"/>
          <w:color w:val="auto"/>
        </w:rPr>
        <w:t>On February 8, 2023, we acquired 100% of the units of Bumped Financial, LLC, which we subsequently renamed Bakkt Brokerage, LLC ("Bakkt Brokerage"), a broker-dealer registered with the SEC and the Financial Industry Regulatory Authority, Inc., for cash consideration of $631,000.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Growing Our Client Base</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 xml:space="preserve">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 </w:t>
      </w:r>
      <w:r>
        <w:rPr>
          <w:rFonts w:ascii="Arial" w:cs="Arial" w:eastAsia="Arial" w:hAnsi="Arial"/>
          <w:sz w:val="16"/>
          <w:szCs w:val="16"/>
          <w:i w:val="1"/>
          <w:iCs w:val="1"/>
          <w:color w:val="231F20"/>
        </w:rPr>
        <w:t>See "Apex Crypto Acquisition"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Product Expansion and Innovation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Competition</w:t>
      </w:r>
    </w:p>
    <w:p>
      <w:pPr>
        <w:spacing w:after="0" w:line="266"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auto"/>
        </w:rPr>
        <w:t>The crypto marketplace is highly competitive with numerous participants competing for the same clients. We believe we are well positioned with our ability to provide capabilities around emerging crypto assets alongside loyalty points on a single, highly secure, institutional-grade technology platform.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Economic and Market Conditions</w:t>
      </w:r>
    </w:p>
    <w:p>
      <w:pPr>
        <w:spacing w:after="0" w:line="2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Arial" w:cs="Arial" w:eastAsia="Arial" w:hAnsi="Arial"/>
          <w:sz w:val="18"/>
          <w:szCs w:val="18"/>
          <w:i w:val="1"/>
          <w:iCs w:val="1"/>
          <w:color w:val="231F20"/>
        </w:rPr>
        <w:t>See "Crypto</w:t>
      </w:r>
      <w:r>
        <w:rPr>
          <w:rFonts w:ascii="Arial" w:cs="Arial" w:eastAsia="Arial" w:hAnsi="Arial"/>
          <w:sz w:val="18"/>
          <w:szCs w:val="18"/>
          <w:color w:val="231F20"/>
        </w:rPr>
        <w:t xml:space="preserve"> </w:t>
      </w:r>
      <w:r>
        <w:rPr>
          <w:rFonts w:ascii="Arial" w:cs="Arial" w:eastAsia="Arial" w:hAnsi="Arial"/>
          <w:sz w:val="18"/>
          <w:szCs w:val="18"/>
          <w:i w:val="1"/>
          <w:iCs w:val="1"/>
          <w:color w:val="231F20"/>
        </w:rPr>
        <w:t>Market Developments"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&amp; International Markets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5"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 xml:space="preserve">We are seeking to bring trust and transparency to </w:t>
      </w:r>
      <w:r>
        <w:rPr>
          <w:rFonts w:ascii="Arial" w:cs="Arial" w:eastAsia="Arial" w:hAnsi="Arial"/>
          <w:sz w:val="16"/>
          <w:szCs w:val="16"/>
          <w:color w:val="000000"/>
        </w:rPr>
        <w:t>crypto</w:t>
      </w:r>
      <w:r>
        <w:rPr>
          <w:rFonts w:ascii="Arial" w:cs="Arial" w:eastAsia="Arial" w:hAnsi="Arial"/>
          <w:sz w:val="16"/>
          <w:szCs w:val="16"/>
          <w:color w:val="231F20"/>
        </w:rPr>
        <w:t>.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We continue to work with regulators to address the emerging global landscape for </w:t>
      </w:r>
      <w:r>
        <w:rPr>
          <w:rFonts w:ascii="Arial" w:cs="Arial" w:eastAsia="Arial" w:hAnsi="Arial"/>
          <w:sz w:val="18"/>
          <w:szCs w:val="18"/>
          <w:color w:val="000000"/>
        </w:rPr>
        <w:t>crypto</w:t>
      </w:r>
      <w:r>
        <w:rPr>
          <w:rFonts w:ascii="Arial" w:cs="Arial" w:eastAsia="Arial" w:hAnsi="Arial"/>
          <w:sz w:val="18"/>
          <w:szCs w:val="18"/>
          <w:color w:val="231F20"/>
        </w:rPr>
        <w:t>. As investment continues, the intersection of technology and finance will require ongoing engagement as new applications emerge. C</w:t>
      </w:r>
      <w:r>
        <w:rPr>
          <w:rFonts w:ascii="Arial" w:cs="Arial" w:eastAsia="Arial" w:hAnsi="Arial"/>
          <w:sz w:val="18"/>
          <w:szCs w:val="18"/>
          <w:color w:val="000000"/>
        </w:rPr>
        <w:t>rypto asset</w:t>
      </w:r>
      <w:r>
        <w:rPr>
          <w:rFonts w:ascii="Arial" w:cs="Arial" w:eastAsia="Arial" w:hAnsi="Arial"/>
          <w:sz w:val="18"/>
          <w:szCs w:val="18"/>
          <w:color w:val="231F20"/>
        </w:rPr>
        <w:t xml:space="preserve"> and distributed ledger technology have significant, positive potential with proper collaboration between industry and regulators.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 Held for Other Parties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September 30, 2023, the safeguarding obligation liability related to crypto assets held for other parties was approximately $505.7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Key Performance Indicators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0C0C0C"/>
        </w:rPr>
        <w:t>We use four key performance indicators (“KPIs”) that are key to understanding our business performance, as they reflect the different ways we enable clients to engage with our platform.</w:t>
      </w:r>
    </w:p>
    <w:p>
      <w:pPr>
        <w:spacing w:after="0" w:line="157" w:lineRule="exact"/>
        <w:rPr>
          <w:sz w:val="20"/>
          <w:szCs w:val="20"/>
          <w:color w:val="auto"/>
        </w:rPr>
      </w:pPr>
    </w:p>
    <w:p>
      <w:pPr>
        <w:ind w:left="660" w:hanging="328"/>
        <w:spacing w:after="0" w:line="324" w:lineRule="auto"/>
        <w:tabs>
          <w:tab w:leader="none" w:pos="655" w:val="left"/>
        </w:tabs>
        <w:numPr>
          <w:ilvl w:val="0"/>
          <w:numId w:val="26"/>
        </w:numPr>
        <w:rPr>
          <w:rFonts w:ascii="Arial" w:cs="Arial" w:eastAsia="Arial" w:hAnsi="Arial"/>
          <w:sz w:val="18"/>
          <w:szCs w:val="18"/>
          <w:color w:val="0C0C0C"/>
        </w:rPr>
      </w:pPr>
      <w:r>
        <w:rPr>
          <w:rFonts w:ascii="Arial" w:cs="Arial" w:eastAsia="Arial" w:hAnsi="Arial"/>
          <w:sz w:val="18"/>
          <w:szCs w:val="18"/>
          <w:b w:val="1"/>
          <w:bCs w:val="1"/>
          <w:i w:val="1"/>
          <w:iCs w:val="1"/>
          <w:color w:val="0C0C0C"/>
        </w:rPr>
        <w:t xml:space="preserve">Crypto-enabled accounts. </w:t>
      </w:r>
      <w:r>
        <w:rPr>
          <w:rFonts w:ascii="Arial" w:cs="Arial" w:eastAsia="Arial" w:hAnsi="Arial"/>
          <w:sz w:val="18"/>
          <w:szCs w:val="18"/>
          <w:color w:val="0C0C0C"/>
        </w:rPr>
        <w:t>We define crypto-enabled accounts as the total crypto accounts open on our platform. There were 6.1 million and less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 xml:space="preserve">than 0.1 million crypto-enabled accounts </w:t>
      </w:r>
      <w:r>
        <w:rPr>
          <w:rFonts w:ascii="Arial" w:cs="Arial" w:eastAsia="Arial" w:hAnsi="Arial"/>
          <w:sz w:val="18"/>
          <w:szCs w:val="18"/>
          <w:color w:val="000000"/>
        </w:rPr>
        <w:t>as of September 30, 2023 and December 31, 2022, respectively</w:t>
      </w:r>
      <w:r>
        <w:rPr>
          <w:rFonts w:ascii="Arial" w:cs="Arial" w:eastAsia="Arial" w:hAnsi="Arial"/>
          <w:sz w:val="18"/>
          <w:szCs w:val="18"/>
          <w:color w:val="0C0C0C"/>
        </w:rPr>
        <w:t>.</w:t>
      </w:r>
    </w:p>
    <w:p>
      <w:pPr>
        <w:spacing w:after="0" w:line="156" w:lineRule="exact"/>
        <w:rPr>
          <w:rFonts w:ascii="Arial" w:cs="Arial" w:eastAsia="Arial" w:hAnsi="Arial"/>
          <w:sz w:val="18"/>
          <w:szCs w:val="18"/>
          <w:color w:val="0C0C0C"/>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0C0C0C"/>
        </w:rPr>
        <w:t xml:space="preserve">Transacting accounts. </w:t>
      </w:r>
      <w:r>
        <w:rPr>
          <w:rFonts w:ascii="Arial" w:cs="Arial" w:eastAsia="Arial" w:hAnsi="Arial"/>
          <w:sz w:val="17"/>
          <w:szCs w:val="17"/>
          <w:color w:val="0C0C0C"/>
        </w:rPr>
        <w:t>We define transacting accounts as unique accounts that perform transactions on our platform each month. We use</w:t>
      </w:r>
    </w:p>
    <w:p>
      <w:pPr>
        <w:spacing w:after="0" w:line="61" w:lineRule="exact"/>
        <w:rPr>
          <w:rFonts w:ascii="Arial" w:cs="Arial" w:eastAsia="Arial" w:hAnsi="Arial"/>
          <w:sz w:val="17"/>
          <w:szCs w:val="17"/>
          <w:color w:val="auto"/>
        </w:rPr>
      </w:pPr>
    </w:p>
    <w:p>
      <w:pPr>
        <w:jc w:val="both"/>
        <w:ind w:left="660"/>
        <w:spacing w:after="0" w:line="328" w:lineRule="auto"/>
        <w:rPr>
          <w:rFonts w:ascii="Arial" w:cs="Arial" w:eastAsia="Arial" w:hAnsi="Arial"/>
          <w:sz w:val="17"/>
          <w:szCs w:val="17"/>
          <w:color w:val="auto"/>
        </w:rPr>
      </w:pPr>
      <w:r>
        <w:rPr>
          <w:rFonts w:ascii="Arial" w:cs="Arial" w:eastAsia="Arial" w:hAnsi="Arial"/>
          <w:sz w:val="17"/>
          <w:szCs w:val="17"/>
          <w:color w:val="0C0C0C"/>
        </w:rPr>
        <w:t xml:space="preserve">transacting accounts to reflect how users across our platform use the variety of services we offer, such as redeeming loyalty points for travel or merchandise, buying and selling crypto to facilitate everyday purchases, or converting loyalty points to cash or gift cards. There were 1.0 million and 2.9 million unique monthly transacting accounts during the </w:t>
      </w:r>
      <w:r>
        <w:rPr>
          <w:rFonts w:ascii="Arial" w:cs="Arial" w:eastAsia="Arial" w:hAnsi="Arial"/>
          <w:sz w:val="17"/>
          <w:szCs w:val="17"/>
          <w:color w:val="000000"/>
        </w:rPr>
        <w:t>three and nine months ending September 30, 2023, respectively</w:t>
      </w:r>
      <w:r>
        <w:rPr>
          <w:rFonts w:ascii="Arial" w:cs="Arial" w:eastAsia="Arial" w:hAnsi="Arial"/>
          <w:sz w:val="17"/>
          <w:szCs w:val="17"/>
          <w:color w:val="0C0C0C"/>
        </w:rPr>
        <w:t>.</w:t>
      </w:r>
    </w:p>
    <w:p>
      <w:pPr>
        <w:spacing w:after="0" w:line="157"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6"/>
          <w:szCs w:val="16"/>
          <w:color w:val="0C0C0C"/>
        </w:rPr>
      </w:pPr>
      <w:r>
        <w:rPr>
          <w:rFonts w:ascii="Arial" w:cs="Arial" w:eastAsia="Arial" w:hAnsi="Arial"/>
          <w:sz w:val="16"/>
          <w:szCs w:val="16"/>
          <w:b w:val="1"/>
          <w:bCs w:val="1"/>
          <w:i w:val="1"/>
          <w:iCs w:val="1"/>
          <w:color w:val="auto"/>
        </w:rPr>
        <w:t xml:space="preserve">Notional traded volume. </w:t>
      </w:r>
      <w:r>
        <w:rPr>
          <w:rFonts w:ascii="Arial" w:cs="Arial" w:eastAsia="Arial" w:hAnsi="Arial"/>
          <w:sz w:val="16"/>
          <w:szCs w:val="16"/>
          <w:color w:val="0C0C0C"/>
        </w:rPr>
        <w:t>We define notional traded volume as the total notional volume of transactions across crypto and loyalty platforms. The</w:t>
      </w:r>
    </w:p>
    <w:p>
      <w:pPr>
        <w:spacing w:after="0" w:line="72" w:lineRule="exact"/>
        <w:rPr>
          <w:rFonts w:ascii="Arial" w:cs="Arial" w:eastAsia="Arial" w:hAnsi="Arial"/>
          <w:sz w:val="16"/>
          <w:szCs w:val="16"/>
          <w:color w:val="0C0C0C"/>
        </w:rPr>
      </w:pPr>
    </w:p>
    <w:p>
      <w:pPr>
        <w:ind w:left="660" w:right="20"/>
        <w:spacing w:after="0" w:line="308" w:lineRule="auto"/>
        <w:rPr>
          <w:rFonts w:ascii="Arial" w:cs="Arial" w:eastAsia="Arial" w:hAnsi="Arial"/>
          <w:sz w:val="16"/>
          <w:szCs w:val="16"/>
          <w:color w:val="0C0C0C"/>
        </w:rPr>
      </w:pPr>
      <w:r>
        <w:rPr>
          <w:rFonts w:ascii="Arial" w:cs="Arial" w:eastAsia="Arial" w:hAnsi="Arial"/>
          <w:sz w:val="18"/>
          <w:szCs w:val="18"/>
          <w:color w:val="0C0C0C"/>
        </w:rPr>
        <w:t xml:space="preserve">figures we use represent gross values recorded as of the order date. Notional traded volumes were $366.1 million and $1,090.4 million during the </w:t>
      </w:r>
      <w:r>
        <w:rPr>
          <w:rFonts w:ascii="Arial" w:cs="Arial" w:eastAsia="Arial" w:hAnsi="Arial"/>
          <w:sz w:val="18"/>
          <w:szCs w:val="18"/>
          <w:color w:val="000000"/>
        </w:rPr>
        <w:t>three and nine months ending September 30, 2023, respectively</w:t>
      </w:r>
      <w:r>
        <w:rPr>
          <w:rFonts w:ascii="Arial" w:cs="Arial" w:eastAsia="Arial" w:hAnsi="Arial"/>
          <w:sz w:val="18"/>
          <w:szCs w:val="18"/>
          <w:color w:val="0C0C0C"/>
        </w:rPr>
        <w:t>.</w:t>
      </w:r>
    </w:p>
    <w:p>
      <w:pPr>
        <w:spacing w:after="0" w:line="184" w:lineRule="exact"/>
        <w:rPr>
          <w:rFonts w:ascii="Arial" w:cs="Arial" w:eastAsia="Arial" w:hAnsi="Arial"/>
          <w:sz w:val="16"/>
          <w:szCs w:val="16"/>
          <w:color w:val="0C0C0C"/>
        </w:rPr>
      </w:pPr>
    </w:p>
    <w:p>
      <w:pPr>
        <w:ind w:left="660" w:hanging="328"/>
        <w:spacing w:after="0"/>
        <w:tabs>
          <w:tab w:leader="none" w:pos="660" w:val="left"/>
        </w:tabs>
        <w:numPr>
          <w:ilvl w:val="0"/>
          <w:numId w:val="26"/>
        </w:numPr>
        <w:rPr>
          <w:rFonts w:ascii="Arial" w:cs="Arial" w:eastAsia="Arial" w:hAnsi="Arial"/>
          <w:sz w:val="16"/>
          <w:szCs w:val="16"/>
          <w:color w:val="0C0C0C"/>
        </w:rPr>
      </w:pPr>
      <w:r>
        <w:rPr>
          <w:rFonts w:ascii="Arial" w:cs="Arial" w:eastAsia="Arial" w:hAnsi="Arial"/>
          <w:sz w:val="16"/>
          <w:szCs w:val="16"/>
          <w:b w:val="1"/>
          <w:bCs w:val="1"/>
          <w:i w:val="1"/>
          <w:iCs w:val="1"/>
          <w:color w:val="auto"/>
        </w:rPr>
        <w:t xml:space="preserve">Assets under custody. </w:t>
      </w:r>
      <w:r>
        <w:rPr>
          <w:rFonts w:ascii="Arial" w:cs="Arial" w:eastAsia="Arial" w:hAnsi="Arial"/>
          <w:sz w:val="16"/>
          <w:szCs w:val="16"/>
          <w:color w:val="0C0C0C"/>
        </w:rPr>
        <w:t>We define assets under custody as the sum of coin quantities held by customers multiplied by the final quote for each coin</w:t>
      </w:r>
    </w:p>
    <w:p>
      <w:pPr>
        <w:spacing w:after="0" w:line="72" w:lineRule="exact"/>
        <w:rPr>
          <w:rFonts w:ascii="Arial" w:cs="Arial" w:eastAsia="Arial" w:hAnsi="Arial"/>
          <w:sz w:val="16"/>
          <w:szCs w:val="16"/>
          <w:color w:val="0C0C0C"/>
        </w:rPr>
      </w:pPr>
    </w:p>
    <w:p>
      <w:pPr>
        <w:ind w:left="660"/>
        <w:spacing w:after="0" w:line="308" w:lineRule="auto"/>
        <w:rPr>
          <w:rFonts w:ascii="Arial" w:cs="Arial" w:eastAsia="Arial" w:hAnsi="Arial"/>
          <w:sz w:val="16"/>
          <w:szCs w:val="16"/>
          <w:color w:val="0C0C0C"/>
        </w:rPr>
      </w:pPr>
      <w:r>
        <w:rPr>
          <w:rFonts w:ascii="Arial" w:cs="Arial" w:eastAsia="Arial" w:hAnsi="Arial"/>
          <w:sz w:val="18"/>
          <w:szCs w:val="18"/>
          <w:color w:val="0C0C0C"/>
        </w:rPr>
        <w:t xml:space="preserve">on the last day of the quarter. Assets under custody were $505.7 million and $26.1 million </w:t>
      </w:r>
      <w:r>
        <w:rPr>
          <w:rFonts w:ascii="Arial" w:cs="Arial" w:eastAsia="Arial" w:hAnsi="Arial"/>
          <w:sz w:val="18"/>
          <w:szCs w:val="18"/>
          <w:color w:val="000000"/>
        </w:rPr>
        <w:t>as of September 30, 2023 and December 31, 2022,</w:t>
      </w:r>
      <w:r>
        <w:rPr>
          <w:rFonts w:ascii="Arial" w:cs="Arial" w:eastAsia="Arial" w:hAnsi="Arial"/>
          <w:sz w:val="18"/>
          <w:szCs w:val="18"/>
          <w:color w:val="0C0C0C"/>
        </w:rPr>
        <w:t xml:space="preserve"> </w:t>
      </w:r>
      <w:r>
        <w:rPr>
          <w:rFonts w:ascii="Arial" w:cs="Arial" w:eastAsia="Arial" w:hAnsi="Arial"/>
          <w:sz w:val="18"/>
          <w:szCs w:val="18"/>
          <w:color w:val="000000"/>
        </w:rPr>
        <w:t>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231F20"/>
        </w:rPr>
        <w:t xml:space="preserve">The following table is our consolidated statements of operations </w:t>
      </w:r>
      <w:r>
        <w:rPr>
          <w:rFonts w:ascii="Arial" w:cs="Arial" w:eastAsia="Arial" w:hAnsi="Arial"/>
          <w:sz w:val="18"/>
          <w:szCs w:val="18"/>
          <w:color w:val="000000"/>
        </w:rPr>
        <w:t>for the three and nine months ended September 30, 2023 and September 30, 2022,</w:t>
      </w:r>
      <w:r>
        <w:rPr>
          <w:rFonts w:ascii="Arial" w:cs="Arial" w:eastAsia="Arial" w:hAnsi="Arial"/>
          <w:sz w:val="18"/>
          <w:szCs w:val="18"/>
          <w:color w:val="231F20"/>
        </w:rPr>
        <w:t xml:space="preserve"> </w:t>
      </w:r>
      <w:r>
        <w:rPr>
          <w:rFonts w:ascii="Arial" w:cs="Arial" w:eastAsia="Arial" w:hAnsi="Arial"/>
          <w:sz w:val="18"/>
          <w:szCs w:val="18"/>
          <w:color w:val="000000"/>
        </w:rPr>
        <w:t xml:space="preserve">respectively, </w:t>
      </w:r>
      <w:r>
        <w:rPr>
          <w:rFonts w:ascii="Arial" w:cs="Arial" w:eastAsia="Arial" w:hAnsi="Arial"/>
          <w:sz w:val="18"/>
          <w:szCs w:val="18"/>
          <w:color w:val="231F20"/>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Nine Months Ended</w:t>
            </w:r>
          </w:p>
        </w:tc>
      </w:tr>
      <w:tr>
        <w:trPr>
          <w:trHeight w:val="213"/>
        </w:trPr>
        <w:tc>
          <w:tcPr>
            <w:tcW w:w="488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Crypto services</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191,750</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527,526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1,464</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Loyalty services, net</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38,852</w:t>
            </w:r>
          </w:p>
        </w:tc>
      </w:tr>
      <w:tr>
        <w:trPr>
          <w:trHeight w:val="206"/>
        </w:trPr>
        <w:tc>
          <w:tcPr>
            <w:tcW w:w="48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204,774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13,213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565,622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40,316</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Crypto costs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189,428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521,601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1,352</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Execution, clearing and brokerage fees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Compensation and benefits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85,818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107,135</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Technology and communication</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12,659</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26,995</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Related party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and intangible assets impairments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1,547,711</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Impairment of long-lived assets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expenses</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r>
      <w:tr>
        <w:trPr>
          <w:trHeight w:val="213"/>
        </w:trPr>
        <w:tc>
          <w:tcPr>
            <w:tcW w:w="48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257,578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1,608,099</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714,962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1,727,238</w:t>
            </w:r>
          </w:p>
        </w:tc>
      </w:tr>
      <w:tr>
        <w:trPr>
          <w:trHeight w:val="20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(1,594,886)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(149,340)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(1,686,922)</w:t>
            </w:r>
          </w:p>
        </w:tc>
      </w:tr>
      <w:tr>
        <w:trPr>
          <w:trHeight w:val="213"/>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(Loss) gain from change in fair value of warrant liability</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13,139</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(1,593,139)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(146,662)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(1,672,338)</w:t>
            </w: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8,844</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(51,693)</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(1,592,533)</w:t>
            </w:r>
          </w:p>
        </w:tc>
        <w:tc>
          <w:tcPr>
            <w:tcW w:w="8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(147,063)</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(1,663,494)</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(34,418)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(1,124,416)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(1,654,650)</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(468,117)</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0"/>
        </w:trPr>
        <w:tc>
          <w:tcPr>
            <w:tcW w:w="4880" w:type="dxa"/>
            <w:vAlign w:val="bottom"/>
          </w:tcPr>
          <w:p>
            <w:pPr>
              <w:ind w:left="240"/>
              <w:spacing w:after="0"/>
              <w:rPr>
                <w:sz w:val="20"/>
                <w:szCs w:val="20"/>
                <w:color w:val="auto"/>
              </w:rPr>
            </w:pPr>
            <w:r>
              <w:rPr>
                <w:rFonts w:ascii="Arial" w:cs="Arial" w:eastAsia="Arial" w:hAnsi="Arial"/>
                <w:sz w:val="16"/>
                <w:szCs w:val="16"/>
                <w:color w:val="auto"/>
              </w:rPr>
              <w:t>Diluted</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Three Months Ended September 30, 2023 compared to Three Months Ended September 30, 2022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three months ended September 30, 2023 included the following notable items relative to the three months ended September 30, 2022:</w:t>
      </w:r>
    </w:p>
    <w:p>
      <w:pPr>
        <w:spacing w:after="0" w:line="10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231F20"/>
        </w:rPr>
      </w:pPr>
      <w:r>
        <w:rPr>
          <w:rFonts w:ascii="Arial" w:cs="Arial" w:eastAsia="Arial" w:hAnsi="Arial"/>
          <w:sz w:val="16"/>
          <w:szCs w:val="16"/>
          <w:color w:val="231F20"/>
        </w:rPr>
        <w:t>Revenue increased $191.6 million primarily driven by a significant increase in crypto trading revenue due to our acquisition of Bakkt Crypto; and</w:t>
      </w:r>
    </w:p>
    <w:p>
      <w:pPr>
        <w:spacing w:after="0" w:line="59" w:lineRule="exact"/>
        <w:rPr>
          <w:rFonts w:ascii="Arial" w:cs="Arial" w:eastAsia="Arial" w:hAnsi="Arial"/>
          <w:sz w:val="16"/>
          <w:szCs w:val="16"/>
          <w:color w:val="231F20"/>
        </w:rPr>
      </w:pPr>
    </w:p>
    <w:p>
      <w:pPr>
        <w:ind w:left="660" w:hanging="328"/>
        <w:spacing w:after="0" w:line="32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Operating expenses decreased $1,350.5 million primarily driven by goodwill and intangible assets impairments recorded in the prior year, partially offset by increased crypto trading costs in connection with our acquisition of Bakkt Crypto.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Revenue</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191,561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Revenues consist of transaction revenue and subscription and service revenue. We receive revenue when consumers use our services to buy, sell, and redeem crypto and loyalty points. We generate revenue across our platform in the following key areas:</w:t>
      </w:r>
    </w:p>
    <w:p>
      <w:pPr>
        <w:spacing w:after="0" w:line="49" w:lineRule="exact"/>
        <w:rPr>
          <w:sz w:val="20"/>
          <w:szCs w:val="20"/>
          <w:color w:val="auto"/>
        </w:rPr>
      </w:pPr>
    </w:p>
    <w:p>
      <w:pPr>
        <w:ind w:left="660" w:hanging="328"/>
        <w:spacing w:after="0" w:line="32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client platform fees as well as service revenue from software development fees and call center support.</w:t>
      </w:r>
    </w:p>
    <w:p>
      <w:pPr>
        <w:spacing w:after="0" w:line="48" w:lineRule="exact"/>
        <w:rPr>
          <w:rFonts w:ascii="Arial" w:cs="Arial" w:eastAsia="Arial" w:hAnsi="Arial"/>
          <w:sz w:val="18"/>
          <w:szCs w:val="18"/>
          <w:color w:val="auto"/>
        </w:rPr>
      </w:pPr>
    </w:p>
    <w:p>
      <w:pPr>
        <w:ind w:left="660" w:hanging="328"/>
        <w:spacing w:after="0" w:line="39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Transaction revenue: We generate transaction revenue through loyalty redemption volumes where we receive a percentage fee based on the volume (reported net of associated costs) and from crypto buy/sell trades where we earn a spread on both legs of the transaction (reported gross).</w:t>
      </w:r>
    </w:p>
    <w:p>
      <w:pPr>
        <w:spacing w:after="0" w:line="11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Our loyalty revenue has seasonality and is typically higher in the fourth quarter, driven by holiday spending and the booking of travel. Revenue generated from our crypto services had been immaterial prior to our acquisition of Bakkt Crypto; however, revenue from crypto services is now a significant driver of our business, and we expect crypto revenue to increase as we grow our client base and our customers. As a result of our acquisition of Bakkt Crypto, we expect loyalty revenue, which has been the source of substantially all of our revenue historically, to be a smaller percentage of overall revenue in the future as the revenue from our crypto product and service offerings grows.</w:t>
      </w:r>
    </w:p>
    <w:p>
      <w:pPr>
        <w:spacing w:after="0" w:line="178"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Revenues increased by $191.6 million for the three months ended September 30, 2023 compared to the three months ended September 30, 2022. The increase was comprised of $191.6 million of increased transaction revenue, while subscription and service revenue was relatively consistent year over year. The increase in transaction revenue was primarily driven by increased crypto trading volume due to our acquisition of Bakkt Crypto.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 xml:space="preserve">Operating expenses consist of crypto costs, execution, clearing and brokerage fees, compensation and benefits, professional services, technology and communication expenses, selling, general and administrative expenses, acquisition-related expenses, depreciation and amortization, goodwill and intangible assets impairments, related party expenses, restructuring expenses, and other operating expenses. Expenses </w:t>
      </w:r>
      <w:r>
        <w:rPr>
          <w:rFonts w:ascii="Arial" w:cs="Arial" w:eastAsia="Arial" w:hAnsi="Arial"/>
          <w:sz w:val="18"/>
          <w:szCs w:val="18"/>
          <w:color w:val="000000"/>
        </w:rPr>
        <w:t>generated by our crypto services had</w:t>
      </w:r>
      <w:r>
        <w:rPr>
          <w:rFonts w:ascii="Arial" w:cs="Arial" w:eastAsia="Arial" w:hAnsi="Arial"/>
          <w:sz w:val="18"/>
          <w:szCs w:val="18"/>
          <w:color w:val="231F20"/>
        </w:rPr>
        <w:t xml:space="preserve"> </w:t>
      </w:r>
      <w:r>
        <w:rPr>
          <w:rFonts w:ascii="Arial" w:cs="Arial" w:eastAsia="Arial" w:hAnsi="Arial"/>
          <w:sz w:val="18"/>
          <w:szCs w:val="18"/>
          <w:color w:val="000000"/>
        </w:rPr>
        <w:t>been immaterial prior to our acquisition of Bakkt Crypto; however, crypto costs are now significant expenses, and we expect those expenses to increase as crypto revenues also increase.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Crypto Costs</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0"/>
                <w:szCs w:val="20"/>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Crypto costs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189,075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231F20"/>
        </w:rPr>
        <w:t>Crypto costs represent the gross value of crypto sold by our customers on our platform. These costs are measured at the executed price at the time of the trade. Crypto costs increased by $189.1 million for the three months ended September 30, 2023 compared to the three months ended September 30, 2022. The increase reflects increased volume driven by our acquisition of Bakkt Crypto.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w w:val="95"/>
              </w:rPr>
              <w:t>Execution, Clearing and Brokerage Fees</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3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3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September 30, 2022</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Execution, clearing and brokerage fees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Execution, clearing and brokerage fees primarily represent payments to clients in exchange for driving order flow to our platform. Execution, clearing and brokerage fees were $0.7 million during the three months ended September 30, 2023. The increase reflects increased volume driven by our acquisition of Bakkt Crypto.</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20"/>
                <w:szCs w:val="20"/>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share-based and unit-based compensation and other employee related costs. Compensation and benefits expense is a significant component of our operating expenses, and we expect this will continue to be the case after the restructuring actions we took between the fourth quarter of 2022 and the second quarter of 2023.</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Our headcount decreased year over year as we undertook restructuring actions and right sized our expense base to meet current market demand. We expect to limit future hiring and further optimize our headcount as development projects on our platforms complete. Accordingly, we expect that our compensation and expenses will decrease as a percentage of our revenue over time. Compensation and benefits decreased by $13.2 million, or 34.9%, for the three months ended September 30, 2023 compared to the three months ended September 30, 2022. The decrease was primarily due to a decreases of $6.7 million in non-cash compensation and incentive bonuses, $3.5 million in contract labor, net of capitalized software development, $2.1 million in salaries and wages and $0.7 million of recruiting fees.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Professional Services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r>
    </w:tbl>
    <w:p>
      <w:pPr>
        <w:spacing w:after="0" w:line="29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231F20"/>
        </w:rPr>
        <w:t>Professional services expense includes fees for accounting, legal and regulatory fees. Professional services decreased by $0.7 million, or 27.5%, for the three months ended September 30, 2023 compared to the three months ended September 30, 2022. The decrease was primarily due to decreases of $0.6 million in audit and tax fees and $0.7 in other professional fees, partially offset by an increase of $0.6 million in legal fees.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5"/>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Communication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231F20"/>
        </w:rPr>
        <w:t>our customer support operations. These costs are driven by client requirements, system capacity, functionality and redundancy requirements.</w:t>
      </w:r>
    </w:p>
    <w:p>
      <w:pPr>
        <w:spacing w:after="0" w:line="277"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$1.4 million, or 33.8%, for the three months ended September 30, 2023 compared to the three months ended September 30, 2022. The increase was primarily due to an increase of $1.5 million in hardware and software license fees. We expect these costs to decline in the future as we optimize our operational footprint.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bl>
    <w:p>
      <w:pPr>
        <w:spacing w:after="0" w:line="2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 and exercise prudent expense management.</w:t>
      </w:r>
    </w:p>
    <w:p>
      <w:pPr>
        <w:spacing w:after="0" w:line="19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Selling, general and administrative costs decreased by $0.3 million, or 4.4%, for the three months ended September 30, 2023 compared to the three months ended September 30, 2022. The decrease was primarily due to a $1.0 million reduction of marketing expenses, partially offset by increases of $0.3 million in insurance costs, $0.2 million of dues and subscriptions and $0.2 million in occupancy costs. In 2022, the majority of marketing expenses were web-based promotional campaigns associated with our direct to consumer app, which we retired in the first quarter of 2023. We expect marketing efforts going forward to reflect our B2B2C focus and we will scale investments up or down depending on market conditions and opportunities.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 xml:space="preserve">Acquisition-related expenses decreased by $1.2 million for the three months ended September 30, 2023 compared to the three months ended September 30, 2022. Acquisition-related expenses for the three months ended September 30, 2023 included a $1.5 million reversal of accrued </w:t>
      </w:r>
      <w:r>
        <w:rPr>
          <w:rFonts w:ascii="Arial" w:cs="Arial" w:eastAsia="Arial" w:hAnsi="Arial"/>
          <w:sz w:val="18"/>
          <w:szCs w:val="18"/>
          <w:color w:val="000000"/>
        </w:rPr>
        <w:t>investment</w:t>
      </w:r>
      <w:r>
        <w:rPr>
          <w:rFonts w:ascii="Arial" w:cs="Arial" w:eastAsia="Arial" w:hAnsi="Arial"/>
          <w:sz w:val="18"/>
          <w:szCs w:val="18"/>
          <w:color w:val="231F20"/>
        </w:rPr>
        <w:t xml:space="preserve"> </w:t>
      </w:r>
      <w:r>
        <w:rPr>
          <w:rFonts w:ascii="Arial" w:cs="Arial" w:eastAsia="Arial" w:hAnsi="Arial"/>
          <w:sz w:val="18"/>
          <w:szCs w:val="18"/>
          <w:color w:val="000000"/>
        </w:rPr>
        <w:t xml:space="preserve">banking fees and an adjustment to the contingent consideration, both related to the </w:t>
      </w:r>
      <w:r>
        <w:rPr>
          <w:rFonts w:ascii="Arial" w:cs="Arial" w:eastAsia="Arial" w:hAnsi="Arial"/>
          <w:sz w:val="18"/>
          <w:szCs w:val="18"/>
          <w:color w:val="231F20"/>
        </w:rPr>
        <w:t>acquisition of Bakkt Crypto. The amount and timing of acquisition-related expenses varies across periods based on potential transaction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918"/>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the VIH Business Combination and acquisition of Bakkt Crypto. Depreciation and amortization decreased by $2.4 million, or 38.1%, for the three months ended September 30, 2023 compared to the three months ended September 30, 2022. The decrease was primarily due to lower net book values of intangible assets after impairments were recognized in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Related Party Expenses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1"/>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4"/>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286.9 %</w:t>
            </w: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Related party expenses consist of fees for transition services agreements. Related party expenses increased by $0.8 million, or 286.9%, for the three months ended September 30, 2023 compared to the three months ended September 30, 2022. The increase was due to fees associated with Bakkt Crypto's transition services agreement, as well as incremental fees associated with ICE's transition services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Goodwill and Intangible Assets Impairments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1,547,711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(1,524,386)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 xml:space="preserve">We recorded impairments of intangible assets of $23.3 million during the three months ended </w:t>
      </w:r>
      <w:r>
        <w:rPr>
          <w:rFonts w:ascii="Arial" w:cs="Arial" w:eastAsia="Arial" w:hAnsi="Arial"/>
          <w:sz w:val="16"/>
          <w:szCs w:val="16"/>
          <w:color w:val="231F20"/>
        </w:rPr>
        <w:t>September 30, 2022</w:t>
      </w:r>
      <w:r>
        <w:rPr>
          <w:rFonts w:ascii="Arial" w:cs="Arial" w:eastAsia="Arial" w:hAnsi="Arial"/>
          <w:sz w:val="16"/>
          <w:szCs w:val="16"/>
          <w:color w:val="auto"/>
        </w:rPr>
        <w:t xml:space="preserve">. We did not record any impairment of goodwill during the three months ended </w:t>
      </w:r>
      <w:r>
        <w:rPr>
          <w:rFonts w:ascii="Arial" w:cs="Arial" w:eastAsia="Arial" w:hAnsi="Arial"/>
          <w:sz w:val="16"/>
          <w:szCs w:val="16"/>
          <w:color w:val="231F20"/>
        </w:rPr>
        <w:t>September 30, 2023.</w:t>
      </w:r>
      <w:r>
        <w:rPr>
          <w:rFonts w:ascii="Arial" w:cs="Arial" w:eastAsia="Arial" w:hAnsi="Arial"/>
          <w:sz w:val="16"/>
          <w:szCs w:val="16"/>
          <w:color w:val="auto"/>
        </w:rPr>
        <w:t xml:space="preserve"> We identified a triggering event as of </w:t>
      </w:r>
      <w:r>
        <w:rPr>
          <w:rFonts w:ascii="Arial" w:cs="Arial" w:eastAsia="Arial" w:hAnsi="Arial"/>
          <w:sz w:val="16"/>
          <w:szCs w:val="16"/>
          <w:color w:val="231F20"/>
        </w:rPr>
        <w:t>September 30, 2023</w:t>
      </w:r>
      <w:r>
        <w:rPr>
          <w:rFonts w:ascii="Arial" w:cs="Arial" w:eastAsia="Arial" w:hAnsi="Arial"/>
          <w:sz w:val="16"/>
          <w:szCs w:val="16"/>
          <w:color w:val="auto"/>
        </w:rPr>
        <w:t xml:space="preserve"> due to the sustained decline in our market capitalization as of September 30, 2023 and failure to achieve our projected growth. As such, we performed the quantitative test to compare the fair value to the carrying amount for our reporting unit and indefinite-lived intangible assets. We concluded in the quantitative assessment that the fair value of our loyalty-related customer relationships and developed technology and our trademark/trade name indefinite-lived intangible asset fell below their carrying values as of September 30, 2023 and recorded impairments of $16.6 million, $3.1 million and $3.7 million, respectively. No impairment of the recently acquired Apex Crypto customer-relationships or developed technology was required. Refer to Note 5 in our unaudited consolidated financial statements included in this Report on Form 10-Q for further information. Impairment of our remaining goodwill, intangible or long-lived assets may be necessary in the future. The recoverability of our goodwill is sensitive to our stock price, execution risk associated with our international expansion, on-boarding of additional partners for our crypto services and discount rates associated with such assessments.</w:t>
      </w:r>
    </w:p>
    <w:p>
      <w:pPr>
        <w:spacing w:after="0" w:line="17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 xml:space="preserve">We recorded impairments of goodwill and other intangible assets of $1,547.7 million during the three months ended </w:t>
      </w:r>
      <w:r>
        <w:rPr>
          <w:rFonts w:ascii="Arial" w:cs="Arial" w:eastAsia="Arial" w:hAnsi="Arial"/>
          <w:sz w:val="16"/>
          <w:szCs w:val="16"/>
          <w:color w:val="231F20"/>
        </w:rPr>
        <w:t>September 30, 2022</w:t>
      </w:r>
      <w:r>
        <w:rPr>
          <w:rFonts w:ascii="Arial" w:cs="Arial" w:eastAsia="Arial" w:hAnsi="Arial"/>
          <w:sz w:val="16"/>
          <w:szCs w:val="16"/>
          <w:color w:val="auto"/>
        </w:rPr>
        <w:t>. We identified a triggering event as of September 30, 2022 due to a delay in partner activations of our crypto products and a decline in our stock price. As such, we performed the quantitative test to compare the fair value to the carrying amount for our reporting unit and indefinite-lived intangible assets. We concluded the carrying amount of our single reporting unit exceeded its fair value and, as such, recorded an $1,389.9 million impairment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goodwill and an aggregate $157.8 million impairment of our indefinite-lived intangible assets. Refer to Note 5 in our unaudited consolidated financial statements included in this Report on Form 10-Q for further information.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(Loss) Gain from Change in Fair Value of Warrant Liability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155"/>
        </w:trPr>
        <w:tc>
          <w:tcPr>
            <w:tcW w:w="39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(Loss) gain from change in fair value of warrant</w:t>
            </w:r>
          </w:p>
        </w:tc>
        <w:tc>
          <w:tcPr>
            <w:tcW w:w="220" w:type="dxa"/>
            <w:vAlign w:val="bottom"/>
            <w:tcBorders>
              <w:top w:val="single" w:sz="8" w:color="auto"/>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We recorded a loss of $0.2 million during the three months ended September 30, 2023 for the change in fair value on the revaluation of our warrant liability associated with our public warrants. We recorded a gain of $0.4 million during the three months ended September 30, 2022 for the change in fair value on the revaluation of our warrant liability associated with our public warrants. These are non-cash losses and gains and are driven by fluctuations in the market price of our public warrants.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Other Income, net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(45.5 %)</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income, net primarily consists of non-operating gains and losses. During the three months ended September 30, 2023, we had income of $0.4 million primarily related to foreign currency translation. During the three months ended September 30, 2022, we recorded income of $0.7 million primarily related to foreign currency translation.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Income Tax (Expense) Benefit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(138.1 %)</w:t>
            </w: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Income tax expense during the three months ended September 30, 2023 primarily consists of current state tax expense related to certain state jurisdictions wherein we are required to file income tax returns. Income tax benefit during the three months ended September 30, 2022 primarily consists of deferred tax benefit from net loss allocated to Bakkt Holdings, Inc.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Nine Months Ended September 30, 2023 compared to Nine Months Ended September 30,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The nine months ended September 30, 2023 included the following notable items relative to the nine months ended September 30, 2022:</w:t>
      </w:r>
    </w:p>
    <w:p>
      <w:pPr>
        <w:spacing w:after="0" w:line="11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231F20"/>
        </w:rPr>
      </w:pPr>
      <w:r>
        <w:rPr>
          <w:rFonts w:ascii="Arial" w:cs="Arial" w:eastAsia="Arial" w:hAnsi="Arial"/>
          <w:sz w:val="16"/>
          <w:szCs w:val="16"/>
          <w:color w:val="231F20"/>
        </w:rPr>
        <w:t>Revenue increased $525.3 million primarily driven by a significant increase in crypto trading revenue due to our acquisition of Bakkt Crypto; and</w:t>
      </w:r>
    </w:p>
    <w:p>
      <w:pPr>
        <w:spacing w:after="0" w:line="59" w:lineRule="exact"/>
        <w:rPr>
          <w:rFonts w:ascii="Arial" w:cs="Arial" w:eastAsia="Arial" w:hAnsi="Arial"/>
          <w:sz w:val="16"/>
          <w:szCs w:val="16"/>
          <w:color w:val="231F20"/>
        </w:rPr>
      </w:pPr>
    </w:p>
    <w:p>
      <w:pPr>
        <w:ind w:left="660" w:hanging="328"/>
        <w:spacing w:after="0" w:line="32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Operating expenses decreased $1,012.2 million primarily driven by goodwill and intangible assets impairments recorded in the prior year, partially offset by increased crypto trading costs in connection with our acquisition of Bakkt Crypto.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Revenue</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525,306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Revenues increased by $525.3 million for the nine months ended September 30, 2023 compared to the nine months ended September 30, 2022. The increase was comprised of $527.3 million of increased transaction revenue, offset by $2.0 million of decreased subscription and service revenue. The increase in transaction revenue was primarily driven by increased crypto trading volume due to our acquisition of Bakkt Crypto. The decrease in subscription and service revenue was related to reduced volume-based service revenues.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goodwill and intangible assets impairments, related party expenses, restructuring expenses, and other 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Crypto Costs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Crypto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520,249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Crypto costs increased by $520.2 million for the nine months ended September 30, 2023 compared to the nine months ended September 30,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31F20"/>
        </w:rPr>
        <w:t>The increase reflects increased volume driven by our acquisition of Bakkt Crypto.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w w:val="95"/>
              </w:rPr>
              <w:t>Execution, Clearing and Brokerage Fees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Execution, clearing and brokerage fees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Execution, clearing and brokerage fees were $2.9 million during the nine months ended September 30, 2023. The increase reflects increased volume driven by our acquisition of Bakkt Crypto.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r>
    </w:tbl>
    <w:p>
      <w:pPr>
        <w:spacing w:after="0" w:line="31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231F20"/>
        </w:rPr>
        <w:t>Compensation and benefits decreased by $21.3 million, or 19.9%, for the nine months ended September 30, 2023 compared to the nine months ended September 30, 2022. The decrease was primarily due to decreases of $17.7 million in non-cash compensation and incentive bonuses, $5.5 million in contract labor, net of capitalized software development and $2.1 million in recruiting fees, partially offset by an increase $5.2 million in salaries, wages and benefits primarily due to an increase in call center personnel needed to meet call center customer service level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Professional Services</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r>
    </w:tbl>
    <w:p>
      <w:pPr>
        <w:spacing w:after="0" w:line="296" w:lineRule="exact"/>
        <w:rPr>
          <w:sz w:val="20"/>
          <w:szCs w:val="20"/>
          <w:color w:val="auto"/>
        </w:rPr>
      </w:pPr>
    </w:p>
    <w:p>
      <w:pPr>
        <w:jc w:val="both"/>
        <w:ind w:right="20" w:firstLine="648"/>
        <w:spacing w:after="0" w:line="395" w:lineRule="auto"/>
        <w:rPr>
          <w:sz w:val="20"/>
          <w:szCs w:val="20"/>
          <w:color w:val="auto"/>
        </w:rPr>
      </w:pPr>
      <w:r>
        <w:rPr>
          <w:rFonts w:ascii="Arial" w:cs="Arial" w:eastAsia="Arial" w:hAnsi="Arial"/>
          <w:sz w:val="16"/>
          <w:szCs w:val="16"/>
          <w:color w:val="231F20"/>
        </w:rPr>
        <w:t>Professional services decreased by $2.1 million, or 22.5%, for the nine months ended September 30, 2023 compared to the nine months ended September 30, 2022. The decrease was primarily due to decreases of $0.9 million in audit and tax fees and $1.2 million in other professional fees.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6"/>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Communication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Technology and communications expense increased by $3.0 million, or 23.6%, for the nine months ended September 30, 2023 compared to the nine months ended September 30, 2022. The increase was primarily due to an increase of $3.0 million in hardware and software license fees.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Selling, general and administrative costs decreased by $5.3 million, or 19.5%, for the nine months ended September 30, 2023 compared to the nine months ended September 30, 2022. The decrease was primarily due to a $6.9 million reduction of marketing expenses, partially offset by increases of $1.1 million in occupancy costs and $0.4 million in business insurance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 xml:space="preserve">Acquisition-related expenses increased by $15.9 million for the nine months ended September 30, 2023 compared to the nine months ended September 30, 2022. Acquisition-related expenses for the three months ended September 30, 2023 primarily consist of changes in the fair value of the contingent consideration associated with the acquisition of Bakkt Crypto and </w:t>
      </w:r>
      <w:r>
        <w:rPr>
          <w:rFonts w:ascii="Arial" w:cs="Arial" w:eastAsia="Arial" w:hAnsi="Arial"/>
          <w:sz w:val="18"/>
          <w:szCs w:val="18"/>
          <w:color w:val="000000"/>
        </w:rPr>
        <w:t>fees for investment banking advisors, lawyers, accountants, tax advisors and</w:t>
      </w:r>
      <w:r>
        <w:rPr>
          <w:rFonts w:ascii="Arial" w:cs="Arial" w:eastAsia="Arial" w:hAnsi="Arial"/>
          <w:sz w:val="18"/>
          <w:szCs w:val="18"/>
          <w:color w:val="231F20"/>
        </w:rPr>
        <w:t xml:space="preserve"> </w:t>
      </w:r>
      <w:r>
        <w:rPr>
          <w:rFonts w:ascii="Arial" w:cs="Arial" w:eastAsia="Arial" w:hAnsi="Arial"/>
          <w:sz w:val="18"/>
          <w:szCs w:val="18"/>
          <w:color w:val="000000"/>
        </w:rPr>
        <w:t xml:space="preserve">public relations firms related to the </w:t>
      </w:r>
      <w:r>
        <w:rPr>
          <w:rFonts w:ascii="Arial" w:cs="Arial" w:eastAsia="Arial" w:hAnsi="Arial"/>
          <w:sz w:val="18"/>
          <w:szCs w:val="18"/>
          <w:color w:val="231F20"/>
        </w:rPr>
        <w:t>acquisitions of Bakkt Crypto and Bakkt Brokerage. The amount and timing of acquisition-related expenses is expected</w:t>
      </w:r>
      <w:r>
        <w:rPr>
          <w:rFonts w:ascii="Arial" w:cs="Arial" w:eastAsia="Arial" w:hAnsi="Arial"/>
          <w:sz w:val="18"/>
          <w:szCs w:val="18"/>
          <w:color w:val="000000"/>
        </w:rPr>
        <w:t xml:space="preserve"> </w:t>
      </w:r>
      <w:r>
        <w:rPr>
          <w:rFonts w:ascii="Arial" w:cs="Arial" w:eastAsia="Arial" w:hAnsi="Arial"/>
          <w:sz w:val="18"/>
          <w:szCs w:val="18"/>
          <w:color w:val="231F20"/>
        </w:rPr>
        <w:t>to vary across periods based on potential transaction activities.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8"/>
              </w:rPr>
              <w:t>10,843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r>
      <w:tr>
        <w:trPr>
          <w:trHeight w:val="918"/>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ind w:left="14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231F20"/>
        </w:rPr>
        <w:t>Depreciation and amortization decreased by $7.5 million, or 40.9%, for the nine months ended September 30, 2023 compared to the nine months ended September 30, 2022. The decrease was primarily due to lower net book values of intangible assets after impairments were recorded in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Related Party Expenses</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5"/>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249.1 %</w:t>
            </w: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Related party expenses increased by $2.2 million, or 249.1%, for the nine months ended September 30, 2023 compared to the nine months ended September 30, 2022. The increase was due to fees associated with Bakkt Crypto's transition services agreement, as well as higher fees associated with ICE's transition services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Goodwill and Intangible Assets Impairments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7"/>
                <w:szCs w:val="17"/>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1,547,711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(1,524,386)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 xml:space="preserve">We recorded impairments of intangible assets of $23.3 million during the nine months ended </w:t>
      </w:r>
      <w:r>
        <w:rPr>
          <w:rFonts w:ascii="Arial" w:cs="Arial" w:eastAsia="Arial" w:hAnsi="Arial"/>
          <w:sz w:val="17"/>
          <w:szCs w:val="17"/>
          <w:color w:val="231F20"/>
        </w:rPr>
        <w:t>September 30, 2023.</w:t>
      </w:r>
      <w:r>
        <w:rPr>
          <w:rFonts w:ascii="Arial" w:cs="Arial" w:eastAsia="Arial" w:hAnsi="Arial"/>
          <w:sz w:val="17"/>
          <w:szCs w:val="17"/>
          <w:color w:val="auto"/>
        </w:rPr>
        <w:t xml:space="preserve"> We did not record any impairment of goodwill during the nine months ended </w:t>
      </w:r>
      <w:r>
        <w:rPr>
          <w:rFonts w:ascii="Arial" w:cs="Arial" w:eastAsia="Arial" w:hAnsi="Arial"/>
          <w:sz w:val="17"/>
          <w:szCs w:val="17"/>
          <w:color w:val="231F20"/>
        </w:rPr>
        <w:t>September 30, 2023.</w:t>
      </w:r>
      <w:r>
        <w:rPr>
          <w:rFonts w:ascii="Arial" w:cs="Arial" w:eastAsia="Arial" w:hAnsi="Arial"/>
          <w:sz w:val="17"/>
          <w:szCs w:val="17"/>
          <w:color w:val="auto"/>
        </w:rPr>
        <w:t xml:space="preserve"> We recorded impairments of goodwill and other intangible assets of $1,547.7 million during the nine months ended </w:t>
      </w:r>
      <w:r>
        <w:rPr>
          <w:rFonts w:ascii="Arial" w:cs="Arial" w:eastAsia="Arial" w:hAnsi="Arial"/>
          <w:sz w:val="17"/>
          <w:szCs w:val="17"/>
          <w:color w:val="231F20"/>
        </w:rPr>
        <w:t>September 30, 2022</w:t>
      </w:r>
      <w:r>
        <w:rPr>
          <w:rFonts w:ascii="Arial" w:cs="Arial" w:eastAsia="Arial" w:hAnsi="Arial"/>
          <w:sz w:val="17"/>
          <w:szCs w:val="17"/>
          <w:color w:val="auto"/>
        </w:rPr>
        <w:t>. Refer to Note 5 in our unaudited consolidated financial statements included in this Report on Form 10-Q for further information. Impairment of our remaining goodwill, intangible or long-lived assets may be necessary in the future.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Restructuring Expenses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231F20"/>
        </w:rPr>
        <w:t>Restructuring expenses of $4.5 million during the nine months ended September 30, 2023 consist of severance costs and accelerated vesting of non-cash compensation as part of our business simplification initiatives to focus on capabilities with strong product market fit and scalability.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(Loss) Gain from Change in Fair Value of Warrant Liability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155"/>
        </w:trPr>
        <w:tc>
          <w:tcPr>
            <w:tcW w:w="39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(Loss) gain from change in fair value of warrant</w:t>
            </w:r>
          </w:p>
        </w:tc>
        <w:tc>
          <w:tcPr>
            <w:tcW w:w="240" w:type="dxa"/>
            <w:vAlign w:val="bottom"/>
            <w:tcBorders>
              <w:top w:val="single" w:sz="8" w:color="auto"/>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recorded a loss of $0.9 million during the nine months ended September 30, 2023 for the change in fair value on the revaluation of our warrant liability associated with our public warrants. We recorded a gain of $13.1 million during the nine months ended September 30, 2022 for the change in fair value on the revaluation of our warrant liability associated with our public warrants.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Other Income, net</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1"/>
                <w:szCs w:val="21"/>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(94.6 %)</w:t>
            </w: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income, net primarily consists of non-operating gains and losses. During the nine months ended September 30, 2023, we recorded income of less than $0.1 million primarily related to foreign currency translation. During the nine months ended September 30, 2022, we recorded income of $0.6 million primarily related to foreign currency translation.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Income Tax (Expense) Benefit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Income tax expense during the nine months ended September 30, 2023 primarily consists of current state tax expense related to certain state jurisdictions wherein we are required to file income tax returns and an increase to our valuation allowance related to the goodwill recognized from the acquisition of Bakkt Crypto. Income tax benefit during the nine months ended September 30, 2022 primarily consists of deferred tax benefit from net loss allocated to Bakkt Holdings, Inc. during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As of September 30, 2023, we had $68.2 million and $28.3 million of cash and cash equivalents and restricted cash, respectively. Additionally, as of September 30, 2023, we had $22.7 million of available-for-sale debt securities that mature over the next 3 months. Cash and cash equivalents consist of cash deposits at banks and money market funds. Restricted cash is held to satisfy certain minimum capital requirements pursuant to regulatory requirements, or as collateral for insurance contracts.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We intend to use our unrestricted cash and proceeds from maturity of available-for-sale debt securities to (i) activate new crypto clients, (ii) maintain our research and product development efforts, and (iii) optimize our technology infrastructure and operational support. </w:t>
      </w:r>
      <w:r>
        <w:rPr>
          <w:rFonts w:ascii="Arial" w:cs="Arial" w:eastAsia="Arial" w:hAnsi="Arial"/>
          <w:sz w:val="17"/>
          <w:szCs w:val="17"/>
          <w:color w:val="231F20"/>
        </w:rPr>
        <w:t>We expect to leverage the</w:t>
      </w:r>
      <w:r>
        <w:rPr>
          <w:rFonts w:ascii="Arial" w:cs="Arial" w:eastAsia="Arial" w:hAnsi="Arial"/>
          <w:sz w:val="17"/>
          <w:szCs w:val="17"/>
          <w:color w:val="auto"/>
        </w:rPr>
        <w:t xml:space="preserve"> </w:t>
      </w:r>
      <w:r>
        <w:rPr>
          <w:rFonts w:ascii="Arial" w:cs="Arial" w:eastAsia="Arial" w:hAnsi="Arial"/>
          <w:sz w:val="17"/>
          <w:szCs w:val="17"/>
          <w:color w:val="231F20"/>
        </w:rPr>
        <w:t xml:space="preserve">team we have built to date as well as our Bakkt Crypto acquisition to execute our growth strategy. We are undertaking further strategic analysis of our headcount and expense base and will take action to right-size both in 2023 and 2024. We expect that we will be able to reduce the amount of cash that is restricted associated with regulatory capital and insurance requirements through the integration of Bakkt Crypto. Excluding the cash purchase price to acquire Bakkt Crypto, we expect our cash usage in 2023 to decline from 2022 levels driven by the combined impact of increased revenue and expense reductions related to the completion of large-dollar investments in 2022 and benefits from restructuring actions. </w:t>
      </w:r>
      <w:r>
        <w:rPr>
          <w:rFonts w:ascii="Arial" w:cs="Arial" w:eastAsia="Arial" w:hAnsi="Arial"/>
          <w:sz w:val="17"/>
          <w:szCs w:val="17"/>
          <w:color w:val="000000"/>
        </w:rPr>
        <w:t>In addition, we may in the future enter into</w:t>
      </w:r>
      <w:r>
        <w:rPr>
          <w:rFonts w:ascii="Arial" w:cs="Arial" w:eastAsia="Arial" w:hAnsi="Arial"/>
          <w:sz w:val="17"/>
          <w:szCs w:val="17"/>
          <w:color w:val="231F20"/>
        </w:rPr>
        <w:t xml:space="preserve"> </w:t>
      </w:r>
      <w:r>
        <w:rPr>
          <w:rFonts w:ascii="Arial" w:cs="Arial" w:eastAsia="Arial" w:hAnsi="Arial"/>
          <w:sz w:val="17"/>
          <w:szCs w:val="17"/>
          <w:color w:val="000000"/>
        </w:rPr>
        <w:t>arrangements to acquire or invest in complementary businesses, services, technologies or intellectual property rights. However, we have no agreements or commitments with respect to any such acquisitions or investments at this time. Our expected uses of available funds are based upon our present plans, objectives and business condition.</w:t>
      </w:r>
    </w:p>
    <w:p>
      <w:pPr>
        <w:spacing w:after="0" w:line="17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We made substantial investments in our platforms in 2022, which enables us to simplify our organization and focus on the core capabilities that are critical to our strategy.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losses and projected cash needs, combined with our current liquidity level, initially raised substantial doubt about our ability to continue as a going concern. Management’s plan to improve our liquidity and mitigate the substantial doubt includes integrating our regulated entities to reduce regulatory capital and insurance requirements. We expect these actions will increase available cash by approximately $11.5 million. Additionally, we have been executing a strategic plan to optimize our capital allocation and expense base since the fourth quarter of 2022. Management's plans over the next twelve months include the further reduction of cash expenses through continued alignment of headcount and vendor spend, and further reductions in our non-essential operating footprint.</w:t>
      </w:r>
    </w:p>
    <w:p>
      <w:pPr>
        <w:spacing w:after="0" w:line="183"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 xml:space="preserve">Management believes the expected impact on our liquidity and cash flows resulting from the entity integration and the operational initiatives outlined above are probable of occurring, sufficient to enable us to meet our obligations for at least twelve months from the date the financial statements are issued and alleviate the conditions that initially raised substantial doubt about our ability to continue as a going concern. </w:t>
      </w:r>
      <w:r>
        <w:rPr>
          <w:rFonts w:ascii="Arial" w:cs="Arial" w:eastAsia="Arial" w:hAnsi="Arial"/>
          <w:sz w:val="16"/>
          <w:szCs w:val="16"/>
          <w:color w:val="231F20"/>
        </w:rPr>
        <w:t>Depending on the foregoing and</w:t>
      </w:r>
      <w:r>
        <w:rPr>
          <w:rFonts w:ascii="Arial" w:cs="Arial" w:eastAsia="Arial" w:hAnsi="Arial"/>
          <w:sz w:val="16"/>
          <w:szCs w:val="16"/>
          <w:color w:val="auto"/>
        </w:rPr>
        <w:t xml:space="preserve"> </w:t>
      </w:r>
      <w:r>
        <w:rPr>
          <w:rFonts w:ascii="Arial" w:cs="Arial" w:eastAsia="Arial" w:hAnsi="Arial"/>
          <w:sz w:val="16"/>
          <w:szCs w:val="16"/>
          <w:color w:val="231F20"/>
        </w:rPr>
        <w:t>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660"/>
              <w:spacing w:after="0"/>
              <w:rPr>
                <w:sz w:val="20"/>
                <w:szCs w:val="20"/>
                <w:color w:val="auto"/>
              </w:rPr>
            </w:pPr>
            <w:r>
              <w:rPr>
                <w:rFonts w:ascii="Arial" w:cs="Arial" w:eastAsia="Arial" w:hAnsi="Arial"/>
                <w:sz w:val="18"/>
                <w:szCs w:val="18"/>
                <w:color w:val="231F20"/>
              </w:rPr>
              <w:t>The following table summarizes our cash flows for the periods presented (</w:t>
            </w:r>
            <w:r>
              <w:rPr>
                <w:rFonts w:ascii="Arial" w:cs="Arial" w:eastAsia="Arial" w:hAnsi="Arial"/>
                <w:sz w:val="18"/>
                <w:szCs w:val="18"/>
                <w:color w:val="000000"/>
              </w:rPr>
              <w:t>in thousands)</w:t>
            </w:r>
            <w:r>
              <w:rPr>
                <w:rFonts w:ascii="Arial" w:cs="Arial" w:eastAsia="Arial" w:hAnsi="Arial"/>
                <w:sz w:val="18"/>
                <w:szCs w:val="18"/>
                <w:color w:val="231F20"/>
              </w:rPr>
              <w:t>:</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1"/>
        </w:trPr>
        <w:tc>
          <w:tcPr>
            <w:tcW w:w="7760" w:type="dxa"/>
            <w:vAlign w:val="bottom"/>
          </w:tcPr>
          <w:p>
            <w:pPr>
              <w:spacing w:after="0"/>
              <w:rPr>
                <w:sz w:val="24"/>
                <w:szCs w:val="24"/>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Nine Months Ended</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7760" w:type="dxa"/>
            <w:vAlign w:val="bottom"/>
          </w:tcPr>
          <w:p>
            <w:pPr>
              <w:spacing w:after="0"/>
              <w:rPr>
                <w:sz w:val="20"/>
                <w:szCs w:val="20"/>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September 30, 2023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65,710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(136,578)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 xml:space="preserve">Net cash flows used in operating activities of $53.9 million for the nine months ended September 30, 2023 was primarily related to our net loss of $147.1 million, offset by net cash inflows resulting from changes in our operating assets and liabilities of $40.2 million and non-cash charges of $53.0 million. Net cash inflows from changes in our operating assets and liabilities for the nine months ended September 30, 2023 resulted primarily from a $24.8 million increase in customer funds, a non-recurring return of a $15.2 million deposit with </w:t>
      </w:r>
      <w:r>
        <w:rPr>
          <w:rFonts w:ascii="Arial" w:cs="Arial" w:eastAsia="Arial" w:hAnsi="Arial"/>
          <w:sz w:val="18"/>
          <w:szCs w:val="18"/>
          <w:color w:val="000000"/>
        </w:rPr>
        <w:t>ICE Clear US, Inc</w:t>
      </w:r>
      <w:r>
        <w:rPr>
          <w:rFonts w:ascii="Arial" w:cs="Arial" w:eastAsia="Arial" w:hAnsi="Arial"/>
          <w:sz w:val="18"/>
          <w:szCs w:val="18"/>
          <w:color w:val="231F20"/>
        </w:rPr>
        <w:t>., a decrease in prepaid insurance of $10.8 million and a decrease in accounts receivable of $3.6 million, partially offset by a decrease of accounts payable and accrued liabilities of $17.6 million. The non-cash charges primarily consisted of intangible assets impairments of $23.3 million, share-based compensation of $14.3 million and depreciation and amortization of $10.8 million.</w:t>
      </w:r>
    </w:p>
    <w:p>
      <w:pPr>
        <w:spacing w:after="0" w:line="19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Net cash flows used in operating activities of $93.9 million for the nine months ended September 30, 2022 was primarily related to our net loss of $1,663.5 million and net cash outflows resulting from changes in our operating assets and liabilities of $5.6 million, offset by non-cash charges of $1,575.2 million. The non-cash charges primarily consisted of an impairment of goodwill and other intangible assets of $1,547.7 million, share-based compensation of $28.9 million and depreciation and amortization of $18.3 million, offset by a decrease in deferred taxes of $8.9 million and a gain from change in fair value of warrant liability of $13.1 million. Net cash outflows from changes in our operating assets and liabilities for the nine months ended September 30, 2022 resulted primarily from a $6.7 million reduction in the outstanding balance of the purchasing card facility, an increase in accounts receivables of $4.0 million and a decrease of accounts payable and accrued liabilities of $10.7 million, which were partially offset by a decrease in prepaid insurance of $11.6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cash flows provided by investing activities of $65.7 million for the nine months ended September 30, 2023 consisted of the receipt of $163.2 million of proceeds from the sale of available-for-sale securities, partially offset by the purchase of $44.6 million of available-for-sale debt securities, $7.9 million of capitalized costs of internally developed software for our technology platforms, $44.3 million net cash used to acquire Bakkt Crypto and $0.6 million cash used to acquire Bakkt Brokerage.</w:t>
      </w:r>
    </w:p>
    <w:p>
      <w:pPr>
        <w:spacing w:after="0" w:line="19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Net cash flows used in investing activities of $136.6 million for the nine months ended September 30, 2022 consisted of $188.8 million related to the purchase of available for sale debt securities and $22.5 million of capitalized costs of internally developed software for our technology platforms, partially offset by the receipt of $74.7 million of proceeds from the sale of available-for-sale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used in financing activities of $2.5 million during the nine months ended September 30, 2023 resulted from the repurchase and retirement of Class A common stock that was withheld from vested RSUs/PSUs.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231F20"/>
        </w:rPr>
        <w:t>Net cash flows used in financing activities of less than $0.1 million for the nine months ended September 30, 2021 resulted from payments for capital leases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9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September 30, 2023, 22,704,377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The following is a summary of our significant contractual obligations and commitments as of </w:t>
      </w:r>
      <w:r>
        <w:rPr>
          <w:rFonts w:ascii="Arial" w:cs="Arial" w:eastAsia="Arial" w:hAnsi="Arial"/>
          <w:sz w:val="18"/>
          <w:szCs w:val="18"/>
          <w:color w:val="000000"/>
        </w:rPr>
        <w:t>September 30, 2023</w:t>
      </w:r>
      <w:r>
        <w:rPr>
          <w:rFonts w:ascii="Arial" w:cs="Arial" w:eastAsia="Arial" w:hAnsi="Arial"/>
          <w:sz w:val="18"/>
          <w:szCs w:val="18"/>
          <w:color w:val="231F20"/>
        </w:rPr>
        <w:t xml:space="preserve">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Less than 1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r>
      <w:tr>
        <w:trPr>
          <w:trHeight w:val="229"/>
        </w:trPr>
        <w:tc>
          <w:tcPr>
            <w:tcW w:w="35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6"/>
              </w:rPr>
              <w:t>Future minimum operating lease payments</w:t>
            </w:r>
            <w:r>
              <w:rPr>
                <w:rFonts w:ascii="Arial" w:cs="Arial" w:eastAsia="Arial" w:hAnsi="Arial"/>
                <w:sz w:val="23"/>
                <w:szCs w:val="23"/>
                <w:color w:val="auto"/>
                <w:w w:val="96"/>
                <w:vertAlign w:val="superscript"/>
              </w:rPr>
              <w:t>(2)</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4,963</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11,673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34,178</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57,328</w:t>
            </w:r>
          </w:p>
        </w:tc>
      </w:tr>
    </w:tbl>
    <w:p>
      <w:pPr>
        <w:spacing w:after="0" w:line="31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minimum commitment payments under a four-year cloud computing arrangement and a separate five-year marketing partnership.</w:t>
      </w:r>
    </w:p>
    <w:p>
      <w:pPr>
        <w:spacing w:after="0" w:line="47" w:lineRule="exact"/>
        <w:rPr>
          <w:rFonts w:ascii="Arial" w:cs="Arial" w:eastAsia="Arial" w:hAnsi="Arial"/>
          <w:sz w:val="17"/>
          <w:szCs w:val="17"/>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rental payments under operating leases with remaining non-cancellable terms in excess of one year.</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7"/>
          <w:szCs w:val="17"/>
          <w:color w:val="000000"/>
        </w:rPr>
        <w:t>In April 2022, we further extended the maturity date of the purchasing card</w:t>
      </w:r>
      <w:r>
        <w:rPr>
          <w:rFonts w:ascii="Arial" w:cs="Arial" w:eastAsia="Arial" w:hAnsi="Arial"/>
          <w:sz w:val="17"/>
          <w:szCs w:val="17"/>
          <w:color w:val="231F20"/>
        </w:rPr>
        <w:t xml:space="preserve"> </w:t>
      </w:r>
      <w:r>
        <w:rPr>
          <w:rFonts w:ascii="Arial" w:cs="Arial" w:eastAsia="Arial" w:hAnsi="Arial"/>
          <w:sz w:val="17"/>
          <w:szCs w:val="17"/>
          <w:color w:val="000000"/>
        </w:rPr>
        <w:t>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Three Months Ended</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Three Months Ended</w:t>
            </w:r>
          </w:p>
        </w:tc>
        <w:tc>
          <w:tcPr>
            <w:tcW w:w="180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Nine Months Ended</w:t>
            </w:r>
          </w:p>
        </w:tc>
      </w:tr>
      <w:tr>
        <w:trPr>
          <w:trHeight w:val="239"/>
        </w:trPr>
        <w:tc>
          <w:tcPr>
            <w:tcW w:w="4160" w:type="dxa"/>
            <w:vAlign w:val="bottom"/>
          </w:tcPr>
          <w:p>
            <w:pPr>
              <w:spacing w:after="0"/>
              <w:rPr>
                <w:sz w:val="20"/>
                <w:szCs w:val="20"/>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September 30, 2023</w:t>
            </w:r>
          </w:p>
        </w:tc>
        <w:tc>
          <w:tcPr>
            <w:tcW w:w="18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September 30, 2022</w:t>
            </w:r>
          </w:p>
        </w:tc>
        <w:tc>
          <w:tcPr>
            <w:tcW w:w="18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September 30, 2023</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2022</w:t>
            </w:r>
          </w:p>
        </w:tc>
      </w:tr>
      <w:tr>
        <w:trPr>
          <w:trHeight w:val="227"/>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(1,592,548)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(1,663,509)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18,340</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(1,654,851)</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Share-based and unit-based compensation expense</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Loss (gain) from change in fair value of warrant liability</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1,547,711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1,547,711</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Transition services expense</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Adjusted EBITDA loss</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(21,563)</w:t>
            </w:r>
          </w:p>
        </w:tc>
        <w:tc>
          <w:tcPr>
            <w:tcW w:w="8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(89,215)</w:t>
            </w:r>
          </w:p>
        </w:tc>
      </w:tr>
      <w:tr>
        <w:trPr>
          <w:trHeight w:val="21"/>
        </w:trPr>
        <w:tc>
          <w:tcPr>
            <w:tcW w:w="4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231F20"/>
        </w:rPr>
        <w:t>Adjusted EBITDA loss for the three months ended September 30, 2023 decreased by $9.1 million or 29.8% as compared to the three months ended September 30, 2022. The decreased loss was primarily due to decreases of $6.2 million in contract labor and $2.1 million in salaries and wages.</w:t>
      </w:r>
    </w:p>
    <w:p>
      <w:pPr>
        <w:spacing w:after="0" w:line="1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Adjusted EBITDA loss for the nine months ended September 30, 2023 decreased by $14.3 million or 16.0% as compared to the nine months ended September 30, 2022. The decreased loss was primarily due to a decrease of $13.7 million in contract labor.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For further information about our critical accounting policies and estimates, refer to “Item 7. Management’s Discussion and Analysis of Financial Condition and Results of Operations” in our Form 10-K. There have been no material changes to our critical accounting policies and estimates since our Form 10-K, except for those mentioned in conjunction with our liquidity and capital resources or our acquisition of Bakkt Crypto in Note 2, or the intangible assets impairments in Note 5 of the unaudited consolidated financial statements included in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25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w:t>
      </w:r>
      <w:r>
        <w:rPr>
          <w:rFonts w:ascii="Arial" w:cs="Arial" w:eastAsia="Arial" w:hAnsi="Arial"/>
          <w:sz w:val="18"/>
          <w:szCs w:val="18"/>
          <w:color w:val="231F20"/>
        </w:rPr>
        <w:t>The significant estimates and assumptions that affect the financial statements may</w:t>
      </w:r>
      <w:r>
        <w:rPr>
          <w:rFonts w:ascii="Arial" w:cs="Arial" w:eastAsia="Arial" w:hAnsi="Arial"/>
          <w:sz w:val="18"/>
          <w:szCs w:val="18"/>
          <w:color w:val="auto"/>
        </w:rPr>
        <w:t xml:space="preserve"> </w:t>
      </w:r>
      <w:r>
        <w:rPr>
          <w:rFonts w:ascii="Arial" w:cs="Arial" w:eastAsia="Arial" w:hAnsi="Arial"/>
          <w:sz w:val="18"/>
          <w:szCs w:val="18"/>
          <w:color w:val="231F20"/>
        </w:rPr>
        <w:t>include, but are not limited to, going concern,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 xml:space="preserve">Recently issued and adopted accounting pronouncements are described in Note 2 in the unaudited consolidated financial statements </w:t>
      </w:r>
      <w:r>
        <w:rPr>
          <w:rFonts w:ascii="Arial" w:cs="Arial" w:eastAsia="Arial" w:hAnsi="Arial"/>
          <w:sz w:val="18"/>
          <w:szCs w:val="18"/>
          <w:color w:val="000000"/>
        </w:rPr>
        <w:t>included in</w:t>
      </w:r>
      <w:r>
        <w:rPr>
          <w:rFonts w:ascii="Arial" w:cs="Arial" w:eastAsia="Arial" w:hAnsi="Arial"/>
          <w:sz w:val="18"/>
          <w:szCs w:val="18"/>
          <w:color w:val="231F20"/>
        </w:rPr>
        <w:t xml:space="preserve"> </w:t>
      </w:r>
      <w:r>
        <w:rPr>
          <w:rFonts w:ascii="Arial" w:cs="Arial" w:eastAsia="Arial" w:hAnsi="Arial"/>
          <w:sz w:val="18"/>
          <w:szCs w:val="18"/>
          <w:color w:val="000000"/>
        </w:rPr>
        <w:t>this Report</w:t>
      </w:r>
      <w:r>
        <w:rPr>
          <w:rFonts w:ascii="Arial" w:cs="Arial" w:eastAsia="Arial" w:hAnsi="Arial"/>
          <w:sz w:val="18"/>
          <w:szCs w:val="18"/>
          <w:color w:val="231F20"/>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There were no changes to our internal control over financial reporting (as defined in Rule 13a-15(f) and Rule 15d-15(f) under the Exchange Act) during the quarter ended September 30, 2023 that have materially affected, or are reasonably likely to materially affect, our internal control over financial reporting. Except as described below, there were no changes to our internal control over financial reporting (as defined in Rule 13a-15(f) and Rule 15d-15(f) under the Exchange Act) during the quarter ended September 30, 2023 that have materially affected, or are reasonably likely to materially affect, our internal control over financial reporting. In April 2023, we acquired Apex Crypto and are in the process of integrating the acquired business into our overall internal control over financial reporting process. Such acquisition exceeded 50% significance under the significance tests set forth in Item 3-05 of Regulation S-X. As permitted under applicable regulations, we have excluded Apex Crypto from our assessment of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14 in our unaudited consolidated financial statements included in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9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0" w:name="page61"/>
    <w:bookmarkEnd w:id="60"/>
    <w:p>
      <w:pPr>
        <w:jc w:val="both"/>
        <w:spacing w:after="0" w:line="324" w:lineRule="auto"/>
        <w:rPr>
          <w:sz w:val="20"/>
          <w:szCs w:val="20"/>
          <w:color w:val="auto"/>
        </w:rPr>
      </w:pPr>
      <w:r>
        <w:rPr>
          <w:rFonts w:ascii="Arial" w:cs="Arial" w:eastAsia="Arial" w:hAnsi="Arial"/>
          <w:sz w:val="18"/>
          <w:szCs w:val="18"/>
          <w:color w:val="auto"/>
        </w:rPr>
        <w:t>significantly for each clients,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57"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5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agreements with our clients have terms that range from approximately one to five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1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Additionally, certain of our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addition,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18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Any of the foregoing could, among other things, adversely impact our stock price, make us less competitive compared to our peers and otherwise significantly adversely affect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Excessive redemptions or withdrawals, or a suspension of redemptions or withdrawals, of crypto assets could adversely impact our business.</w:t>
      </w:r>
    </w:p>
    <w:p>
      <w:pPr>
        <w:spacing w:after="0" w:line="2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1" w:name="page62"/>
    <w:bookmarkEnd w:id="61"/>
    <w:p>
      <w:pPr>
        <w:jc w:val="both"/>
        <w:spacing w:after="0" w:line="291" w:lineRule="auto"/>
        <w:rPr>
          <w:sz w:val="20"/>
          <w:szCs w:val="20"/>
          <w:color w:val="auto"/>
        </w:rPr>
      </w:pPr>
      <w:r>
        <w:rPr>
          <w:rFonts w:ascii="Arial" w:cs="Arial" w:eastAsia="Arial" w:hAnsi="Arial"/>
          <w:sz w:val="17"/>
          <w:szCs w:val="17"/>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and Bakkt Crypto is subject to reporting requirements, restrictions with respect to the investment of consumer funds, bonding requirements and inspection by state regulatory agencies.</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 xml:space="preserve">As we expand our business activities, both as to the products and services offered and into jurisdictions beyond the United States, including as a result of the Bakkt Crypto acquisition, we </w:t>
      </w:r>
      <w:r>
        <w:rPr>
          <w:rFonts w:ascii="Arial" w:cs="Arial" w:eastAsia="Arial" w:hAnsi="Arial"/>
          <w:sz w:val="16"/>
          <w:szCs w:val="16"/>
          <w:u w:val="single" w:color="auto"/>
          <w:color w:val="auto"/>
        </w:rPr>
        <w:t>have</w:t>
      </w:r>
      <w:r>
        <w:rPr>
          <w:rFonts w:ascii="Arial" w:cs="Arial" w:eastAsia="Arial" w:hAnsi="Arial"/>
          <w:sz w:val="16"/>
          <w:szCs w:val="16"/>
          <w:color w:val="auto"/>
        </w:rPr>
        <w:t xml:space="preserve"> become increasingly obligated to comply with new laws and regulations, including those of any additional countries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5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As we are expanding our international activities, in particular in connection with our integration of Bakkt Crypto, we have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exchanges over time, such as by requiring crypto asset exchanges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2" w:name="page63"/>
    <w:bookmarkEnd w:id="62"/>
    <w:p>
      <w:pPr>
        <w:jc w:val="both"/>
        <w:spacing w:after="0" w:line="328" w:lineRule="auto"/>
        <w:rPr>
          <w:sz w:val="20"/>
          <w:szCs w:val="20"/>
          <w:color w:val="auto"/>
        </w:rPr>
      </w:pPr>
      <w:r>
        <w:rPr>
          <w:rFonts w:ascii="Arial" w:cs="Arial" w:eastAsia="Arial" w:hAnsi="Arial"/>
          <w:sz w:val="17"/>
          <w:szCs w:val="17"/>
          <w:color w:val="auto"/>
        </w:rPr>
        <w:t>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84"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 2023, the SEC initiated lawsuits against certain crypto currency exchanges, including Bittrex, Coinbase and Binance, alleging among other</w:t>
      </w:r>
    </w:p>
    <w:p>
      <w:pPr>
        <w:spacing w:after="0" w:line="61" w:lineRule="exact"/>
        <w:rPr>
          <w:sz w:val="20"/>
          <w:szCs w:val="20"/>
          <w:color w:val="auto"/>
        </w:rPr>
      </w:pPr>
    </w:p>
    <w:p>
      <w:pPr>
        <w:ind w:left="660" w:right="20"/>
        <w:spacing w:after="0" w:line="308" w:lineRule="auto"/>
        <w:rPr>
          <w:sz w:val="20"/>
          <w:szCs w:val="20"/>
          <w:color w:val="auto"/>
        </w:rPr>
      </w:pPr>
      <w:r>
        <w:rPr>
          <w:rFonts w:ascii="Arial" w:cs="Arial" w:eastAsia="Arial" w:hAnsi="Arial"/>
          <w:sz w:val="18"/>
          <w:szCs w:val="18"/>
          <w:color w:val="auto"/>
        </w:rPr>
        <w:t>things that those entities operated as unregistered national securities exchanges, unregistered broker-dealers and unregistered clearing agencies and alleging that certain crypto assets available on their platforms are securities.</w:t>
      </w:r>
    </w:p>
    <w:p>
      <w:pPr>
        <w:spacing w:after="0" w:line="184" w:lineRule="exact"/>
        <w:rPr>
          <w:sz w:val="20"/>
          <w:szCs w:val="20"/>
          <w:color w:val="auto"/>
        </w:rPr>
      </w:pPr>
    </w:p>
    <w:p>
      <w:pPr>
        <w:ind w:left="660" w:hanging="324"/>
        <w:spacing w:after="0" w:line="328" w:lineRule="auto"/>
        <w:rPr>
          <w:sz w:val="20"/>
          <w:szCs w:val="20"/>
          <w:color w:val="auto"/>
        </w:rPr>
      </w:pPr>
      <w:r>
        <w:rPr>
          <w:rFonts w:ascii="Arial" w:cs="Arial" w:eastAsia="Arial" w:hAnsi="Arial"/>
          <w:sz w:val="17"/>
          <w:szCs w:val="17"/>
          <w:color w:val="auto"/>
        </w:rPr>
        <w:t>– The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 June 2023, the CFTC won a default judgment against Ooki DAO, a decentralized autonomous organization that the CFTC charged with</w:t>
      </w:r>
    </w:p>
    <w:p>
      <w:pPr>
        <w:spacing w:after="0" w:line="6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In July 2023, a court in the Southern District of New York held that Ripple’s sales of XRP to sophisticated investors pursuant to written contracts</w:t>
      </w:r>
    </w:p>
    <w:p>
      <w:pPr>
        <w:spacing w:after="0" w:line="72"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did constitute the unregistered offer and sale of investment contracts while sales of XRP to purchasers through blind bid/ask transactions on crypto asset exchanges did not constitute the sale of unregistered securities.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U.S. Congress has expressed the need for both greater federal oversight of the crypto industry and comprehensive cryptocurrency legislation.</w:t>
      </w:r>
    </w:p>
    <w:p>
      <w:pPr>
        <w:spacing w:after="0" w:line="72" w:lineRule="exact"/>
        <w:rPr>
          <w:sz w:val="20"/>
          <w:szCs w:val="20"/>
          <w:color w:val="auto"/>
        </w:rPr>
      </w:pPr>
    </w:p>
    <w:p>
      <w:pPr>
        <w:jc w:val="both"/>
        <w:ind w:left="660"/>
        <w:spacing w:after="0" w:line="325" w:lineRule="auto"/>
        <w:rPr>
          <w:sz w:val="20"/>
          <w:szCs w:val="20"/>
          <w:color w:val="auto"/>
        </w:rPr>
      </w:pPr>
      <w:r>
        <w:rPr>
          <w:rFonts w:ascii="Arial" w:cs="Arial" w:eastAsia="Arial" w:hAnsi="Arial"/>
          <w:sz w:val="16"/>
          <w:szCs w:val="16"/>
          <w:color w:val="auto"/>
        </w:rPr>
        <w:t>In June 2023, a bill was introduced in the U.S. House of Representatives that would place cryptocurrencies offered as part of an investment contract would fall under SEC oversight, while those that qualify as commodities would be overseen by the CFTC. Under the draft bill, whether a</w:t>
      </w:r>
    </w:p>
    <w:p>
      <w:pPr>
        <w:spacing w:after="0" w:line="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particularly crypto asset is as a security or commodity would depend on how decentralized its underlying blockchain is, as determined by an SEC ruling. The bill would also subject crypto asset intermediaries, such as certain of our subsidiaries, to registration with and regulation by the CFTC, the SEC or both.</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Certain state regulators, such as NYDFS, have created or are in the process of creating new regulatory frameworks with respect to crypto. For</w:t>
      </w:r>
    </w:p>
    <w:p>
      <w:pPr>
        <w:spacing w:after="0" w:line="72" w:lineRule="exact"/>
        <w:rPr>
          <w:sz w:val="20"/>
          <w:szCs w:val="20"/>
          <w:color w:val="auto"/>
        </w:rPr>
      </w:pPr>
    </w:p>
    <w:p>
      <w:pPr>
        <w:jc w:val="both"/>
        <w:ind w:left="660"/>
        <w:spacing w:after="0" w:line="325" w:lineRule="auto"/>
        <w:rPr>
          <w:sz w:val="20"/>
          <w:szCs w:val="20"/>
          <w:color w:val="auto"/>
        </w:rPr>
      </w:pPr>
      <w:r>
        <w:rPr>
          <w:rFonts w:ascii="Arial" w:cs="Arial" w:eastAsia="Arial" w:hAnsi="Arial"/>
          <w:sz w:val="16"/>
          <w:szCs w:val="16"/>
          <w:color w:val="auto"/>
        </w:rPr>
        <w:t>example, in 2015, the State of New York adopted the “BitLicense,” the first U.S. regulatory framework for licensing participants in crypto business activity. Each of Bakkt Marketplace and Bakkt Crypto currently operates under a BitLicense. On January 25, 2023, NYDFS released</w:t>
      </w:r>
    </w:p>
    <w:p>
      <w:pPr>
        <w:spacing w:after="0" w:line="1"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guidance regarding crypto custody practices, providing that a “virtual currency entity custodian” must: (1) separately account for and segregate customer assets from proprietary assets, (2) take possession of customer assets only for the limited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3" w:name="page64"/>
    <w:bookmarkEnd w:id="63"/>
    <w:p>
      <w:pPr>
        <w:jc w:val="both"/>
        <w:ind w:left="660"/>
        <w:spacing w:after="0" w:line="313" w:lineRule="auto"/>
        <w:rPr>
          <w:sz w:val="20"/>
          <w:szCs w:val="20"/>
          <w:color w:val="auto"/>
        </w:rPr>
      </w:pPr>
      <w:r>
        <w:rPr>
          <w:rFonts w:ascii="Arial" w:cs="Arial" w:eastAsia="Arial" w:hAnsi="Arial"/>
          <w:sz w:val="17"/>
          <w:szCs w:val="17"/>
          <w:color w:val="auto"/>
        </w:rPr>
        <w:t>purpose of 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FinCEN has released guidance regarding how it considers its regulations to interact with crypto businesses.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IRS released guidance treating crypto as property that is not currency for U.S. federal income tax purposes.</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1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particular points. For instance, U.S. bankruptcy courts are now faced with a number of questions of first impression that may determine the status of crypto in bankruptcy, and the rights and obligations of platforms that custody crypto for their customers.</w:t>
      </w:r>
    </w:p>
    <w:p>
      <w:pPr>
        <w:spacing w:after="0" w:line="182"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See also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4" w:name="page65"/>
    <w:bookmarkEnd w:id="64"/>
    <w:p>
      <w:pPr>
        <w:jc w:val="both"/>
        <w:ind w:firstLine="648"/>
        <w:spacing w:after="0" w:line="329" w:lineRule="auto"/>
        <w:rPr>
          <w:sz w:val="20"/>
          <w:szCs w:val="20"/>
          <w:color w:val="auto"/>
        </w:rPr>
      </w:pPr>
      <w:r>
        <w:rPr>
          <w:rFonts w:ascii="Arial" w:cs="Arial" w:eastAsia="Arial" w:hAnsi="Arial"/>
          <w:sz w:val="16"/>
          <w:szCs w:val="16"/>
          <w:color w:val="auto"/>
        </w:rPr>
        <w:t>The SEC and its staff have taken the position that certain crypto assets fall within the definition of a “security” under the U.S. federal securities laws, and it is possible the SEC may take this position with respect to other assets that may be transacted on our platform. The legal test for determining whether any given asset is a security is a highly complex and, fact-driven analysis, and the outcome is difficult to predict. To date, public statements by senior officials at the SEC indicate that the SEC does not intend to take the position that bitcoin or ether are securities in their current form. However, such statements do not represent SEC rules or official policy statements by the SEC; they reflect only the speakers’ views and are not binding on the SEC or any</w:t>
      </w:r>
    </w:p>
    <w:p>
      <w:pPr>
        <w:spacing w:after="0" w:line="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other agency or court and cannot be generalized to any other crypto asset. The SEC, as well as other regulato</w:t>
      </w:r>
      <w:r>
        <w:rPr>
          <w:rFonts w:ascii="Arial" w:cs="Arial" w:eastAsia="Arial" w:hAnsi="Arial"/>
          <w:sz w:val="20"/>
          <w:szCs w:val="20"/>
          <w:color w:val="auto"/>
        </w:rPr>
        <w:t>rs,</w:t>
      </w:r>
      <w:r>
        <w:rPr>
          <w:rFonts w:ascii="Arial" w:cs="Arial" w:eastAsia="Arial" w:hAnsi="Arial"/>
          <w:sz w:val="17"/>
          <w:szCs w:val="17"/>
          <w:color w:val="auto"/>
        </w:rPr>
        <w:t xml:space="preserve">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and Binance.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backed by local currencies, known as “stablecoins,” will be deemed to be “securities.”</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9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out platform, is uncertain. We will only allow those crypto assets for which we determine there are reasonably strong arguments to conclude that the crypto asset is not a security.</w:t>
      </w:r>
    </w:p>
    <w:p>
      <w:pPr>
        <w:spacing w:after="0" w:line="16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5" w:name="page66"/>
    <w:bookmarkEnd w:id="65"/>
    <w:p>
      <w:pPr>
        <w:jc w:val="both"/>
        <w:spacing w:after="0" w:line="296" w:lineRule="auto"/>
        <w:rPr>
          <w:sz w:val="20"/>
          <w:szCs w:val="20"/>
          <w:color w:val="auto"/>
        </w:rPr>
      </w:pPr>
      <w:r>
        <w:rPr>
          <w:rFonts w:ascii="Arial" w:cs="Arial" w:eastAsia="Arial" w:hAnsi="Arial"/>
          <w:sz w:val="18"/>
          <w:szCs w:val="18"/>
          <w:color w:val="auto"/>
        </w:rPr>
        <w:t>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18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6" w:name="page67"/>
    <w:bookmarkEnd w:id="66"/>
    <w:p>
      <w:pPr>
        <w:jc w:val="both"/>
        <w:spacing w:after="0" w:line="335" w:lineRule="auto"/>
        <w:rPr>
          <w:sz w:val="20"/>
          <w:szCs w:val="20"/>
          <w:color w:val="auto"/>
        </w:rPr>
      </w:pPr>
      <w:r>
        <w:rPr>
          <w:rFonts w:ascii="Arial" w:cs="Arial" w:eastAsia="Arial" w:hAnsi="Arial"/>
          <w:sz w:val="16"/>
          <w:szCs w:val="16"/>
          <w:color w:val="auto"/>
        </w:rPr>
        <w:t>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15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6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6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7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5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7" w:name="page68"/>
    <w:bookmarkEnd w:id="67"/>
    <w:p>
      <w:pPr>
        <w:jc w:val="both"/>
        <w:ind w:firstLine="648"/>
        <w:spacing w:after="0" w:line="323"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1D1C1D"/>
        </w:rPr>
        <w:t>The NYSE may delist our securities from trading on its exchange, which could limit investors’ ability to make transactions in our securities and subject us to additional trading restrictions.</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Our securities are currently listed on NYSE. However, we cannot assure you that we will be able to meet the NYSE’s continued listing requirements for our common stock or our warrants in the future. For example, as of November 13, 2023, our stock price had closed below $1.00 for the preceding nine consecutive trading days and, if it does not increase, we may receive a written notification from the NYSE that we are not in compliance with the continued listing standard set forth in Section 802.01C of the NYSE Listed Company Manual, which requires that the closing price of our Class A Common Stock is not less than an average of $1.00 per share over a consecutive 30 trading-day period. While the NYSE rules generally provide for a six-month period to return to compliance following delivery of a noncompliance notice including by taking an action that will require approval of our shareholders, there can be no assurances that we will be able to achieve compliance with the minimum bid price requirements or any other listing requirements during such period, or at all.</w:t>
      </w:r>
    </w:p>
    <w:p>
      <w:pPr>
        <w:spacing w:after="0" w:line="22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1D1C1D"/>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88" w:lineRule="exact"/>
        <w:rPr>
          <w:sz w:val="20"/>
          <w:szCs w:val="20"/>
          <w:color w:val="auto"/>
        </w:rPr>
      </w:pPr>
    </w:p>
    <w:p>
      <w:pPr>
        <w:ind w:left="760" w:hanging="104"/>
        <w:spacing w:after="0"/>
        <w:tabs>
          <w:tab w:leader="none" w:pos="76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a limited availability of market quotations for our securities;</w:t>
      </w:r>
    </w:p>
    <w:p>
      <w:pPr>
        <w:spacing w:after="0" w:line="238" w:lineRule="exact"/>
        <w:rPr>
          <w:rFonts w:ascii="Arial" w:cs="Arial" w:eastAsia="Arial" w:hAnsi="Arial"/>
          <w:sz w:val="18"/>
          <w:szCs w:val="18"/>
          <w:color w:val="1D1C1D"/>
        </w:rPr>
      </w:pPr>
    </w:p>
    <w:p>
      <w:pPr>
        <w:ind w:left="760" w:hanging="104"/>
        <w:spacing w:after="0"/>
        <w:tabs>
          <w:tab w:leader="none" w:pos="76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reduced liquidity for our securities;</w:t>
      </w:r>
    </w:p>
    <w:p>
      <w:pPr>
        <w:spacing w:after="0" w:line="225" w:lineRule="exact"/>
        <w:rPr>
          <w:rFonts w:ascii="Arial" w:cs="Arial" w:eastAsia="Arial" w:hAnsi="Arial"/>
          <w:sz w:val="18"/>
          <w:szCs w:val="18"/>
          <w:color w:val="1D1C1D"/>
        </w:rPr>
      </w:pPr>
    </w:p>
    <w:p>
      <w:pPr>
        <w:ind w:firstLine="656"/>
        <w:spacing w:after="0" w:line="261" w:lineRule="auto"/>
        <w:tabs>
          <w:tab w:leader="none" w:pos="769"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197" w:lineRule="exact"/>
        <w:rPr>
          <w:rFonts w:ascii="Arial" w:cs="Arial" w:eastAsia="Arial" w:hAnsi="Arial"/>
          <w:sz w:val="18"/>
          <w:szCs w:val="18"/>
          <w:color w:val="1D1C1D"/>
        </w:rPr>
      </w:pPr>
    </w:p>
    <w:p>
      <w:pPr>
        <w:ind w:left="760" w:hanging="104"/>
        <w:spacing w:after="0"/>
        <w:tabs>
          <w:tab w:leader="none" w:pos="76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a limited amount of news and analyst coverage; and</w:t>
      </w:r>
    </w:p>
    <w:p>
      <w:pPr>
        <w:spacing w:after="0" w:line="238" w:lineRule="exact"/>
        <w:rPr>
          <w:rFonts w:ascii="Arial" w:cs="Arial" w:eastAsia="Arial" w:hAnsi="Arial"/>
          <w:sz w:val="18"/>
          <w:szCs w:val="18"/>
          <w:color w:val="1D1C1D"/>
        </w:rPr>
      </w:pPr>
    </w:p>
    <w:p>
      <w:pPr>
        <w:ind w:left="760" w:hanging="104"/>
        <w:spacing w:after="0"/>
        <w:tabs>
          <w:tab w:leader="none" w:pos="760" w:val="left"/>
        </w:tabs>
        <w:numPr>
          <w:ilvl w:val="0"/>
          <w:numId w:val="33"/>
        </w:numPr>
        <w:rPr>
          <w:rFonts w:ascii="Arial" w:cs="Arial" w:eastAsia="Arial" w:hAnsi="Arial"/>
          <w:sz w:val="18"/>
          <w:szCs w:val="18"/>
          <w:color w:val="1D1C1D"/>
        </w:rPr>
      </w:pPr>
      <w:r>
        <w:rPr>
          <w:rFonts w:ascii="Arial" w:cs="Arial" w:eastAsia="Arial" w:hAnsi="Arial"/>
          <w:sz w:val="18"/>
          <w:szCs w:val="18"/>
          <w:color w:val="1D1C1D"/>
        </w:rPr>
        <w:t>a decreased ability to issue additional securities or obtain additional financing in the future.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68" w:name="page69"/>
    <w:bookmarkEnd w:id="68"/>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jc w:val="center"/>
        <w:ind w:right="7659"/>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jc w:val="center"/>
        <w:ind w:right="773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33"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Incorporated by Reference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Exhibit</w:t>
            </w:r>
          </w:p>
        </w:tc>
        <w:tc>
          <w:tcPr>
            <w:tcW w:w="3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60" w:type="dxa"/>
            <w:vAlign w:val="bottom"/>
            <w:tcBorders>
              <w:bottom w:val="single" w:sz="8" w:color="auto"/>
            </w:tcBorders>
            <w:gridSpan w:val="3"/>
          </w:tcPr>
          <w:p>
            <w:pPr>
              <w:ind w:left="2320"/>
              <w:spacing w:after="0"/>
              <w:rPr>
                <w:sz w:val="20"/>
                <w:szCs w:val="20"/>
                <w:color w:val="auto"/>
              </w:rPr>
            </w:pPr>
            <w:r>
              <w:rPr>
                <w:rFonts w:ascii="Arial" w:cs="Arial" w:eastAsia="Arial" w:hAnsi="Arial"/>
                <w:sz w:val="18"/>
                <w:szCs w:val="18"/>
                <w:b w:val="1"/>
                <w:bCs w:val="1"/>
                <w:color w:val="auto"/>
              </w:rPr>
              <w:t>Description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304"/>
        </w:trPr>
        <w:tc>
          <w:tcPr>
            <w:tcW w:w="1260" w:type="dxa"/>
            <w:vAlign w:val="bottom"/>
          </w:tcPr>
          <w:p>
            <w:pPr>
              <w:ind w:left="20"/>
              <w:spacing w:after="0"/>
              <w:rPr>
                <w:sz w:val="20"/>
                <w:szCs w:val="20"/>
                <w:color w:val="auto"/>
              </w:rPr>
            </w:pPr>
            <w:r>
              <w:rPr>
                <w:rFonts w:ascii="Arial" w:cs="Arial" w:eastAsia="Arial" w:hAnsi="Arial"/>
                <w:sz w:val="18"/>
                <w:szCs w:val="18"/>
                <w:color w:val="auto"/>
              </w:rPr>
              <w:t>2.1</w:t>
            </w:r>
          </w:p>
        </w:tc>
        <w:tc>
          <w:tcPr>
            <w:tcW w:w="5540" w:type="dxa"/>
            <w:vAlign w:val="bottom"/>
            <w:tcBorders>
              <w:bottom w:val="single" w:sz="8" w:color="0000FF"/>
            </w:tcBorders>
            <w:gridSpan w:val="2"/>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Amendment No. 1 To Membership Interest Purchase Agreement, dated as of</w:t>
              </w:r>
            </w:hyperlink>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001-39544</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April 3, 2023</w:t>
            </w:r>
          </w:p>
        </w:tc>
      </w:tr>
      <w:tr>
        <w:trPr>
          <w:trHeight w:val="196"/>
        </w:trPr>
        <w:tc>
          <w:tcPr>
            <w:tcW w:w="1260" w:type="dxa"/>
            <w:vAlign w:val="bottom"/>
          </w:tcPr>
          <w:p>
            <w:pPr>
              <w:spacing w:after="0"/>
              <w:rPr>
                <w:sz w:val="17"/>
                <w:szCs w:val="17"/>
                <w:color w:val="auto"/>
              </w:rPr>
            </w:pPr>
          </w:p>
        </w:tc>
        <w:tc>
          <w:tcPr>
            <w:tcW w:w="5560" w:type="dxa"/>
            <w:vAlign w:val="bottom"/>
            <w:gridSpan w:val="3"/>
          </w:tcPr>
          <w:p>
            <w:pPr>
              <w:spacing w:after="0" w:line="196" w:lineRule="exact"/>
              <w:rPr>
                <w:rFonts w:ascii="Arial" w:cs="Arial" w:eastAsia="Arial" w:hAnsi="Arial"/>
                <w:sz w:val="18"/>
                <w:szCs w:val="18"/>
                <w:color w:val="0000FF"/>
                <w:w w:val="97"/>
              </w:rPr>
            </w:pPr>
            <w:hyperlink r:id="rId102">
              <w:r>
                <w:rPr>
                  <w:rFonts w:ascii="Arial" w:cs="Arial" w:eastAsia="Arial" w:hAnsi="Arial"/>
                  <w:sz w:val="18"/>
                  <w:szCs w:val="18"/>
                  <w:color w:val="0000FF"/>
                  <w:w w:val="97"/>
                </w:rPr>
                <w:t>March 30, 2023, by and among the Company, Bakkt Marketplace, Apex</w:t>
              </w:r>
            </w:hyperlink>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Fintech Solutions Inc. and Apex Crypto, LLC.</w:t>
              </w:r>
            </w:hyperlink>
          </w:p>
        </w:tc>
        <w:tc>
          <w:tcPr>
            <w:tcW w:w="2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185"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4.1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0000FF"/>
            </w:tcBorders>
            <w:gridSpan w:val="2"/>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Certificate of Incorporation of the Company, as currently in effect</w:t>
              </w:r>
            </w:hyperlink>
          </w:p>
        </w:tc>
        <w:tc>
          <w:tcPr>
            <w:tcW w:w="7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358"/>
        </w:trPr>
        <w:tc>
          <w:tcPr>
            <w:tcW w:w="3360" w:type="dxa"/>
            <w:vAlign w:val="bottom"/>
            <w:tcBorders>
              <w:bottom w:val="single" w:sz="8" w:color="0000FF"/>
            </w:tcBorders>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By-laws of the Company, as currently in effect</w:t>
              </w:r>
            </w:hyperlink>
          </w:p>
        </w:tc>
        <w:tc>
          <w:tcPr>
            <w:tcW w:w="21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358"/>
        </w:trPr>
        <w:tc>
          <w:tcPr>
            <w:tcW w:w="5520" w:type="dxa"/>
            <w:vAlign w:val="bottom"/>
            <w:tcBorders>
              <w:bottom w:val="single" w:sz="8" w:color="0000FF"/>
            </w:tcBorders>
            <w:gridSpan w:val="3"/>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Amendment Agreement by and between Bakkt Holdings, Inc., Apex Fintech</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91"/>
              </w:rPr>
              <w:t>August 10, 2023</w:t>
            </w:r>
          </w:p>
        </w:tc>
      </w:tr>
    </w:tbl>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Solutions Inc. and PEAK6 Investments LLC</w:t>
        </w:r>
      </w:hyperlink>
    </w:p>
    <w:p>
      <w:pPr>
        <w:spacing w:after="0" w:line="116"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jc w:val="both"/>
        <w:ind w:right="4440"/>
        <w:spacing w:after="0" w:line="277"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1026" w:right="339" w:bottom="1440" w:gutter="0" w:footer="0" w:header="0"/>
          <w:type w:val="continuous"/>
        </w:sectPr>
      </w:pPr>
    </w:p>
    <w:p>
      <w:pPr>
        <w:spacing w:after="0" w:line="17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70" w:name="page71"/>
    <w:bookmarkEnd w:id="70"/>
    <w:p>
      <w:pPr>
        <w:jc w:val="right"/>
        <w:ind w:left="440" w:hanging="432"/>
        <w:spacing w:after="0" w:line="325" w:lineRule="auto"/>
        <w:tabs>
          <w:tab w:leader="none" w:pos="29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w:t>
      </w:r>
    </w:p>
    <w:p>
      <w:pPr>
        <w:spacing w:after="0" w:line="1" w:lineRule="exact"/>
        <w:rPr>
          <w:sz w:val="20"/>
          <w:szCs w:val="20"/>
          <w:color w:val="auto"/>
        </w:rPr>
      </w:pPr>
    </w:p>
    <w:p>
      <w:pPr>
        <w:jc w:val="center"/>
        <w:ind w:left="380" w:right="380"/>
        <w:spacing w:after="0" w:line="277" w:lineRule="auto"/>
        <w:rPr>
          <w:sz w:val="20"/>
          <w:szCs w:val="20"/>
          <w:color w:val="auto"/>
        </w:rPr>
      </w:pPr>
      <w:r>
        <w:rPr>
          <w:rFonts w:ascii="Arial" w:cs="Arial" w:eastAsia="Arial" w:hAnsi="Arial"/>
          <w:sz w:val="18"/>
          <w:szCs w:val="18"/>
          <w:color w:val="auto"/>
        </w:rPr>
        <w:t xml:space="preserve">1934, as amended, whether made before or after the date hereof and irrespective of any general incorporation language contained in such filings. </w:t>
      </w:r>
      <w:r>
        <w:rPr>
          <w:rFonts w:ascii="Arial" w:cs="Arial" w:eastAsia="Arial" w:hAnsi="Arial"/>
          <w:sz w:val="18"/>
          <w:szCs w:val="18"/>
          <w:b w:val="1"/>
          <w:bCs w:val="1"/>
          <w:color w:val="auto"/>
        </w:rPr>
        <w:t>SIGNATURES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140" w:type="dxa"/>
            <w:vAlign w:val="bottom"/>
            <w:gridSpan w:val="2"/>
          </w:tcPr>
          <w:p>
            <w:pPr>
              <w:ind w:left="1620"/>
              <w:spacing w:after="0"/>
              <w:rPr>
                <w:sz w:val="20"/>
                <w:szCs w:val="20"/>
                <w:color w:val="auto"/>
              </w:rPr>
            </w:pPr>
            <w:r>
              <w:rPr>
                <w:rFonts w:ascii="Arial" w:cs="Arial" w:eastAsia="Arial" w:hAnsi="Arial"/>
                <w:sz w:val="18"/>
                <w:szCs w:val="18"/>
                <w:color w:val="auto"/>
                <w:w w:val="94"/>
              </w:rPr>
              <w:t>Bakkt Holdings, Inc.</w:t>
            </w:r>
          </w:p>
        </w:tc>
        <w:tc>
          <w:tcPr>
            <w:tcW w:w="4560" w:type="dxa"/>
            <w:vAlign w:val="bottom"/>
          </w:tcPr>
          <w:p>
            <w:pPr>
              <w:spacing w:after="0"/>
              <w:rPr>
                <w:sz w:val="20"/>
                <w:szCs w:val="20"/>
                <w:color w:val="auto"/>
              </w:rPr>
            </w:pPr>
          </w:p>
        </w:tc>
      </w:tr>
      <w:tr>
        <w:trPr>
          <w:trHeight w:val="445"/>
        </w:trPr>
        <w:tc>
          <w:tcPr>
            <w:tcW w:w="3500" w:type="dxa"/>
            <w:vAlign w:val="bottom"/>
          </w:tcPr>
          <w:p>
            <w:pPr>
              <w:spacing w:after="0"/>
              <w:rPr>
                <w:sz w:val="20"/>
                <w:szCs w:val="20"/>
                <w:color w:val="auto"/>
              </w:rPr>
            </w:pPr>
            <w:r>
              <w:rPr>
                <w:rFonts w:ascii="Arial" w:cs="Arial" w:eastAsia="Arial" w:hAnsi="Arial"/>
                <w:sz w:val="18"/>
                <w:szCs w:val="18"/>
                <w:color w:val="auto"/>
              </w:rPr>
              <w:t>Date: November 14, 2023</w:t>
            </w:r>
          </w:p>
        </w:tc>
        <w:tc>
          <w:tcPr>
            <w:tcW w:w="31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ind w:right="1010"/>
              <w:spacing w:after="0"/>
              <w:rPr>
                <w:sz w:val="20"/>
                <w:szCs w:val="20"/>
                <w:color w:val="auto"/>
              </w:rPr>
            </w:pPr>
            <w:r>
              <w:rPr>
                <w:rFonts w:ascii="Arial" w:cs="Arial" w:eastAsia="Arial" w:hAnsi="Arial"/>
                <w:sz w:val="18"/>
                <w:szCs w:val="18"/>
                <w:color w:val="auto"/>
                <w:w w:val="94"/>
              </w:rPr>
              <w:t>/s/ Gavin Michael</w:t>
            </w:r>
          </w:p>
        </w:tc>
      </w:tr>
      <w:tr>
        <w:trPr>
          <w:trHeight w:val="222"/>
        </w:trPr>
        <w:tc>
          <w:tcPr>
            <w:tcW w:w="3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jc w:val="center"/>
              <w:ind w:right="1030"/>
              <w:spacing w:after="0"/>
              <w:rPr>
                <w:sz w:val="20"/>
                <w:szCs w:val="20"/>
                <w:color w:val="auto"/>
              </w:rPr>
            </w:pPr>
            <w:r>
              <w:rPr>
                <w:rFonts w:ascii="Arial" w:cs="Arial" w:eastAsia="Arial" w:hAnsi="Arial"/>
                <w:sz w:val="18"/>
                <w:szCs w:val="18"/>
                <w:color w:val="auto"/>
                <w:w w:val="94"/>
              </w:rPr>
              <w:t>Gavin Michael</w:t>
            </w:r>
          </w:p>
        </w:tc>
      </w:tr>
      <w:tr>
        <w:trPr>
          <w:trHeight w:val="176"/>
        </w:trPr>
        <w:tc>
          <w:tcPr>
            <w:tcW w:w="3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10"/>
              <w:spacing w:after="0" w:line="176" w:lineRule="exact"/>
              <w:rPr>
                <w:sz w:val="20"/>
                <w:szCs w:val="20"/>
                <w:color w:val="auto"/>
              </w:rPr>
            </w:pPr>
            <w:r>
              <w:rPr>
                <w:rFonts w:ascii="Arial" w:cs="Arial" w:eastAsia="Arial" w:hAnsi="Arial"/>
                <w:sz w:val="18"/>
                <w:szCs w:val="18"/>
                <w:color w:val="auto"/>
                <w:w w:val="91"/>
              </w:rPr>
              <w:t>Chief Executive Officer, President and Director</w:t>
            </w:r>
          </w:p>
        </w:tc>
      </w:tr>
      <w:tr>
        <w:trPr>
          <w:trHeight w:val="230"/>
        </w:trPr>
        <w:tc>
          <w:tcPr>
            <w:tcW w:w="3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Arial" w:cs="Arial" w:eastAsia="Arial" w:hAnsi="Arial"/>
                <w:sz w:val="18"/>
                <w:szCs w:val="18"/>
                <w:color w:val="auto"/>
                <w:w w:val="94"/>
              </w:rPr>
              <w:t>(Principal Executive Officer)</w:t>
            </w:r>
          </w:p>
        </w:tc>
      </w:tr>
      <w:tr>
        <w:trPr>
          <w:trHeight w:val="458"/>
        </w:trPr>
        <w:tc>
          <w:tcPr>
            <w:tcW w:w="3500" w:type="dxa"/>
            <w:vAlign w:val="bottom"/>
          </w:tcPr>
          <w:p>
            <w:pPr>
              <w:spacing w:after="0"/>
              <w:rPr>
                <w:sz w:val="20"/>
                <w:szCs w:val="20"/>
                <w:color w:val="auto"/>
              </w:rPr>
            </w:pPr>
            <w:r>
              <w:rPr>
                <w:rFonts w:ascii="Arial" w:cs="Arial" w:eastAsia="Arial" w:hAnsi="Arial"/>
                <w:sz w:val="18"/>
                <w:szCs w:val="18"/>
                <w:color w:val="auto"/>
              </w:rPr>
              <w:t>Date: November 14, 2023</w:t>
            </w:r>
          </w:p>
        </w:tc>
        <w:tc>
          <w:tcPr>
            <w:tcW w:w="31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ind w:right="1010"/>
              <w:spacing w:after="0"/>
              <w:rPr>
                <w:sz w:val="20"/>
                <w:szCs w:val="20"/>
                <w:color w:val="auto"/>
              </w:rPr>
            </w:pPr>
            <w:r>
              <w:rPr>
                <w:rFonts w:ascii="Arial" w:cs="Arial" w:eastAsia="Arial" w:hAnsi="Arial"/>
                <w:sz w:val="18"/>
                <w:szCs w:val="18"/>
                <w:color w:val="auto"/>
                <w:w w:val="92"/>
              </w:rPr>
              <w:t>/s/ Karen Alexander</w:t>
            </w:r>
          </w:p>
        </w:tc>
      </w:tr>
      <w:tr>
        <w:trPr>
          <w:trHeight w:val="222"/>
        </w:trPr>
        <w:tc>
          <w:tcPr>
            <w:tcW w:w="3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jc w:val="center"/>
              <w:ind w:right="1030"/>
              <w:spacing w:after="0"/>
              <w:rPr>
                <w:sz w:val="20"/>
                <w:szCs w:val="20"/>
                <w:color w:val="auto"/>
              </w:rPr>
            </w:pPr>
            <w:r>
              <w:rPr>
                <w:rFonts w:ascii="Arial" w:cs="Arial" w:eastAsia="Arial" w:hAnsi="Arial"/>
                <w:sz w:val="18"/>
                <w:szCs w:val="18"/>
                <w:color w:val="auto"/>
                <w:w w:val="92"/>
              </w:rPr>
              <w:t>Karen Alexander</w:t>
            </w:r>
          </w:p>
        </w:tc>
      </w:tr>
      <w:tr>
        <w:trPr>
          <w:trHeight w:val="176"/>
        </w:trPr>
        <w:tc>
          <w:tcPr>
            <w:tcW w:w="3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(Principal Financial Officer)</w:t>
            </w:r>
          </w:p>
        </w:tc>
      </w:tr>
      <w:tr>
        <w:trPr>
          <w:trHeight w:val="512"/>
        </w:trPr>
        <w:tc>
          <w:tcPr>
            <w:tcW w:w="3500" w:type="dxa"/>
            <w:vAlign w:val="bottom"/>
          </w:tcPr>
          <w:p>
            <w:pPr>
              <w:spacing w:after="0"/>
              <w:rPr>
                <w:sz w:val="20"/>
                <w:szCs w:val="20"/>
                <w:color w:val="auto"/>
              </w:rPr>
            </w:pPr>
            <w:r>
              <w:rPr>
                <w:rFonts w:ascii="Arial" w:cs="Arial" w:eastAsia="Arial" w:hAnsi="Arial"/>
                <w:sz w:val="18"/>
                <w:szCs w:val="18"/>
                <w:color w:val="auto"/>
              </w:rPr>
              <w:t>Date: November 14, 2023</w:t>
            </w:r>
          </w:p>
        </w:tc>
        <w:tc>
          <w:tcPr>
            <w:tcW w:w="31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1"/>
              </w:rPr>
              <w:t>/s/ Chip Goodroe</w:t>
            </w:r>
          </w:p>
        </w:tc>
      </w:tr>
      <w:tr>
        <w:trPr>
          <w:trHeight w:val="222"/>
        </w:trPr>
        <w:tc>
          <w:tcPr>
            <w:tcW w:w="3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tcPr>
          <w:p>
            <w:pPr>
              <w:jc w:val="center"/>
              <w:ind w:right="1010"/>
              <w:spacing w:after="0"/>
              <w:rPr>
                <w:sz w:val="20"/>
                <w:szCs w:val="20"/>
                <w:color w:val="auto"/>
              </w:rPr>
            </w:pPr>
            <w:r>
              <w:rPr>
                <w:rFonts w:ascii="Arial" w:cs="Arial" w:eastAsia="Arial" w:hAnsi="Arial"/>
                <w:sz w:val="18"/>
                <w:szCs w:val="18"/>
                <w:color w:val="auto"/>
                <w:w w:val="90"/>
              </w:rPr>
              <w:t>Chip Goodroe</w:t>
            </w:r>
          </w:p>
        </w:tc>
      </w:tr>
      <w:tr>
        <w:trPr>
          <w:trHeight w:val="176"/>
        </w:trPr>
        <w:tc>
          <w:tcPr>
            <w:tcW w:w="3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76" w:lineRule="exact"/>
              <w:rPr>
                <w:sz w:val="20"/>
                <w:szCs w:val="20"/>
                <w:color w:val="auto"/>
              </w:rPr>
            </w:pPr>
            <w:r>
              <w:rPr>
                <w:rFonts w:ascii="Arial" w:cs="Arial" w:eastAsia="Arial" w:hAnsi="Arial"/>
                <w:sz w:val="18"/>
                <w:szCs w:val="18"/>
                <w:color w:val="auto"/>
                <w:w w:val="94"/>
              </w:rPr>
              <w:t>Chief Accounting Officer</w:t>
            </w:r>
          </w:p>
        </w:tc>
      </w:tr>
      <w:tr>
        <w:trPr>
          <w:trHeight w:val="230"/>
        </w:trPr>
        <w:tc>
          <w:tcPr>
            <w:tcW w:w="3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Arial" w:cs="Arial" w:eastAsia="Arial" w:hAnsi="Arial"/>
                <w:sz w:val="18"/>
                <w:szCs w:val="18"/>
                <w:color w:val="auto"/>
                <w:w w:val="95"/>
              </w:rPr>
              <w:t>(Principal Accounting Officer)</w:t>
            </w:r>
          </w:p>
        </w:tc>
      </w:tr>
      <w:tr>
        <w:trPr>
          <w:trHeight w:val="931"/>
        </w:trPr>
        <w:tc>
          <w:tcPr>
            <w:tcW w:w="3500" w:type="dxa"/>
            <w:vAlign w:val="bottom"/>
          </w:tcPr>
          <w:p>
            <w:pPr>
              <w:spacing w:after="0"/>
              <w:rPr>
                <w:sz w:val="24"/>
                <w:szCs w:val="24"/>
                <w:color w:val="auto"/>
              </w:rPr>
            </w:pP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71</w:t>
            </w:r>
          </w:p>
        </w:tc>
        <w:tc>
          <w:tcPr>
            <w:tcW w:w="4560" w:type="dxa"/>
            <w:vAlign w:val="bottom"/>
          </w:tcPr>
          <w:p>
            <w:pPr>
              <w:spacing w:after="0"/>
              <w:rPr>
                <w:sz w:val="24"/>
                <w:szCs w:val="24"/>
                <w:color w:val="auto"/>
              </w:rPr>
            </w:pPr>
          </w:p>
        </w:tc>
      </w:tr>
    </w:tbl>
    <w:p>
      <w:pPr>
        <w:sectPr>
          <w:pgSz w:w="11900" w:h="16838" w:orient="portrait"/>
          <w:cols w:equalWidth="0" w:num="1">
            <w:col w:w="11240"/>
          </w:cols>
          <w:pgMar w:left="320" w:top="989" w:right="339"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31.1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40" w:val="left"/>
          <w:tab w:leader="none" w:pos="77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40640</wp:posOffset>
            </wp:positionV>
            <wp:extent cx="36004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Executive Officer</w:t>
      </w:r>
    </w:p>
    <w:p>
      <w:pPr>
        <w:ind w:left="7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40" w:val="left"/>
          <w:tab w:leader="none" w:pos="764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40640</wp:posOffset>
            </wp:positionV>
            <wp:extent cx="3600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Karen Alexander</w:t>
      </w:r>
    </w:p>
    <w:p>
      <w:pPr>
        <w:spacing w:after="0" w:line="4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ind w:left="7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0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September 30, 2023 as filed</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620" w:val="left"/>
          <w:tab w:leader="none" w:pos="79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2918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September 30, 2023 as filed</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500" w:val="left"/>
          <w:tab w:leader="none" w:pos="784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40640</wp:posOffset>
            </wp:positionV>
            <wp:extent cx="33686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1."/>
      <w:numFmt w:val="decimal"/>
      <w:start w:val="3"/>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2"/>
    </w:lvl>
  </w:abstractNum>
  <w:abstractNum w:abstractNumId="14">
    <w:nsid w:val="189A769B"/>
    <w:multiLevelType w:val="hybridMultilevel"/>
    <w:lvl w:ilvl="0">
      <w:lvlJc w:val="left"/>
      <w:lvlText w:val="%1."/>
      <w:numFmt w:val="decimal"/>
      <w:start w:val="4"/>
    </w:lvl>
  </w:abstractNum>
  <w:abstractNum w:abstractNumId="15">
    <w:nsid w:val="54E49EB4"/>
    <w:multiLevelType w:val="hybridMultilevel"/>
    <w:lvl w:ilvl="0">
      <w:lvlJc w:val="left"/>
      <w:lvlText w:val="%1."/>
      <w:numFmt w:val="decimal"/>
      <w:start w:val="7"/>
    </w:lvl>
  </w:abstractNum>
  <w:abstractNum w:abstractNumId="16">
    <w:nsid w:val="71F32454"/>
    <w:multiLevelType w:val="hybridMultilevel"/>
    <w:lvl w:ilvl="0">
      <w:lvlJc w:val="left"/>
      <w:lvlText w:val="%1."/>
      <w:numFmt w:val="decimal"/>
      <w:start w:val="8"/>
    </w:lvl>
  </w:abstractNum>
  <w:abstractNum w:abstractNumId="17">
    <w:nsid w:val="2CA88611"/>
    <w:multiLevelType w:val="hybridMultilevel"/>
    <w:lvl w:ilvl="0">
      <w:lvlJc w:val="left"/>
      <w:lvlText w:val="%1."/>
      <w:numFmt w:val="decimal"/>
      <w:start w:val="9"/>
    </w:lvl>
  </w:abstractNum>
  <w:abstractNum w:abstractNumId="18">
    <w:nsid w:val="836C40E"/>
    <w:multiLevelType w:val="hybridMultilevel"/>
    <w:lvl w:ilvl="0">
      <w:lvlJc w:val="left"/>
      <w:lvlText w:val="%1."/>
      <w:numFmt w:val="decimal"/>
      <w:start w:val="10"/>
    </w:lvl>
  </w:abstractNum>
  <w:abstractNum w:abstractNumId="19">
    <w:nsid w:val="2901D82"/>
    <w:multiLevelType w:val="hybridMultilevel"/>
    <w:lvl w:ilvl="0">
      <w:lvlJc w:val="left"/>
      <w:lvlText w:val="%1."/>
      <w:numFmt w:val="decimal"/>
      <w:start w:val="11"/>
    </w:lvl>
  </w:abstractNum>
  <w:abstractNum w:abstractNumId="20">
    <w:nsid w:val="3A95F874"/>
    <w:multiLevelType w:val="hybridMultilevel"/>
    <w:lvl w:ilvl="0">
      <w:lvlJc w:val="left"/>
      <w:lvlText w:val="%1."/>
      <w:numFmt w:val="decimal"/>
      <w:start w:val="11"/>
    </w:lvl>
    <w:lvl w:ilvl="1">
      <w:lvlJc w:val="left"/>
      <w:lvlText w:val="•"/>
      <w:numFmt w:val="bullet"/>
      <w:start w:val="1"/>
    </w:lvl>
  </w:abstractNum>
  <w:abstractNum w:abstractNumId="21">
    <w:nsid w:val="8138641"/>
    <w:multiLevelType w:val="hybridMultilevel"/>
    <w:lvl w:ilvl="0">
      <w:lvlJc w:val="left"/>
      <w:lvlText w:val="%1."/>
      <w:numFmt w:val="decimal"/>
      <w:start w:val="19"/>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endash "/>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endash "/>
      <w:numFmt w:val="bullet"/>
      <w:start w:val="1"/>
    </w:lvl>
  </w:abstractNum>
  <w:abstractNum w:abstractNumId="31">
    <w:nsid w:val="5577F8E1"/>
    <w:multiLevelType w:val="hybridMultilevel"/>
    <w:lvl w:ilvl="0">
      <w:lvlJc w:val="left"/>
      <w:lvlText w:val="\endash "/>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02" Type="http://schemas.openxmlformats.org/officeDocument/2006/relationships/hyperlink" Target="https://www.sec.gov/Archives/edgar/data/1820302/000119312523089016/d482123dex22.htm" TargetMode="External"/><Relationship Id="rId103" Type="http://schemas.openxmlformats.org/officeDocument/2006/relationships/hyperlink" Target="https://www.sec.gov/Archives/edgar/data/0001820302/000119312521303985/d219325dex31.htm" TargetMode="External"/><Relationship Id="rId104" Type="http://schemas.openxmlformats.org/officeDocument/2006/relationships/hyperlink" Target="https://www.sec.gov/Archives/edgar/data/0001820302/000119312521303985/d219325dex32.htm" TargetMode="External"/><Relationship Id="rId105" Type="http://schemas.openxmlformats.org/officeDocument/2006/relationships/hyperlink" Target="https://www.sec.gov/Archives/edgar/data/1820302/000182030223000080/exhibit42amend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2023-11-14T06:54:12Z</dcterms:created>
  <dcterms:modified xsi:type="dcterms:W3CDTF">2023-11-14T06:54:12Z</dcterms:modified>
</cp:coreProperties>
</file>