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8317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10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Baes Nicholas</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108"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10006</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11/14/2025</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40"/>
              <w:spacing w:after="0" w:line="312" w:lineRule="exact"/>
              <w:rPr>
                <w:sz w:val="20"/>
                <w:szCs w:val="20"/>
                <w:color w:val="auto"/>
              </w:rPr>
            </w:pPr>
            <w:r>
              <w:rPr>
                <w:rFonts w:ascii="Times New Roman" w:cs="Times New Roman" w:eastAsia="Times New Roman" w:hAnsi="Times New Roman"/>
                <w:sz w:val="33"/>
                <w:szCs w:val="33"/>
                <w:color w:val="0000FF"/>
                <w:w w:val="91"/>
                <w:vertAlign w:val="subscript"/>
              </w:rPr>
              <w:t>198</w:t>
            </w:r>
            <w:r>
              <w:rPr>
                <w:rFonts w:ascii="Times New Roman" w:cs="Times New Roman" w:eastAsia="Times New Roman" w:hAnsi="Times New Roman"/>
                <w:sz w:val="11"/>
                <w:szCs w:val="11"/>
                <w:color w:val="008000"/>
                <w:w w:val="91"/>
              </w:rPr>
              <w:t>(1)</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21.61</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105,945</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008000"/>
              </w:rPr>
              <w:t>(3)(4)(5)</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(3)(4)(5)</w:t>
            </w:r>
          </w:p>
        </w:tc>
        <w:tc>
          <w:tcPr>
            <w:tcW w:w="660" w:type="dxa"/>
            <w:vAlign w:val="bottom"/>
            <w:vMerge w:val="continue"/>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53,020</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3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10</w:t>
            </w: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53,020</w:t>
            </w:r>
          </w:p>
        </w:tc>
        <w:tc>
          <w:tcPr>
            <w:tcW w:w="26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-2202180</wp:posOffset>
            </wp:positionV>
            <wp:extent cx="29210" cy="2207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0726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exercising of Options on November 12, 2025, the issuer withheld Class A Common Stock that would otherwise have been issued to the reporting person to satisfy such person's tax withholding obligations. The number of shares withheld was determined based on the closing price per share of Class A Common Stock on November 12, 2025.</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96,143 shares of Class A Common Stock subject to restricted stock units that remain subject to vesting.</w:t>
      </w:r>
    </w:p>
    <w:p>
      <w:pPr>
        <w:spacing w:after="0" w:line="45" w:lineRule="exact"/>
        <w:rPr>
          <w:rFonts w:ascii="Times New Roman" w:cs="Times New Roman" w:eastAsia="Times New Roman" w:hAnsi="Times New Roman"/>
          <w:sz w:val="13"/>
          <w:szCs w:val="13"/>
          <w:color w:val="008000"/>
        </w:rPr>
      </w:pPr>
    </w:p>
    <w:p>
      <w:pPr>
        <w:ind w:left="40" w:right="280" w:firstLine="3"/>
        <w:spacing w:after="0" w:line="23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the reporting person does not exercise the Committed Options in any quarter, then all remaining Options are forfeited. One-eighth of the Options will become exercisable each quarter (each, a "Quarterly Tranche"). [Continued to footnote 4]</w:t>
      </w:r>
    </w:p>
    <w:p>
      <w:pPr>
        <w:spacing w:after="0" w:line="29" w:lineRule="exact"/>
        <w:rPr>
          <w:rFonts w:ascii="Times New Roman" w:cs="Times New Roman" w:eastAsia="Times New Roman" w:hAnsi="Times New Roman"/>
          <w:sz w:val="13"/>
          <w:szCs w:val="13"/>
          <w:color w:val="008000"/>
        </w:rPr>
      </w:pPr>
    </w:p>
    <w:p>
      <w:pPr>
        <w:ind w:left="40" w:right="240" w:firstLine="3"/>
        <w:spacing w:after="0" w:line="237"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The Committed Options will be exercisable over a two-day period in the applicable quarter (the "Exercise Period"); provided that if the Exercise Period for a Quarterly Tranche occurs during a blackout period, then such Exercise Period shall instead be the next quarterly Exercise Period. If the reporting person exercises the Committed Option portion, the remainder of that Quarterly Tranche (the "Optional Exercise Options") will become exercisable for a period of one year. The Optional Exercise Option portion of any Quarterly Tranche will expire at the end of such one-year period.</w:t>
      </w:r>
    </w:p>
    <w:p>
      <w:pPr>
        <w:ind w:left="40"/>
        <w:spacing w:after="0"/>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to footnote 5]</w:t>
      </w:r>
    </w:p>
    <w:p>
      <w:pPr>
        <w:spacing w:after="0" w:line="31" w:lineRule="exact"/>
        <w:rPr>
          <w:rFonts w:ascii="Times New Roman" w:cs="Times New Roman" w:eastAsia="Times New Roman" w:hAnsi="Times New Roman"/>
          <w:sz w:val="13"/>
          <w:szCs w:val="13"/>
          <w:color w:val="008000"/>
        </w:rPr>
      </w:pPr>
    </w:p>
    <w:p>
      <w:pPr>
        <w:jc w:val="both"/>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4] Notwithstanding the foregoing exercise schedule, following the first quarter after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w:t>
      </w:r>
    </w:p>
    <w:p>
      <w:pPr>
        <w:ind w:left="6580"/>
        <w:spacing w:after="0" w:line="182" w:lineRule="auto"/>
        <w:rPr>
          <w:sz w:val="20"/>
          <w:szCs w:val="20"/>
          <w:color w:val="auto"/>
        </w:rPr>
      </w:pPr>
      <w:r>
        <w:rPr>
          <w:rFonts w:ascii="Times New Roman" w:cs="Times New Roman" w:eastAsia="Times New Roman" w:hAnsi="Times New Roman"/>
          <w:sz w:val="17"/>
          <w:szCs w:val="17"/>
          <w:color w:val="0000FF"/>
        </w:rPr>
        <w:t xml:space="preserve">/s/ Paul Simmons Attorney-in-  </w:t>
      </w:r>
      <w:r>
        <w:rPr>
          <w:rFonts w:ascii="Times New Roman" w:cs="Times New Roman" w:eastAsia="Times New Roman" w:hAnsi="Times New Roman"/>
          <w:sz w:val="32"/>
          <w:szCs w:val="32"/>
          <w:color w:val="0000FF"/>
          <w:vertAlign w:val="subscript"/>
        </w:rPr>
        <w:t>11/18/2025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Nicholas Baes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9817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8171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43681"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2025-11-18T18:25:05Z</dcterms:created>
  <dcterms:modified xsi:type="dcterms:W3CDTF">2025-11-18T18:25:05Z</dcterms:modified>
</cp:coreProperties>
</file>