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768481d424b5.htm"/>
      <w:bookmarkStart w:id="1" w:name="ksd768481d424b5"/>
      <w:bookmarkEnd w:id="0"/>
      <w:bookmarkEnd w:id="1"/>
      <w:r>
        <w:rPr>
          <w:rFonts w:ascii="Times New Roman" w:hAnsi="Times New Roman"/>
          <w:b/>
          <w:sz w:val="20"/>
        </w:rPr>
        <w:t xml:space="preserve">Filed Pursuant to Rule 424(b)(5) </w:t>
        <w:br/>
        <w:t xml:space="preserve">Registration No. 333-271361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14, 2024) </w:t>
      </w:r>
    </w:p>
    <w:p>
      <w:pPr>
        <w:pStyle w:val="TextBody"/>
        <w:bidi w:val="0"/>
        <w:spacing w:before="0" w:after="0"/>
        <w:jc w:val="center"/>
        <w:rPr/>
      </w:pPr>
      <w:r>
        <w:rPr/>
        <w:drawing>
          <wp:inline distT="0" distB="0" distL="0" distR="0">
            <wp:extent cx="287020" cy="1098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7020" cy="1098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30,000,000 Shares of Class A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Pre-Funded Warrants to Purchase up to 16,136,102 Shares of Class A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Class 1 Warrants to Purchase up to 23,068,051 Shares of Class A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Class 2 Warrants to Purchase up to 23,068,051 Shares of Class A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Class A Common Stock Underlying the Pre-Funded Warrants, Class 1 Warrants and Class 2 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30,000,000 shares of our Class A Common Stock, par value $0.0001 per share (Class A Common Stock), Class 1 Warrants to purchase 23,068,051 shares of our Class A Common Stock (the Class 1 Warrants), Class 2 Warrants to purchase 23,068,051 shares of our Class A Common Stock (the Class 2 Warrants and, together with the Class 1 Warrants, the Warrants and each, a Warrant) and, in lieu of Class A Common Stock, Pre-Funded Warrants to purchase 16,136,102 shares of our Class A Common Stock (the Pre-Funded Warrants) pursuant to this prospectus supplement and the accompanying base prospectus. </w:t>
      </w:r>
    </w:p>
    <w:p>
      <w:pPr>
        <w:pStyle w:val="TextBody"/>
        <w:bidi w:val="0"/>
        <w:spacing w:before="0" w:after="0"/>
        <w:jc w:val="left"/>
        <w:rPr>
          <w:rFonts w:ascii="Times New Roman" w:hAnsi="Times New Roman"/>
          <w:sz w:val="20"/>
        </w:rPr>
      </w:pPr>
      <w:r>
        <w:rPr>
          <w:rFonts w:ascii="Times New Roman" w:hAnsi="Times New Roman"/>
          <w:sz w:val="20"/>
        </w:rPr>
        <w:t xml:space="preserve">The purchase price of each share of Class A Common Stock and accompanying Warrant is $0.8670. The purchase price of each Pre-Funded Warrant and accompanying Warrant equals the price at which shares of our Class A Common Stock are being sold in this registered direct offering minus $0.0001, and the exercise price of each Pre-Funded Warrant equals $0.0001 per share. The exercise price of each Warrant equals $1.0200 per share. This prospectus supplement also relates to the offering of the shares of Class A Common Stock issuable upon the exercise of the Warrants and the exercise of the Pre-Funded Warrants. The securities are being sold in this offering to certain purchasers under a securities purchase agreement dated February 29, 2024 (the Purchase Agreement) among us and the purchasers identified on the signature pages thereto. </w:t>
      </w:r>
    </w:p>
    <w:p>
      <w:pPr>
        <w:pStyle w:val="TextBody"/>
        <w:bidi w:val="0"/>
        <w:spacing w:before="240" w:after="0"/>
        <w:jc w:val="left"/>
        <w:rPr>
          <w:rFonts w:ascii="Times New Roman" w:hAnsi="Times New Roman"/>
          <w:sz w:val="20"/>
        </w:rPr>
      </w:pPr>
      <w:r>
        <w:rPr>
          <w:rFonts w:ascii="Times New Roman" w:hAnsi="Times New Roman"/>
          <w:sz w:val="20"/>
        </w:rPr>
        <w:t xml:space="preserve">In a concurrent registered direct offering (the Concurrent Offering), we are selling to our affiliate, Intercontinental Exchange Holdings, Inc. or its related investment vehicle (together, ICE), up to 11,534,025 shares of our Class A Common Stock, Class 1 Warrants to purchase up to 5,767,012 shares of our Class A Common Stock, and Class 2 Warrants to purchase up to 5,767,012 shares of our Class A Common Stock, at the same purchase price as the purchasers in this offering, for an aggregate purchase price of up to approximately $10 million. Of such securities, 2,762,009 shares of our Class A Common Stock, Class 1 Warrants to purchase 1,381,004 shares of our Class A Common Stock and Class 2 Warrants to purchase 1,381,004 shares of our Class A Common Stock will be issued concurrently with the closing of the securities being offered pursuant to this prospectus supplement and the accompanying base prospectus in accordance with the Purchase Agreement, and the remaining securities being issued to ICE will be issued after we obtain the necessary stockholder approvals in accordance with the Listed Company Manual of the New York Stock Exchange (NYSE), subject to customary other closing conditions. ICE is providing a voting support agreement in connection with this offering and the Concurrent Offering, which generally provides that ICE will attend the special meeting (the Special Meeting) to approve the issuance of the shares of Class A Common Stock issuable in respect of the Concurrent Offering and the shares of Class A Common Stock underlying the accompanying warrants that exceed the limitations of the Listed Company Manual of the NYSE and the shares of Class A Common Stock underlying the alternative cashless exercise provision of the Class 2 Warrants described below being issued in this offering and the Concurrent Offering and to vote in support of such proposal at the Special Meeting. The securities being issued in the Concurrent Offering to ICE are being offered pursuant to the registration statement of which this prospectus supplement forms a part, but are not being offered pursuant to this prospectus supplement and the accompanying base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Class A Common Stock is listed on NYSE under the symbol BKKT. On February 28, 2024, the last reported sale price of our Class A Common Stock on NYSE was $1.0200 per share. There is no established public trading market for the Warrants or the Pre-Funded Warrants and we do not expect a market to develop for either security. Without an active trading market, the liquidity of the Warrants and the Pre-Funded Warrants will be limited. In addition, we do not intend to list the Warrants or the Pre-Funded Warrants on NYSE, any other national securities exchange, or any other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We have engaged Keefe, Bruyette &amp; Woods, Inc. (KBW or the Placement Agent) to act as our exclusive placement agent in connection with the securities offered by this prospectus supplement. We have agreed to pay the Placement Agent a fee based upon the aggregate gross proceeds raised in this offering as set forth in the table below. KBW is not acting as a placement agent in connection with the Concurrent Offering and will not receive any fees related to the Concurrent Offering. </w:t>
      </w:r>
    </w:p>
    <w:p>
      <w:pPr>
        <w:pStyle w:val="TextBody"/>
        <w:bidi w:val="0"/>
        <w:spacing w:before="240" w:after="0"/>
        <w:jc w:val="left"/>
        <w:rPr>
          <w:rFonts w:ascii="Times New Roman" w:hAnsi="Times New Roman"/>
          <w:sz w:val="20"/>
        </w:rPr>
      </w:pPr>
      <w:r>
        <w:rPr>
          <w:rFonts w:ascii="Times New Roman" w:hAnsi="Times New Roman"/>
          <w:sz w:val="20"/>
        </w:rPr>
        <w:t xml:space="preserve">We will deliver all securities to be issued in connection with this offering upon receipt of purchaser funds received by us. Accordingly, neither we nor the Placement Agent have made any arrangements to place purchaser funds in an escrow account or trust account since the Placement Agent will not receive purchaser funds in connection with the sale of the securities offered hereunder. </w:t>
      </w:r>
    </w:p>
    <w:p>
      <w:pPr>
        <w:pStyle w:val="TextBody"/>
        <w:bidi w:val="0"/>
        <w:spacing w:before="240" w:after="0"/>
        <w:jc w:val="left"/>
        <w:rPr/>
      </w:pPr>
      <w:r>
        <w:rPr>
          <w:rFonts w:ascii="Times New Roman" w:hAnsi="Times New Roman"/>
          <w:i/>
          <w:sz w:val="20"/>
        </w:rPr>
        <w:t>Investing in these securities involves risks. Please carefully read the information under the headings </w:t>
      </w:r>
      <w:hyperlink w:anchor="supp768481_5">
        <w:r>
          <w:rPr>
            <w:rStyle w:val="InternetLink"/>
            <w:rFonts w:ascii="Times New Roman" w:hAnsi="Times New Roman"/>
            <w:i/>
            <w:sz w:val="20"/>
          </w:rPr>
          <w:t>Risk Factors</w:t>
        </w:r>
      </w:hyperlink>
      <w:r>
        <w:rPr>
          <w:rFonts w:ascii="Times New Roman" w:hAnsi="Times New Roman"/>
          <w:i/>
          <w:sz w:val="20"/>
        </w:rPr>
        <w:t xml:space="preserve"> beginning on page S-7 of this prospectus supplement, page 7 of the accompanying base prospectus and in the documents incorporated by reference in this prospectus supplement for a discussion of the factors you should carefully consider before deciding to purchase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pay the Placement Agent a fee based on the aggregate proceeds as set forth in the table below, which does not take into account the sale of our securities in the Concurrent Offering, nor the exercise of any Warrants issued pursuant to this offering or the Concurrent Offering.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56"/>
        <w:gridCol w:w="360"/>
        <w:gridCol w:w="267"/>
        <w:gridCol w:w="1368"/>
        <w:gridCol w:w="60"/>
        <w:gridCol w:w="360"/>
        <w:gridCol w:w="285"/>
        <w:gridCol w:w="1488"/>
        <w:gridCol w:w="60"/>
        <w:gridCol w:w="360"/>
        <w:gridCol w:w="140"/>
        <w:gridCol w:w="1502"/>
        <w:gridCol w:w="66"/>
      </w:tblGrid>
      <w:tr>
        <w:trPr/>
        <w:tc>
          <w:tcPr>
            <w:tcW w:w="2256"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256"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 and</w:t>
            </w:r>
            <w:r>
              <w:rPr/>
              <w:br/>
            </w:r>
            <w:r>
              <w:rPr>
                <w:b/>
              </w:rPr>
              <w:t>Accompanying</w:t>
            </w:r>
            <w:r>
              <w:rPr/>
              <w:br/>
            </w:r>
            <w:r>
              <w:rPr>
                <w:b/>
              </w:rPr>
              <w:t>Warrants</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773" w:type="dxa"/>
            <w:gridSpan w:val="2"/>
            <w:tcBorders>
              <w:bottom w:val="single" w:sz="8" w:space="0" w:color="000000"/>
            </w:tcBorders>
            <w:tcMar>
              <w:bottom w:w="28" w:type="dxa"/>
            </w:tcMar>
            <w:vAlign w:val="bottom"/>
          </w:tcPr>
          <w:p>
            <w:pPr>
              <w:pStyle w:val="TableContents"/>
              <w:bidi w:val="0"/>
              <w:spacing w:before="0" w:after="283"/>
              <w:jc w:val="center"/>
              <w:rPr/>
            </w:pPr>
            <w:r>
              <w:rPr>
                <w:b/>
              </w:rPr>
              <w:t>Per Pre-Funded</w:t>
            </w:r>
            <w:r>
              <w:rPr/>
              <w:br/>
            </w:r>
            <w:r>
              <w:rPr>
                <w:b/>
              </w:rPr>
              <w:t>Warrant and</w:t>
            </w:r>
            <w:r>
              <w:rPr/>
              <w:br/>
            </w:r>
            <w:r>
              <w:rPr>
                <w:b/>
              </w:rPr>
              <w:t>Accompanying</w:t>
            </w:r>
            <w:r>
              <w:rPr/>
              <w:br/>
            </w:r>
            <w:r>
              <w:rPr>
                <w:b/>
              </w:rPr>
              <w:t>Warrants</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2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3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0.8670</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0.8669</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02" w:type="dxa"/>
            <w:tcBorders/>
            <w:shd w:fill="CCEEFF" w:val="clear"/>
            <w:vAlign w:val="bottom"/>
          </w:tcPr>
          <w:p>
            <w:pPr>
              <w:pStyle w:val="TableContents"/>
              <w:bidi w:val="0"/>
              <w:spacing w:before="0" w:after="283"/>
              <w:jc w:val="right"/>
              <w:rPr/>
            </w:pPr>
            <w:r>
              <w:rPr/>
              <w:t>39,998,386.82</w:t>
            </w:r>
          </w:p>
        </w:tc>
        <w:tc>
          <w:tcPr>
            <w:tcW w:w="66" w:type="dxa"/>
            <w:tcBorders/>
            <w:shd w:fill="CCEEFF" w:val="clear"/>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0"/>
              </w:rPr>
            </w:pPr>
            <w:r>
              <w:rPr>
                <w:rFonts w:ascii="Times New Roman" w:hAnsi="Times New Roman"/>
                <w:sz w:val="20"/>
              </w:rPr>
              <w:t>Placement Agents fees(1)</w:t>
            </w:r>
          </w:p>
        </w:tc>
        <w:tc>
          <w:tcPr>
            <w:tcW w:w="3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368" w:type="dxa"/>
            <w:tcBorders/>
            <w:vAlign w:val="bottom"/>
          </w:tcPr>
          <w:p>
            <w:pPr>
              <w:pStyle w:val="TableContents"/>
              <w:bidi w:val="0"/>
              <w:spacing w:before="0" w:after="283"/>
              <w:jc w:val="right"/>
              <w:rPr/>
            </w:pPr>
            <w:r>
              <w:rPr/>
              <w:t>0.0520</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488" w:type="dxa"/>
            <w:tcBorders/>
            <w:vAlign w:val="bottom"/>
          </w:tcPr>
          <w:p>
            <w:pPr>
              <w:pStyle w:val="TableContents"/>
              <w:bidi w:val="0"/>
              <w:spacing w:before="0" w:after="283"/>
              <w:jc w:val="right"/>
              <w:rPr/>
            </w:pPr>
            <w:r>
              <w:rPr/>
              <w:t>0.0520</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02" w:type="dxa"/>
            <w:tcBorders/>
            <w:vAlign w:val="bottom"/>
          </w:tcPr>
          <w:p>
            <w:pPr>
              <w:pStyle w:val="TableContents"/>
              <w:bidi w:val="0"/>
              <w:spacing w:before="0" w:after="283"/>
              <w:jc w:val="right"/>
              <w:rPr/>
            </w:pPr>
            <w:r>
              <w:rPr/>
              <w:t>2,399,077.30</w:t>
            </w:r>
          </w:p>
        </w:tc>
        <w:tc>
          <w:tcPr>
            <w:tcW w:w="66" w:type="dxa"/>
            <w:tcBorders/>
            <w:vAlign w:val="bottom"/>
          </w:tcPr>
          <w:p>
            <w:pPr>
              <w:pStyle w:val="TableContents"/>
              <w:bidi w:val="0"/>
              <w:spacing w:before="0" w:after="283"/>
              <w:jc w:val="left"/>
              <w:rPr/>
            </w:pPr>
            <w:r>
              <w:rPr/>
              <w:t> </w:t>
            </w:r>
          </w:p>
        </w:tc>
      </w:tr>
      <w:tr>
        <w:trPr/>
        <w:tc>
          <w:tcPr>
            <w:tcW w:w="2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0.8150</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0.8149</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02" w:type="dxa"/>
            <w:tcBorders/>
            <w:shd w:fill="CCEEFF" w:val="clear"/>
            <w:vAlign w:val="bottom"/>
          </w:tcPr>
          <w:p>
            <w:pPr>
              <w:pStyle w:val="TableContents"/>
              <w:bidi w:val="0"/>
              <w:spacing w:before="0" w:after="283"/>
              <w:jc w:val="right"/>
              <w:rPr/>
            </w:pPr>
            <w:r>
              <w:rPr/>
              <w:t>37,599,309.52</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agreed to pay the placement agent a placement agent fee in an amount equal to six percent (6%) of the gross proceeds received by the Company in this offering, excluding any amounts that may be paid upon the exercise of Warrants issued under the Purchase Agreement by the Company. KBW is not acting as a placement agent in connection with the Concurrent Offering and will not receive any fees related to the Concurrent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anticipate that delivery of the Class A Common Stock, the Pre-Funded Warrants, and the Warrants against payment will be made on or about March 4, 2024. </w:t>
      </w:r>
    </w:p>
    <w:p>
      <w:pPr>
        <w:pStyle w:val="TextBody"/>
        <w:bidi w:val="0"/>
        <w:spacing w:before="320" w:after="0"/>
        <w:jc w:val="center"/>
        <w:rPr>
          <w:rFonts w:ascii="Times New Roman" w:hAnsi="Times New Roman"/>
          <w:b/>
          <w:i/>
          <w:sz w:val="24"/>
        </w:rPr>
      </w:pPr>
      <w:r>
        <w:rPr>
          <w:rFonts w:ascii="Times New Roman" w:hAnsi="Times New Roman"/>
          <w:b/>
          <w:i/>
          <w:sz w:val="24"/>
        </w:rPr>
        <w:t xml:space="preserve">Placement Agent </w:t>
      </w:r>
    </w:p>
    <w:p>
      <w:pPr>
        <w:pStyle w:val="TextBody"/>
        <w:bidi w:val="0"/>
        <w:spacing w:before="240" w:after="0"/>
        <w:jc w:val="center"/>
        <w:rPr>
          <w:rFonts w:ascii="Times New Roman" w:hAnsi="Times New Roman"/>
          <w:b/>
          <w:sz w:val="32"/>
        </w:rPr>
      </w:pPr>
      <w:r>
        <w:rPr>
          <w:rFonts w:ascii="Times New Roman" w:hAnsi="Times New Roman"/>
          <w:b/>
          <w:sz w:val="32"/>
        </w:rPr>
        <w:t xml:space="preserve">Keefe, Bruyette &amp; Woods </w:t>
      </w:r>
    </w:p>
    <w:p>
      <w:pPr>
        <w:pStyle w:val="TextBody"/>
        <w:bidi w:val="0"/>
        <w:spacing w:before="0" w:after="0"/>
        <w:jc w:val="center"/>
        <w:rPr/>
      </w:pPr>
      <w:r>
        <w:rPr/>
        <w:t>           </w:t>
      </w:r>
      <w:r>
        <w:rPr>
          <w:rFonts w:ascii="Times New Roman" w:hAnsi="Times New Roman"/>
          <w:b/>
          <w:i/>
          <w:sz w:val="20"/>
        </w:rPr>
        <w:t xml:space="preserve">A Stifel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February 29, 2024. </w:t>
      </w:r>
      <w:r>
        <w:br w:type="page"/>
      </w:r>
    </w:p>
    <w:p>
      <w:pPr>
        <w:pStyle w:val="HorizontalLine"/>
        <w:pBdr>
          <w:bottom w:val="double" w:sz="6" w:space="0" w:color="808080"/>
        </w:pBdr>
        <w:bidi w:val="0"/>
        <w:jc w:val="left"/>
        <w:rPr/>
      </w:pPr>
      <w:r>
        <w:rPr/>
      </w:r>
    </w:p>
    <w:p>
      <w:pPr>
        <w:pStyle w:val="TextBody"/>
        <w:bidi w:val="0"/>
        <w:spacing w:before="0" w:after="0"/>
        <w:jc w:val="center"/>
        <w:rPr/>
      </w:pPr>
      <w:hyperlink w:anchor="toc">
        <w:r>
          <w:rPr>
            <w:rStyle w:val="InternetLink"/>
            <w:rFonts w:ascii="Times New Roman" w:hAnsi="Times New Roman"/>
            <w:b/>
            <w:sz w:val="20"/>
          </w:rPr>
          <w:t xml:space="preserve">TABLE OF CONTENTS </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4">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7">
              <w:r>
                <w:rPr>
                  <w:rStyle w:val="InternetLink"/>
                  <w:rFonts w:ascii="Times New Roman" w:hAnsi="Times New Roman"/>
                  <w:sz w:val="20"/>
                </w:rPr>
                <w:t>DESCRIPTION OF THE SECURITIES WE ARE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768481_12">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4">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68481_14">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upp768481_1"/>
      <w:bookmarkEnd w:id="2"/>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relate to the offering of our Class A Common Stock, Pre-Funded Warrants, and Warrants. Before buying any of the securities that we are offering, you should carefully read this prospectus supplement, the accompanying base prospectus, the information and documents incorporated herein by reference, and the additional information under the heading Where You Can Find More Information and Incorporation by Reference.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Class A Common Stock, Pre-Funded Warrants, and Warrants and also adds, updates and changes information contained in the accompanying base prospectus and the documents incorporated herein by reference. The second part is the accompanying base prospectus, which provides more general information about our Class A Common Stock, Pre-Funded Warrants, Warrants, and other securities that do not pertain to this offering. This prospectus supplement and the accompanying based prospectus, together, are sometimes referred to in this prospectus supplement as this prospectus.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Placement Agent have authorized anyone to provide information different from that contained in this prospectus supplement and the accompanying base prospectus. When you make a decision about whether to invest in our securities, you should not rely upon any information other than the information in this prospectus supplement or the accompanying base prospectus. Neither the delivery of this prospectus supplement or the accompanying base prospectus, nor the sale of our Class A Common Stock, Pre-Funded Warrants, and Warrants, means that information contained in this prospectus supplement and the accompanying base prospectus is correct after their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our Class A Common Stock, Pre-Funded Warrants, and Warrants only in jurisdictions where offers and sales are permitted.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supp768481_2"/>
      <w:bookmarkEnd w:id="3"/>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supplement and the accompanying base prospectus. It does not contain all of the information that may be important to you and your investment decision. Before investing in our securities, you should carefully read this entire prospectus supplement and the accompanying base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supplement to Bakkt Holdings, Inc., Bakkt, the Company, we, our and us refer, collectively, to Bakkt Holdings, Inc., a Delaware corporation, and its consolidated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rPr>
              <w:t>Custody</w:t>
            </w:r>
            <w:r>
              <w:rPr>
                <w:rFonts w:ascii="Times New Roman" w:hAnsi="Times New Roman"/>
                <w:sz w:val="20"/>
              </w:rPr>
              <w:t xml:space="preserve">. Our institutional-grade qualified custody solution caters to more experienced market participants, offering a highly secure and compliance-focused infrastructure. It also supports our consumer crypto infrastructure.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Crypto Trading</w:t>
            </w:r>
            <w:r>
              <w:rPr>
                <w:rFonts w:ascii="Times New Roman" w:hAnsi="Times New Roman"/>
                <w:sz w:val="20"/>
              </w:rPr>
              <w:t xml:space="preserve">. Our platform provides consumers, businesses and institutions with the ability to buy, sell and store crypto in a simple, intuitive digital experience accessed via APIs or embedded web experience.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Crypto Rewards</w:t>
            </w:r>
            <w:r>
              <w:rPr>
                <w:rFonts w:ascii="Times New Roman" w:hAnsi="Times New Roman"/>
                <w:sz w:val="20"/>
              </w:rPr>
              <w:t xml:space="preserve">. We are in the process of enabling clients of all sizes to offer loyalty and rewards to their customers in the form of crypto  either by earning crypto rewards, or by redeeming existing reward currencies, such as points or miles, into crypto.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information regarding our business and the risks related thereto, including with respect to our ability to continue as a going concern, are described in under Prospectus Summary of the accompanying base prospectus and the documents we incorporate by reference into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on, or that can be accessed through, our website is not a part of, and is not incorporated into, this prospectus supplement, and the inclusion of our website address in this prospectus supplement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supp768481_3"/>
      <w:bookmarkEnd w:id="4"/>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A Common Stock Offered by Us: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30,000,000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1 Warrants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Purchasers of our Class A Common Stock and Pre-Funded Warrants in this offering will also receive Class 1 Warrants to purchase 50% of the number of shares of our Class A Common Stock and Pre-Funded Warrants purchased by such purchaser in this offering, rounded down to the nearest whole share, or Class 1 Warrants to purchase 23,086,051 shares of Class A Common Stock. We will receive gross proceeds from the Class 1 Warrants solely to the extent such Class 1 Warrants are exercised for cash. The Class 1 Warrants will be exercisable on the six (6) month anniversary of the date of issuance for a period of five and half (5.5) years at an exercise price of $1.0200 per share of Class A Common Stock. This prospectus supplement also relates to the Class A Common Stock issuable upon exercise of the Class 1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2 Warrants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Purchasers of our Class A Common Stock and Pre-Funded Warrants in this offering will also receive Class 2 Warrants to purchase 50% of the number of shares of our Class A Common Stock and Pre-Funded Warrants purchased by such purchaser in this offering, rounded down to the nearest whole share, or Class 2 Warrants to purchase 23,086,051 shares of Class A Common Stock. We will receive gross proceeds from the Class 2 Warrants solely to the extent such Class 2 Warrants are exercised for cash. The Class 2 Warrants will be exercisable on the six (6) month anniversary of the date of issuance for a period of five and half (5.5) years at an exercise price of $1.0200 per share of Class A Common Stock other than exercises for the alternative cashless exercise (as described in the Class 2 Warrants), which will become available only after the Company obtains the necessary stockholder approvals. This prospectus supplement also relates to the Class A Common Stock issuable upon exercise of the Class 2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Pre-Funded Warrants Offered by Us: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are also offering, in lieu of Class A Common Stock, Pre-Funded Warrants to purchase 16,136,102 shares of Class A Common Stock. The purchase price of each Pre-Funded Warrant will equal $0.8669 per share of Class A Common Stock, which is the price per share of our Class A Common Stock sold in this offering, minus $0.0001, and the exercise price of each Pre-Funded Warrant is $0.0001 per share. Each Pre-Funded Warrant will be exercisable at any time after the date of issuance, subject to an ownership limitation, and do not expire until exercised in full. This prospectus supplement also relates to the shares of our Class A Common Stock issuable upon exercise of the Pre-Funded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A Common Stock to be Outstanding Immediately After This Offering</w:t>
            </w:r>
            <w:r>
              <w:rPr>
                <w:rFonts w:ascii="Times New Roman" w:hAnsi="Times New Roman"/>
                <w:sz w:val="20"/>
              </w:rPr>
              <w:t>(1)</w:t>
            </w:r>
            <w:r>
              <w:rPr>
                <w:rFonts w:ascii="Times New Roman" w:hAnsi="Times New Roman"/>
                <w:b/>
                <w:sz w:val="20"/>
              </w:rPr>
              <w:t>:</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153,987,617 shares of Class A Common Stock (assuming the exercise in full of the Pre-Funded Warrants and issuance of 11,534,025 shares of Class A Common Stock in the Concurrent Offering, but not exercise of the Warrants offered hereby or in the Concurrent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Concurrent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In the Concurrent Offering, we are selling to our affiliate, ICE, up to 11,534,025 shares of our Class A Common Stock, Class 1 Warrants to purchase up to 5,767,012 shares of our Class A Common Stock, and Class 2 Warrants to purchase up to 5,767,012 shares of our Class A Common Stock, at the same purchase price as the purchasers in this offering, for an aggregate purchase price of approximately up to approximately $10 million. Of such securities, 2,762,009 shares of our Class A Common Stock, Class 1 Warrants to purchase 1,381,004 shares of our Class A Common Stock and Class 2 Warrants to purchase 1,381,004 shares of our Class A Common Stock will be issued concurrently with the closing of the securities being offered pursuant to this prospectus supplement and the accompanying base prospectus in accordance with the Purchase Agreement, and the remaining securities being issued to ICE will be issued after we obtain the necessary stockholder approvals in accordance Listed Company Manual of the NYSE, subject to the satisfaction of other customary closing conditions. ICE is providing a voting support agreement in connection with this offering and the Concurrent Offering, which generally provides that ICE will attend the Special Meeting to approve the issuance of the shares of Class A Common Stock and the shares of Class A Common Stock underlying the related Class 1 Warrants and Class 2 Warrants issuable in respect of the Concurrent Offering that exceed the limitations of the Listed Company Manual of the NYSE and the shares of Class A Common Stock issuable in respect of the alternative cashless exercise provision of the Class 2 Warrants described below and to vote in support of such proposal at the Special Meeting. The securities being issued in the Concurrent Offering to ICE are being offered pursuant to the registration statement of which this prospectus supplement forms a part, but are not being offered pursuant to this prospectus supplement and the accompanying base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We estimate that the net proceeds from this offering will be approximately $36.7 million, after deducting the Placement Agents fees and estimated offering expenses payable by us and without giving effect to any cash proceeds we may receive upon cash exercise of the Warrants. We currently expect to use the net proceeds that we receive from this offering for working capital and other general corporate purposes. See </w:t>
            </w:r>
            <w:r>
              <w:rPr>
                <w:i/>
              </w:rPr>
              <w:t>Use of Proceeds</w:t>
            </w:r>
            <w:r>
              <w:rPr/>
              <w:t xml:space="preserve">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Ticker symbol of our Class</w:t>
            </w:r>
            <w:r>
              <w:rPr>
                <w:rFonts w:ascii="Times New Roman" w:hAnsi="Times New Roman"/>
                <w:sz w:val="20"/>
              </w:rPr>
              <w:t> </w:t>
            </w:r>
            <w:r>
              <w:rPr>
                <w:rFonts w:ascii="Times New Roman" w:hAnsi="Times New Roman"/>
                <w:b/>
                <w:sz w:val="20"/>
              </w:rPr>
              <w:t>A Common Stock on the NYSE: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BKKT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See Risk Factors beginning on page S-7 of this prospectus supplement and the other information included in, or incorporated by reference into, this prospectus supplement and the accompanying base prospectus, for a discussion of certain factors you should carefully consider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Class A Common Stock to be outstanding after the offering is based on 96,317,490 shares of Class A Common Stock outstanding as of February 27, 2024, and excludes, as of that date, the following: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179,883,479 shares of Class A Common Stock issuable upon exchange of paired interests, each of which is comprised of one share of Class A Common Stock and one Bakkt Opco Holdings, LLC (f/k/a/ Bakkt Holdings, LLC) (Opco) unit, and warrants exercisable to purchase 793,352 paired interests at an exercise price of $1.11 per paired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7,140,808 shares of Class A Common Stock issuable upon the exercise of outstanding publicly traded warrants to purchase shares of Class A Common Stock at an exercise price of $11.50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10,105,125 shares of Class A Common Stock underlying outstanding restricted stock units and performance share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32,665,846 shares of Class A Common Stock that remain available for issuance under the under the 2021 Omnibus Incentive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46,402,403 shares of Class A Common Stock that may be issued as contingent consideration under that certain Membership Interest Purchase Agreement, dated November 2, 2022, by and among the Bakkt Parties and the Seller Parties (each, as defined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768481_4"/>
      <w:bookmarkEnd w:id="5"/>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base prospectus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supplement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including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for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impacts from the Bakkt Crypto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plans and opportunities, including our plans to expand to international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markets in which we compete, including with respect to our competitive landscape, technology evolution or 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the crypto market that subject us to additional risks, including the risk that banks may not provide banking services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and/or competitive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launch new services and products or to profitably expand into new markets and services, or the inability to continue offering existing services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execute our growth strategies, including identifying and executing acquisitions and our initiatives to add new clients;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the expected benefits from the Bakkt Crypto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extensive government regulation, oversight, licensure and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 regulatory regime governing blockchain technologies and crypto;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develop and maintain effective internal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pandemics or other public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maintain the listing of our securities on the NYSE;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indicated in this prospectus supplement, including those set forth under Risk Factors and any risk factors described in any amendments or supplements to this prospectus and in the documents incorporated by reference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768481_5"/>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Before making an investment decision, in addition to carefully considering the other information contained in this prospectus supplement, the accompanying base prospectus and the documents incorporated by reference herein and therein, you should carefully consider the risks, uncertainties, and assumptions described under the caption Risk Factors contained this prospectus supplement and in the accompanying base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Securities and Exchange Commission (SEC) in the future. The risks described in these documents are not the only ones we face.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might not be able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Our unaudited condensed consolidated financial statements as of September 30, 2023 were prepared under the assumption that we would continue as a going concern for the next twelve months from November 14, 2023, which was the date we initially filed our Quarterly Report on Form 10-Q for the period ended September 30, 2023 (the Original Q3 Form 10-Q), which contemplated the realization of assets and the satisfaction of liabilities in the normal course of business and did not include any adjustments relating to recoverability and the classification of recorded asset amounts or the amounts and classification of liabilities that might result from the outcome of certain uncertainties.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filing of the Original Q3 Form 10-Q and in connection with the filing of our subsequent amendments to the Original Q3 Form 10-Q (the most recent amendment, the Amended Q3 Form 10-Q), we determined that we did not believe that our cash and restricted cash was sufficient to fund our operations for the 12 months following the date of the Amended Q3 Form 10-Q. Specifically, as of January 31, 2024, the Company had approximately $50.0 million of cash and cash equivalents that was not restricted and approximately $8.2 million in available-for-sale securities. We intend to use our unrestricted cash and proceeds from maturity of available-for-sale debt securities to (i) fund our day-to-day operations, including regulatory capital, compensating balance arrangements and other similar commitments which may be subject to change, (ii) activate new crypto clients, (iii) maintain our product development efforts, and (iv) optimize our technology infrastructure. Our cash and proceeds from the maturity of available-for-sale debt securities as of the date of the filing of the Amended Q3 Form 10-Q were estimated to fund our operations into the second or third quarter of 2024, depending on the results from our ongoing negotiations of requests for increased cash collateral or revised credit terms with certain of our providers.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associated with our expansion to new markets and the growth of our revenue base given the rapidly evolving environment associated with crypto assets. Accordingly, we could not conclude it was probable we would be able to increase revenues substantially beyond levels that we have attained in the past in order to generate sustainable operating profit and sufficient cash flows to continue doing business without raising additional capital in the near future. As a result of our expected operating losses and cash burn for the foreseeable future and recurring losses from operations, if we are unable to raise sufficient capital through additional debt or equity arrangements, there will be uncertainty regarding our ability to maintain liquidity sufficient to operate our business effectively, which has raised substantial doubt as to our ability to continue as a going concern. If we cannot continue as a viable entity, our stockholders would likely lose most or all of their investment in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result, we have experienced and may continue to experience additional impacts to our business as a result of our partners and customers concern regarding our ability to continue as a going concern. For example, subsequent to the filing of the Original Q3 Form 10-Q through the filing of the Amended Q3 Form 10-Q, (i) one of our partners closed out of all customer positions, (ii) we received inquiries from partners and prospective partners about the financial position of the Company, (iii) certain of our surety bond providers requested additional collateral, (iv) our purchasing card provider requested an additional collateral pledge of between $8 million and 13 million, depending on the amount of the purchasing limit thereunder, and (v) certain of our liquidity providers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As we are currently unable to generate sustainable operating profit and sufficient cash flows, we have determined that our future success will depend on our ability to raise sufficient additional capital. We are seeking additional financing and evaluating financing alternatives in order to meet our cash requirements for the next 12 months.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raising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Class A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if we are able to mitigate or alleviate our going concern status, we may be unable to recover with investors, partners and customers due to the adverse reputational effects.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over the use of the net proceeds from this offering, you may not agree with how we use the proceeds, and the proceeds may not be invested successfully.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use the net proceeds from this offering for working capital and other general corporate purposes. Our management will have broad discretion in the application of the net proceeds from this offering and could spend the proceeds in ways that do not improve our results of operations or enhance the value of our securities. The failure by management to apply these funds effectively could result in financial losses that could have a material adverse effect on our business and cause the price of our Class A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and issuances of our Class A Common Stock or other equity securities may reduce the market price of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additional shares of our Class A Common Stock or other equity securities in the future in connection with, among other things, future acquisitions, repayment of outstanding indebtedness or grants under the 2021 Omnibus Incentive Plan without stockholder approval in a number of circumstances. The issuance of additional Class A Common Stock or other equity securities could have, among other things, one or more of the following effects: our existing stockholders proportionate ownership interest will decrease; the amount of cash available per share, including for payment of dividends in the future, may decrease; the relative voting strength of each previously outstanding share of our Class A Common Stock may be diminished; and the market price of our Class A Common Stock and/or Warrants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additional capital, and any additional capital we seek may not be available in the amount or at the time we need it, or on terms that would be acceptable to us. </w:t>
      </w:r>
    </w:p>
    <w:p>
      <w:pPr>
        <w:pStyle w:val="TextBody"/>
        <w:bidi w:val="0"/>
        <w:spacing w:before="120" w:after="0"/>
        <w:jc w:val="left"/>
        <w:rPr>
          <w:rFonts w:ascii="Times New Roman" w:hAnsi="Times New Roman"/>
          <w:sz w:val="20"/>
        </w:rPr>
      </w:pPr>
      <w:r>
        <w:rPr>
          <w:rFonts w:ascii="Times New Roman" w:hAnsi="Times New Roman"/>
          <w:sz w:val="20"/>
        </w:rPr>
        <w:t xml:space="preserve">We may need to raise funds in the future to execute our business plan. We may seek to raise additional capital to fund or expand our business, pursue strategic investments, and take advantage of financing or other opportunities that we believe to be in our best interests and the interests of our stockholders. Additional capital may be raised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Class A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securities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securities has in the past been and could in the future be impacted by market volatility. During the 12 months ended February 27, 2024, the market price of our Class A Common Stock has ranged from a high of $2.75 per share to a low of $0.641 per share. This market volatility could reduce the market price of our securities without regard to our operating performance. In addition, the trading price of our Class A Common Stock could change significantly in response to actual or anticipated variations in our quarterly operating results, announcements by us or our competitors, factors affecting the crypto industry generally, changes in national or regional economic conditions, changes in securities analysts estimates for us or our competitors or industrys future performance or general market conditions, making it more difficult for our securities to be sold at a favorable price or at all. The market price of our Class A Common Stock could also be reduced by general market price declines or market volatility in the future or future declines or volatility in the prices of stocks for companies in our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or the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or the Warrants being offered in this offering, and we do not expect a market to develop. In addition, we do not intend to apply to list the Pre-Funded Warrants or the Warrants on any securities exchange or nationally recognized trading system, including the NYSE. Without an active market, the liquidity of the Pre-Funded Warrants and the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Pre-Funded Warrants and Warrants purchased in this offering will have no rights as stockholders of the Company until such holders exercise their Pre-Funded Warrants and/or Warrants and acquire Class A Common Stock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Until the holders of Pre-Funded Warrants and Warrants acquire shares of our Class A Common Stock upon exercise of the Pre-Funded Warrants or Warrants, as applicable, holders of these warrants will have no rights with respect to the shares of our Class A Common Stock underlying such Pre-Funded Warrants and Warrants, as applicable. This includes any voting rights, dividends, or other rights as a stockholder of the Company. Upon exercise of the Pre-Funded Warrants and the Warrants, the holders will be entitled to exercise the rights of a holder of Class A Common Stock only as to the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our Class A Common Stock may not be permitted to exercise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Pre-Funded Warrant will not be entitled to exercise any portion of any Pre-Funded Warrant that, upon giving effect to such exercise, would cause the aggregate number of shares of Class A Common Stock beneficially owned by the holder (together with its affiliates and any other persons acting as a group together with the holder or any of the holders affiliates) to exceed 4.99% (or, at the election of the holder prior to the issuance of the Pre-Funded Warrant, 9.99%) of the number of shares of Class A Common Stock outstanding immediately after giving effect to the issuance of shares of Class A Common Stock issuable upon exercise of the Pre-Funded Warrant. However, any holder may increase or decrease such percentage to any other percentage not in excess of 9.99% provided that any increase shall not be effective until 61 days following notice from the holder to us. As a result, you may not be able to exercise your Pre-Funded Warrants for shares of our Class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Further, the Class 2 Warrant contains an alternative cashless exercise provision, which will not be exercisable unless we obtain Stockholder Approval (as defined in the Class 2 Warrant). While we expect to seek Stockholder Approval at the Special Meeting, we may not obtain Stockholder Approval and, as such, such exercise right will not be available prior to the expiration of the Class 2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Pre-Funded Warrants and Warrants are speculative in nature.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and Warrants do not confer any rights of Class A Common Stock ownership on their holders, such as voting rights or the right to receive dividends, but rather merely represent the right to acquire shares of Class A Common Stock at a fixed price for a limited period of time. Specifically, commencing on the six (6) month anniversary of the date of issuance, holders of the Warrants may severally exercise their right to acquire Class A Common Stock and pay an exercise price of $1.0200 per share, subject to certain adjustments. The Warrants will expire in five and a half (5.5) years from the original issuance date, after which each time any unexercised Warrants will expire and have no further value. Moreover, following this offering, the market value of the Pre-Funded Warrants and Warrants, if any, is uncertain and there can be no assurance that the market value of the Pre-Funded Warrants and Warrants will equal or exceed their imputed offering price. The Pre-Funded Warrants and Warrants will not be listed or quoted for trading on any market or exchange. There can be no assurance that the market price of the Class A Common Stock will ever equal or exceed the exercise price of the Warrants and consequently, whether it will ever be profitable for holders of the Warrants to exercise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receive any additional funds upon the exercise of the Pre-Funded Warrants or Warrants. </w:t>
      </w:r>
    </w:p>
    <w:p>
      <w:pPr>
        <w:pStyle w:val="TextBody"/>
        <w:bidi w:val="0"/>
        <w:spacing w:before="120" w:after="0"/>
        <w:jc w:val="left"/>
        <w:rPr>
          <w:rFonts w:ascii="Times New Roman" w:hAnsi="Times New Roman"/>
          <w:sz w:val="20"/>
        </w:rPr>
      </w:pPr>
      <w:r>
        <w:rPr>
          <w:rFonts w:ascii="Times New Roman" w:hAnsi="Times New Roman"/>
          <w:sz w:val="20"/>
        </w:rPr>
        <w:t>Each Pre-Funded Warrant and Warrant may be exercised by way of a cashless exercise, meaning that the holder may not pay a cash purchase price upon exercise, but instead would receive upon such exercise the net number of shares of the Class A Common Stock as determined according to the formulas set forth in the Pre-Funded Warrant or Warrant. In addition, upon the occurrence of certain events, the Class 2 Warrants may be exercised by way of an alternative cashless exercise, allowing the holder to receive the product of (x) the aggregate number of shares subject to the alternative cashless exercise (up to the full number of shares that would be issuable upon exercise of the Class 2 Warrant in accordance with the terms of the Class 2 Warrant if such exercise were by means of a cash exercise rather than a cashless exercise) and (y) 0.5 See </w:t>
      </w:r>
      <w:r>
        <w:rPr>
          <w:rFonts w:ascii="Times New Roman" w:hAnsi="Times New Roman"/>
          <w:i/>
          <w:sz w:val="20"/>
        </w:rPr>
        <w:t>Description of the Securities We Are Offering-Class 2 Warrants</w:t>
      </w:r>
      <w:r>
        <w:rPr>
          <w:rFonts w:ascii="Times New Roman" w:hAnsi="Times New Roman"/>
          <w:sz w:val="20"/>
        </w:rPr>
        <w:t xml:space="preserve">. Accordingly, we may not receive any additional funds upon the exercise of the Pre-Funded Warrants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768481_6"/>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will be approximately $36.7 million, after deducting the placement agents fees and estimated offering expenses payable by us, which does not include the approximately $47.1 million we may receive upon the cash exercise of the Warrants and the up to approximately $10 million of gross proceeds we may receive in the Concurrent Offering.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expect to use the net proceeds that we receive from this offering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use of the net proceeds may vary significantly and will depend on a number of factors, including our ability to generate profitable revenue and the achievement of our corporate goals. Pending use of the net proceeds as described above, we intend to temporarily invest the proceeds in short-term, interest-bearing instruments.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we cannot specify with certainty the particular uses of the proceeds from this offering. Accordingly, we will retain broad discretion over the use of such proceeds, and purchasers will be relying on the judgment of our management regarding the application of the proceeds from this and the Concurrent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768481_7"/>
      <w:bookmarkEnd w:id="8"/>
      <w:r>
        <w:rPr>
          <w:rFonts w:ascii="Times New Roman" w:hAnsi="Times New Roman"/>
          <w:b/>
          <w:sz w:val="20"/>
        </w:rPr>
        <w:t xml:space="preserve">DESCRIPTION OF THE SECURITIES WE ARE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Offering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shares of our Class A Common Stock, Pre-Funded Warrants, Class 1 Warrants and Class 2 Warrants. The shares of our Class A Common Stock and/or Pre-Funded Warrants and accompanying Class 1 Warrants and Class 2 Warrants will be issued separately. We also are registering the shares of Class A Common Stock issuable from time to time upon exercise of the Pre-Funded Warrants and the Class 1 Warrants and Class 2 Warrants offered hereby. </w:t>
      </w:r>
    </w:p>
    <w:p>
      <w:pPr>
        <w:pStyle w:val="TextBody"/>
        <w:bidi w:val="0"/>
        <w:spacing w:before="360" w:after="0"/>
        <w:jc w:val="left"/>
        <w:rPr>
          <w:rFonts w:ascii="Times New Roman" w:hAnsi="Times New Roman"/>
          <w:b/>
          <w:sz w:val="20"/>
        </w:rPr>
      </w:pPr>
      <w:r>
        <w:rPr>
          <w:rFonts w:ascii="Times New Roman" w:hAnsi="Times New Roman"/>
          <w:b/>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sz w:val="20"/>
        </w:rPr>
        <w:t>The material terms and provisions of our Class A Common Stock are described under the caption </w:t>
      </w:r>
      <w:r>
        <w:rPr>
          <w:rFonts w:ascii="Times New Roman" w:hAnsi="Times New Roman"/>
          <w:i/>
          <w:sz w:val="20"/>
        </w:rPr>
        <w:t>Description of Capital Stock</w:t>
      </w:r>
      <w:r>
        <w:rPr>
          <w:rFonts w:ascii="Times New Roman" w:hAnsi="Times New Roman"/>
          <w:sz w:val="20"/>
        </w:rPr>
        <w:t xml:space="preserve"> in the accompanying base prospectus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Class 1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certain terms and conditions of the Class 1 Warrants being offered by us. The following description is subject in all respects to the provisions contained in the Class 1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Class 1 Warrants will be issued as individual warrant agreements to each individual purchaser of a Class 1 Warrant, the form of which is included as an exhibit to the Purchase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Class 1 Warrants will expire on September 4, 2029. </w:t>
      </w:r>
    </w:p>
    <w:p>
      <w:pPr>
        <w:pStyle w:val="TextBody"/>
        <w:bidi w:val="0"/>
        <w:spacing w:before="360" w:after="0"/>
        <w:jc w:val="left"/>
        <w:rPr>
          <w:rFonts w:ascii="Times New Roman" w:hAnsi="Times New Roman"/>
          <w:i/>
          <w:sz w:val="20"/>
        </w:rPr>
      </w:pPr>
      <w:r>
        <w:rPr>
          <w:rFonts w:ascii="Times New Roman" w:hAnsi="Times New Roman"/>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Class 1 Warrant will be exercisable, in whole or in part, at any time or times on or after the six (6) month anniversary of the date of issuance and through 5:00 p.m. (New York City time) on September 4, 2029 by delivery to the Company of a duly executed facsimile copy or PDF copy submitted by e-mail (or e-mail attachment) of the Notice of Exercise in the form attached to the Class 1 Warrant within the earlier of (i) two (2) Trading Days (as defined in the Class 1 Warrant) and (ii) the number of Trade Days comprising the Standard Settlement Period (as defined in the Class 1 Warrant). The Exercise Price is $1.0200 per share of Class A Common Stock. The holder (as defined in the Class 1 Warrant) shall deliver the aggregate Exercise Price for the number of Warrant Shares specified in the applicable Notice of Exercise (as defined in the Class 1 Warrant) by wire transfer or cashiers check drawn on a United States bank unless the cashless exercise procedure, as described below, is completed. </w:t>
      </w:r>
    </w:p>
    <w:p>
      <w:pPr>
        <w:pStyle w:val="TextBody"/>
        <w:bidi w:val="0"/>
        <w:spacing w:before="360" w:after="0"/>
        <w:jc w:val="left"/>
        <w:rPr>
          <w:rFonts w:ascii="Times New Roman" w:hAnsi="Times New Roman"/>
          <w:i/>
          <w:sz w:val="20"/>
        </w:rPr>
      </w:pPr>
      <w:r>
        <w:rPr>
          <w:rFonts w:ascii="Times New Roman" w:hAnsi="Times New Roman"/>
          <w:i/>
          <w:sz w:val="20"/>
        </w:rPr>
        <w:t xml:space="preserve">Cashless Exercise </w:t>
      </w:r>
    </w:p>
    <w:p>
      <w:pPr>
        <w:pStyle w:val="TextBody"/>
        <w:bidi w:val="0"/>
        <w:spacing w:before="120" w:after="0"/>
        <w:jc w:val="left"/>
        <w:rPr>
          <w:rFonts w:ascii="Times New Roman" w:hAnsi="Times New Roman"/>
          <w:sz w:val="20"/>
        </w:rPr>
      </w:pPr>
      <w:r>
        <w:rPr>
          <w:rFonts w:ascii="Times New Roman" w:hAnsi="Times New Roman"/>
          <w:sz w:val="20"/>
        </w:rPr>
        <w:t xml:space="preserve">The Class 1 Warrant may also be exercised, in whole or in part, at any time or times on or after the initial exercise date and on or before the termination date of the Class 1 Warrant by means of a cashless exercise in which the holder shall be entitled to receive a number of Warrant Shares equal to the quotient obtained by dividing [(A-B) (X)] by (A), where: </w:t>
      </w:r>
    </w:p>
    <w:p>
      <w:pPr>
        <w:pStyle w:val="TextBody"/>
        <w:bidi w:val="0"/>
        <w:spacing w:before="120" w:after="0"/>
        <w:jc w:val="left"/>
        <w:rPr>
          <w:rFonts w:ascii="Times New Roman" w:hAnsi="Times New Roman"/>
          <w:sz w:val="20"/>
        </w:rPr>
      </w:pPr>
      <w:r>
        <w:rPr>
          <w:rFonts w:ascii="Times New Roman" w:hAnsi="Times New Roman"/>
          <w:sz w:val="20"/>
        </w:rPr>
        <w:t xml:space="preserve">(A)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Class A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 </w:t>
      </w:r>
    </w:p>
    <w:p>
      <w:pPr>
        <w:pStyle w:val="TextBody"/>
        <w:bidi w:val="0"/>
        <w:spacing w:before="240" w:after="0"/>
        <w:jc w:val="left"/>
        <w:rPr>
          <w:rFonts w:ascii="Times New Roman" w:hAnsi="Times New Roman"/>
          <w:sz w:val="20"/>
        </w:rPr>
      </w:pPr>
      <w:r>
        <w:rPr>
          <w:rFonts w:ascii="Times New Roman" w:hAnsi="Times New Roman"/>
          <w:sz w:val="20"/>
        </w:rPr>
        <w:t xml:space="preserve">(B) = the Exercise Price of this Warrant, as adjusted hereunder; and </w:t>
      </w:r>
    </w:p>
    <w:p>
      <w:pPr>
        <w:pStyle w:val="TextBody"/>
        <w:bidi w:val="0"/>
        <w:spacing w:before="240" w:after="0"/>
        <w:jc w:val="left"/>
        <w:rPr>
          <w:rFonts w:ascii="Times New Roman" w:hAnsi="Times New Roman"/>
          <w:sz w:val="20"/>
        </w:rPr>
      </w:pPr>
      <w:r>
        <w:rPr>
          <w:rFonts w:ascii="Times New Roman" w:hAnsi="Times New Roman"/>
          <w:sz w:val="20"/>
        </w:rPr>
        <w:t xml:space="preserve">(X) = the number of Warrant Shares that would be issuable upon exercise of this Warrant in accordance with the terms of this Warrant if such exercise were by means of a cash exercise rather than a cashless exercise. </w:t>
      </w:r>
    </w:p>
    <w:p>
      <w:pPr>
        <w:pStyle w:val="TextBody"/>
        <w:bidi w:val="0"/>
        <w:spacing w:before="360" w:after="0"/>
        <w:jc w:val="left"/>
        <w:rPr>
          <w:rFonts w:ascii="Times New Roman" w:hAnsi="Times New Roman"/>
          <w:i/>
          <w:sz w:val="20"/>
        </w:rPr>
      </w:pPr>
      <w:r>
        <w:rPr>
          <w:rFonts w:ascii="Times New Roman" w:hAnsi="Times New Roman"/>
          <w:i/>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or scrip representing fractional shares shall be issued upon the exercise of a Class 1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(as defined in the Class 1 Warrant) or round up to the next whole share. </w:t>
      </w:r>
    </w:p>
    <w:p>
      <w:pPr>
        <w:pStyle w:val="TextBody"/>
        <w:bidi w:val="0"/>
        <w:spacing w:before="360" w:after="0"/>
        <w:jc w:val="left"/>
        <w:rPr>
          <w:rFonts w:ascii="Times New Roman" w:hAnsi="Times New Roman"/>
          <w:i/>
          <w:sz w:val="20"/>
        </w:rPr>
      </w:pPr>
      <w:r>
        <w:rPr>
          <w:rFonts w:ascii="Times New Roman" w:hAnsi="Times New Roman"/>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A holder of a Class 1 Warrant will not be entitled to exercise any portion of any Class 1 Warrant that, upon giving effect to such exercise, would cause the aggregate number of shares of Class A Common Stock beneficially owned by the holder (together with its affiliates and any other persons acting as a group together with the holder or any of the holders affiliates) to exceed 4.99% (or, at the election of the holder prior to the issuance of the Class 1 Warrant, 9.99%) of the number of shares of Class A Common Stock outstanding immediately after giving effect to the issuance of shares of Class A Common Stock issuable upon exercise of the Class 1 Warrant. Any holder may, upon written notice to us, increase or decrease such percentage to any other percentage not in excess of 9.99% provided that any increase shall not be effective until 61 days following notice from the holder to us. If this Class 1 Warrant is unexercisable as a result of this limitation, no alternate consideration is owed to the holder.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a Class 1 Warrant may be transferred, in whole or in part, at the option of the holder upon surrender of the Class 1 Warrant to us together with the appropriate instruments or transfer and funds sufficient to pay any transfer taxes payable upon such transfer. </w:t>
      </w:r>
    </w:p>
    <w:p>
      <w:pPr>
        <w:pStyle w:val="TextBody"/>
        <w:bidi w:val="0"/>
        <w:spacing w:before="360" w:after="0"/>
        <w:jc w:val="left"/>
        <w:rPr>
          <w:rFonts w:ascii="Times New Roman" w:hAnsi="Times New Roman"/>
          <w:i/>
          <w:sz w:val="20"/>
        </w:rPr>
      </w:pPr>
      <w:r>
        <w:rPr>
          <w:rFonts w:ascii="Times New Roman" w:hAnsi="Times New Roman"/>
          <w:i/>
          <w:sz w:val="20"/>
        </w:rPr>
        <w:t xml:space="preserve">Trading Market;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plan to list the Class 1 Warrants for trading on any trading exchange. The shares of Class A Common Stock issuable upon exercise of the Class 1 Warrants are currently listed on NYSE under BKKT. </w:t>
      </w:r>
    </w:p>
    <w:p>
      <w:pPr>
        <w:pStyle w:val="TextBody"/>
        <w:bidi w:val="0"/>
        <w:spacing w:before="360" w:after="0"/>
        <w:jc w:val="left"/>
        <w:rPr>
          <w:rFonts w:ascii="Times New Roman" w:hAnsi="Times New Roman"/>
          <w:i/>
          <w:sz w:val="20"/>
        </w:rPr>
      </w:pPr>
      <w:r>
        <w:rPr>
          <w:rFonts w:ascii="Times New Roman" w:hAnsi="Times New Roman"/>
          <w:i/>
          <w:sz w:val="20"/>
        </w:rPr>
        <w:t xml:space="preserve">Fundamental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further described in the Class 1 Warrant, and generally including any reorganization, recapitalization or reclassification of our Class A Common Stock, the sale, transfer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disposition of all or substantially all of our properties or assets (as clarified in the Class 1 Warrants), our consolidation or merger with or into another person, the acquisition of more than 50% of the voting power of the common equity of the Company, the holders of the warrants will be entitled to receive the number of shares of Class A Common Stock of the successor or acquiring corporation or of the Company, if it is the surviving corporation and any additional consideration receivable as a result of the fundamental transaction by a holder of the number of the shares of Class A Common Stock for which the Class 1 Warrant is exercisable immediately prior to such fundamental transaction. In addition, we or our successor or acquiring corporation shall, at the holders option, exercisable at any time concurrently with, or within thirty (30) days after, the consummation of the fundamental transaction (or, if later, the date of the public announcement of the applicable fundamental transaction), purchase the Class 1 Warrant from the holder by paying to the holder an amount of cash equal to the Black Scholes Value (as defined in the Class 1 Warrant) of the remaining unexercised portion of the Class 1 Warrant on the date of the consummation of such fundamental transaction, subject to certain limitations and conditions as set forth in the Class 1 Warrant. </w:t>
      </w:r>
    </w:p>
    <w:p>
      <w:pPr>
        <w:pStyle w:val="TextBody"/>
        <w:bidi w:val="0"/>
        <w:spacing w:before="360" w:after="0"/>
        <w:jc w:val="left"/>
        <w:rPr>
          <w:rFonts w:ascii="Times New Roman" w:hAnsi="Times New Roman"/>
          <w:i/>
          <w:sz w:val="20"/>
        </w:rPr>
      </w:pPr>
      <w:r>
        <w:rPr>
          <w:rFonts w:ascii="Times New Roman" w:hAnsi="Times New Roman"/>
          <w:i/>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Class 1 Warrants or by virtue of such holders ownership of shares of Class A Common Stock, the holders of the Class 1 Warrants do not have the rights or privileges of holders of our Class A Common Stock, including any voting rights, until they exercise their Class 1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Class 2 Warrants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of the Class 2 Warrants are identical to the terms and conditions of the Class 1 Warrants except that, after the Company has obtained Stockholder Approval (as defined in the Purchase Agreement), then, if at any time during the period beginning on six (6) month anniversary of the date of issuance the Reference Value (as defined below) is less than the Exercise Price (the Trigger Event), then the holder shall have the option, exercisable at any time when the Trigger Event shall have occurred or shall be continuing to occur, to effect an alternative cashless exercise by providing the Company with a Notice of Exercise specifying the aggregate number of Warrant Shares subject to such alternative cashless with the number of shares issuable upon such alternative cashless exercise being equal to the product of (x) the aggregate number of Warrant Shares subject to the alternative cashless exercise Notice of Exercise (up to the full number of shares that would be issuable upon exercise of the Class 2 Warrant in accordance with the terms of the Class 2 Warrant if such exercise were by means of a cash exercise rather than a cashless exercise) and (y) 0.5. For purposes of the Class 2 Warrant, the Reference Value shall mean the last reported sales price of the Class A Common Stock for each of the three (3) Trading Days ending on the Trading Day prior to the date on which Notice of Exercise is given. See above for the other terms and conditions of Class 1 Warrants, which otherwise shall apply in all respect to the Class 2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purchasers in this offering who would otherwise, together with its affiliates and certain related parties, beneficially own more than 4.99% (or, at the election of the holder prior to the issuance of the Pre-Funded Warrant, 9.99%) of our outstanding shares of Class A Common Stock immediately following the consummation of this offering, the opportunity to purchase Pre-Funded Warrants, in lieu of shares that otherwise would result in the purchasers beneficial ownership exceeding 9.99% of our outstanding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of the Pre-Funded Warrants are identical to those of the Class 1 Warrants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Pre-Funded Warrant is exercisable for one share of Class A Common Stock at an exercise price of $0.0001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Pre-Funded Warrants are immediately exercisable and may be exercised at any time until all of the Pre-Funded Warrants are exercised in full;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of a fundamental transaction, the holders of Pre-Funded Warrants are not entitled to the rights set forth under </w:t>
            </w:r>
            <w:r>
              <w:rPr>
                <w:rFonts w:ascii="Times New Roman" w:hAnsi="Times New Roman"/>
                <w:i/>
                <w:sz w:val="20"/>
              </w:rPr>
              <w:t>Fundamental Transaction</w:t>
            </w:r>
            <w:r>
              <w:rPr>
                <w:rFonts w:ascii="Times New Roman" w:hAnsi="Times New Roman"/>
                <w:sz w:val="20"/>
              </w:rPr>
              <w:t xml:space="preserv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Pre-Funded Warrants will be issued as individual warrants to each individual purchaser of a Pre-Funded Warrant, the form of which is included as an exhibit to Purchase Agreement. We do not plan to list the Pre-Funded Warrant for trading on any trading exchange. The shares of Class A Common Stock issuable upon exercise of the Pre-Funded Warrants are currently listed on NYSE under BKKT.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768481_8"/>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Keefe, Bruyette &amp; Woods, Inc. (KBW) has agreed to act as our exclusive placement agent in connection with this offering, subject to the terms and conditions of the placement agency agreement dated February 29, 2024. The Placement Agent is not purchasing or selling any of the securities offered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enter into the Purchase Agreement with the purchasers in this offering to purchase our securities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Purchase Agreement, we will deliver the securities being issued to the purchasers upon receipt of such purchasers funds for the purchase of the securities offered pursuant to this prospectus supplement. We will deliver all securities to be issued in connection with this offering upon receipt of purchaser funds received by us. We expect to deliver the securities being offered pursuant to this prospectus supplement on or about March 4, 2024.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Placement Agent and specified other persons against specified liabilities, including liabilities under the Securities Act, and to contribute to payments the Placement Agent may be required to make in respect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pay the Placement Agent a fee based on the aggregate proceeds as set forth in the table below, which does not take into account the sale of our securities in the Concurrent Offering, nor the exercise of any Warrants issued pursuant to this offering or the Concurrent Offering: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356"/>
        <w:gridCol w:w="378"/>
        <w:gridCol w:w="265"/>
        <w:gridCol w:w="1364"/>
        <w:gridCol w:w="60"/>
        <w:gridCol w:w="378"/>
        <w:gridCol w:w="265"/>
        <w:gridCol w:w="1364"/>
        <w:gridCol w:w="60"/>
        <w:gridCol w:w="378"/>
        <w:gridCol w:w="140"/>
        <w:gridCol w:w="1499"/>
        <w:gridCol w:w="65"/>
      </w:tblGrid>
      <w:tr>
        <w:trPr/>
        <w:tc>
          <w:tcPr>
            <w:tcW w:w="235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 and</w:t>
            </w:r>
            <w:r>
              <w:rPr/>
              <w:br/>
            </w:r>
            <w:r>
              <w:rPr>
                <w:b/>
              </w:rPr>
              <w:t>Accompanying</w:t>
            </w:r>
            <w:r>
              <w:rPr/>
              <w:br/>
            </w:r>
            <w:r>
              <w:rPr>
                <w:b/>
              </w:rPr>
              <w:t>Warrants</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pPr>
            <w:r>
              <w:rPr>
                <w:b/>
              </w:rPr>
              <w:t>Per</w:t>
              <w:br/>
              <w:t>Pre-Funded</w:t>
            </w:r>
            <w:r>
              <w:rPr/>
              <w:br/>
            </w:r>
            <w:r>
              <w:rPr>
                <w:b/>
              </w:rPr>
              <w:t>Warrant and</w:t>
            </w:r>
            <w:r>
              <w:rPr/>
              <w:br/>
            </w:r>
            <w:r>
              <w:rPr>
                <w:b/>
              </w:rPr>
              <w:t>Accompanying</w:t>
            </w:r>
            <w:r>
              <w:rPr/>
              <w:br/>
            </w:r>
            <w:r>
              <w:rPr>
                <w:b/>
              </w:rPr>
              <w:t>Warrants</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3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0.8670</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0.8669</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99" w:type="dxa"/>
            <w:tcBorders/>
            <w:shd w:fill="CCEEFF" w:val="clear"/>
            <w:vAlign w:val="bottom"/>
          </w:tcPr>
          <w:p>
            <w:pPr>
              <w:pStyle w:val="TableContents"/>
              <w:bidi w:val="0"/>
              <w:spacing w:before="0" w:after="283"/>
              <w:jc w:val="right"/>
              <w:rPr/>
            </w:pPr>
            <w:r>
              <w:rPr/>
              <w:t>39,998,386.82</w:t>
            </w:r>
          </w:p>
        </w:tc>
        <w:tc>
          <w:tcPr>
            <w:tcW w:w="65" w:type="dxa"/>
            <w:tcBorders/>
            <w:shd w:fill="CCEEFF" w:val="clear"/>
            <w:vAlign w:val="bottom"/>
          </w:tcPr>
          <w:p>
            <w:pPr>
              <w:pStyle w:val="TableContents"/>
              <w:bidi w:val="0"/>
              <w:spacing w:before="0" w:after="283"/>
              <w:jc w:val="left"/>
              <w:rPr/>
            </w:pPr>
            <w:r>
              <w:rPr/>
              <w:t> </w:t>
            </w:r>
          </w:p>
        </w:tc>
      </w:tr>
      <w:tr>
        <w:trPr/>
        <w:tc>
          <w:tcPr>
            <w:tcW w:w="2356" w:type="dxa"/>
            <w:tcBorders/>
          </w:tcPr>
          <w:p>
            <w:pPr>
              <w:pStyle w:val="TableContents"/>
              <w:bidi w:val="0"/>
              <w:spacing w:before="0" w:after="0"/>
              <w:jc w:val="left"/>
              <w:rPr>
                <w:rFonts w:ascii="Times New Roman" w:hAnsi="Times New Roman"/>
                <w:sz w:val="20"/>
              </w:rPr>
            </w:pPr>
            <w:r>
              <w:rPr>
                <w:rFonts w:ascii="Times New Roman" w:hAnsi="Times New Roman"/>
                <w:sz w:val="20"/>
              </w:rPr>
              <w:t>Placement Agents fees(1)</w:t>
            </w:r>
          </w:p>
        </w:tc>
        <w:tc>
          <w:tcPr>
            <w:tcW w:w="3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364" w:type="dxa"/>
            <w:tcBorders/>
            <w:vAlign w:val="bottom"/>
          </w:tcPr>
          <w:p>
            <w:pPr>
              <w:pStyle w:val="TableContents"/>
              <w:bidi w:val="0"/>
              <w:spacing w:before="0" w:after="283"/>
              <w:jc w:val="right"/>
              <w:rPr/>
            </w:pPr>
            <w:r>
              <w:rPr/>
              <w:t>0.0520</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364" w:type="dxa"/>
            <w:tcBorders/>
            <w:vAlign w:val="bottom"/>
          </w:tcPr>
          <w:p>
            <w:pPr>
              <w:pStyle w:val="TableContents"/>
              <w:bidi w:val="0"/>
              <w:spacing w:before="0" w:after="283"/>
              <w:jc w:val="right"/>
              <w:rPr/>
            </w:pPr>
            <w:r>
              <w:rPr/>
              <w:t>0.0520</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99" w:type="dxa"/>
            <w:tcBorders/>
            <w:vAlign w:val="bottom"/>
          </w:tcPr>
          <w:p>
            <w:pPr>
              <w:pStyle w:val="TableContents"/>
              <w:bidi w:val="0"/>
              <w:spacing w:before="0" w:after="283"/>
              <w:jc w:val="right"/>
              <w:rPr/>
            </w:pPr>
            <w:r>
              <w:rPr/>
              <w:t>2,399,077.30</w:t>
            </w:r>
          </w:p>
        </w:tc>
        <w:tc>
          <w:tcPr>
            <w:tcW w:w="65" w:type="dxa"/>
            <w:tcBorders/>
            <w:vAlign w:val="bottom"/>
          </w:tcPr>
          <w:p>
            <w:pPr>
              <w:pStyle w:val="TableContents"/>
              <w:bidi w:val="0"/>
              <w:spacing w:before="0" w:after="283"/>
              <w:jc w:val="left"/>
              <w:rPr/>
            </w:pPr>
            <w:r>
              <w:rPr/>
              <w:t> </w:t>
            </w:r>
          </w:p>
        </w:tc>
      </w:tr>
      <w:tr>
        <w:trPr/>
        <w:tc>
          <w:tcPr>
            <w:tcW w:w="2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0.8150</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0.8149</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99" w:type="dxa"/>
            <w:tcBorders/>
            <w:shd w:fill="CCEEFF" w:val="clear"/>
            <w:vAlign w:val="bottom"/>
          </w:tcPr>
          <w:p>
            <w:pPr>
              <w:pStyle w:val="TableContents"/>
              <w:bidi w:val="0"/>
              <w:spacing w:before="0" w:after="283"/>
              <w:jc w:val="right"/>
              <w:rPr/>
            </w:pPr>
            <w:r>
              <w:rPr/>
              <w:t>37,599,309.52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agreed to pay the placement agent a placement agent fee in an amount equal to six percent (6%) of the gross proceeds received by the Company in this offering, excluding any amounts that may be paid upon the exercise of Warrants issued under the Purchase Agreement by the Company. KBW is not acting as a placement agent in connection with the Concurrent Offering and will not receive any fees related to the Concurrent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Placement Agent may be deemed to be an underwriter within the meaning of Section 2(a)(11) of the Securities Act, and any commissions received by it and any profit realized on the resale of the shares sold by it while acting as principal might be deemed to be underwriting discounts or commissions under the Securities Act. As an underwriter, the Placement Agent would be required to comply with the requirements of the Securities Act and the Exchange Act of 1934, as amended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not engage in any stabilization activity in connection with our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not bid for or purchase any of our securities or attempt to induce any person to purchase any of our securities, other than as permitted under the Exchange Act, until it has completed its participation in the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Our directors and officers have entered into lock-up agreements. Under these agreements, these individuals have agreed, subject to specified exceptions, not to sell or transfer any shares of Class A Common Stock or securities convertible into, or exchangeable or exercisable for, our Class A Common Stock during a period ending 120 days after the date of this prospectus supplement. Specifically, these individuals have agreed, in part,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individuals subject to the lock-up or any affiliate of the individuals subject to the lock-up or any person in privity with the individuals subject to the lock-up or any affiliate of the individuals subject to the lock-up), directly or indirectly;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or increase a put equivalent position or liquidate or decrease a call equivalent position within the meaning of Section 16 of the Exchange Act with respect to, any shares of Class A Common Stock or securities convertible, exchangeable or exercisable into, shares of Class A Common Stock beneficially owned, held or hereafter acquired;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or cause to be filed a registration statement, including any amendments thereto, with respect to the registration of any shares of Class A Common Stock or Common Stock Equivalents (as defined in the Purchase Agreement) or publicly disclose the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these limitations, these shares of Class A Common Stock may be transferred under limited circumstances, including, without limitation, pursuant to pre-established trading plans adopted under Rule 10b5-1 of the Exchange Act, by gift, charitable contribution, will, and intestate succession.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The New York Stock Exchange under the symbol BKKT. </w:t>
      </w:r>
    </w:p>
    <w:p>
      <w:pPr>
        <w:pStyle w:val="TextBody"/>
        <w:bidi w:val="0"/>
        <w:spacing w:before="0" w:after="0"/>
        <w:jc w:val="left"/>
        <w:rPr>
          <w:rFonts w:ascii="Times New Roman" w:hAnsi="Times New Roman"/>
          <w:sz w:val="20"/>
        </w:rPr>
      </w:pPr>
      <w:r>
        <w:rPr>
          <w:rFonts w:ascii="Times New Roman" w:hAnsi="Times New Roman"/>
          <w:sz w:val="20"/>
        </w:rPr>
        <w:t xml:space="preserve">There is no established public trading market for the Warrants or the Pre-Funded Warrants and we do not expect a market to develop for either security. Without an active trading market, the liquidity of the Warrants and the Pre-Funded Warrants will be limited. In addition, we do not intend to list the Warrants or the Pre-Funded Warrants on NYSE, any other national securities exchange, or any other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Class A Common Stock is Equiniti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Other Activities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affiliates may hedge such exposure by entering into transactions that consist of either the purchase of credit default swaps or the creation of short positions in our securities or the securities of our affiliates, including potentially the Class A Common Stock offered hereby. Any such short positions could adversely affect future trading prices of the Class A Common Stock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768481_9"/>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Wilson Sonsini Goodrich &amp; Rosati, Professional Corporation, Austin, Texas. Goodwin Procter LLP is representing the Placement Agent in connection with this offering. </w:t>
      </w:r>
    </w:p>
    <w:p>
      <w:pPr>
        <w:pStyle w:val="TextBody"/>
        <w:bidi w:val="0"/>
        <w:spacing w:before="480" w:after="0"/>
        <w:jc w:val="center"/>
        <w:rPr>
          <w:rFonts w:ascii="Times New Roman" w:hAnsi="Times New Roman"/>
          <w:b/>
          <w:sz w:val="20"/>
        </w:rPr>
      </w:pPr>
      <w:bookmarkStart w:id="11" w:name="supp768481_10"/>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VPC Impact Acquisition Holdings as of October 14, 2021 and December 31, 2020 and for the period from January 1, 2021 through October 14, 2021 and for the period from July 31, 2020 (inception) through December 31, 2020 are incorporated by reference in this prospectus supplement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Bakkt Crypto Solutions, LLC (f/k/a Apex Crypto LLC) as of December 31, 2022 and 2021 and for the years then ended incorporated by reference in this prospectus supplement from the Current Report on Form 8-K/A filed by Bakkt Holdings, Inc. on April 18, 2023 have been audited by RSM US LLP, independent auditors, as stated in their report thereon, incorporated herein by reference. Such financial statements have been so incorporated in this prospectus supplement in reliance upon such report and upon the authority of such firm as experts in accounting and auditing. </w:t>
      </w:r>
    </w:p>
    <w:p>
      <w:pPr>
        <w:pStyle w:val="TextBody"/>
        <w:bidi w:val="0"/>
        <w:spacing w:before="480" w:after="0"/>
        <w:jc w:val="center"/>
        <w:rPr>
          <w:rFonts w:ascii="Times New Roman" w:hAnsi="Times New Roman"/>
          <w:b/>
          <w:sz w:val="20"/>
        </w:rPr>
      </w:pPr>
      <w:bookmarkStart w:id="12" w:name="supp768481_11"/>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investors.bakkt.com</w:t>
      </w:r>
      <w:r>
        <w:rPr>
          <w:rFonts w:ascii="Times New Roman" w:hAnsi="Times New Roman"/>
          <w:sz w:val="20"/>
        </w:rPr>
        <w:t xml:space="preserve">. Information accessible on or through our website is not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registration statement on Form S-3 that we filed with the SEC and do not contain all of the information in the registration statement. The full registration statement may be obtained from the SEC or us, as provided above. Forms of documents establishing the terms of any offered securities are or may be filed as exhibits to the registration statement or documents incorporated by reference in the registration statement. Statements in this prospectus supplement and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768481_12"/>
      <w:bookmarkEnd w:id="13"/>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that have been furnished rather than filed), until the offering of the securities under the prospectus supplement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March 24, 2023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24, 2023, that are incorporated by reference into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2023 and June  30, 2023, filed with the SEC on </w:t>
            </w:r>
            <w:hyperlink r:id="rId5">
              <w:r>
                <w:rPr>
                  <w:rStyle w:val="InternetLink"/>
                  <w:rFonts w:ascii="Times New Roman" w:hAnsi="Times New Roman"/>
                  <w:sz w:val="20"/>
                </w:rPr>
                <w:t>May 11, 2023</w:t>
              </w:r>
            </w:hyperlink>
            <w:r>
              <w:rPr>
                <w:rFonts w:ascii="Times New Roman" w:hAnsi="Times New Roman"/>
                <w:sz w:val="20"/>
              </w:rPr>
              <w:t xml:space="preserve"> and </w:t>
            </w:r>
            <w:hyperlink r:id="rId6">
              <w:r>
                <w:rPr>
                  <w:rStyle w:val="InternetLink"/>
                  <w:rFonts w:ascii="Times New Roman" w:hAnsi="Times New Roman"/>
                  <w:sz w:val="20"/>
                </w:rPr>
                <w:t>August 10, 2023</w:t>
              </w:r>
            </w:hyperlink>
            <w:r>
              <w:rPr>
                <w:rFonts w:ascii="Times New Roman" w:hAnsi="Times New Roman"/>
                <w:sz w:val="20"/>
              </w:rPr>
              <w:t xml:space="preserve">, respectively, and our Quarterly Report on Form 10-Q for the quarterly period ended September 30, 2023, filed with the SEC on </w:t>
            </w:r>
            <w:hyperlink r:id="rId7">
              <w:r>
                <w:rPr>
                  <w:rStyle w:val="InternetLink"/>
                  <w:rFonts w:ascii="Times New Roman" w:hAnsi="Times New Roman"/>
                  <w:sz w:val="20"/>
                </w:rPr>
                <w:t>November 14, 2023</w:t>
              </w:r>
            </w:hyperlink>
            <w:r>
              <w:rPr>
                <w:rFonts w:ascii="Times New Roman" w:hAnsi="Times New Roman"/>
                <w:sz w:val="20"/>
              </w:rPr>
              <w:t xml:space="preserve">, as amended by our Quarterly Reports on Form 10-Q/A filed with the SEC on </w:t>
            </w:r>
            <w:hyperlink r:id="rId8">
              <w:r>
                <w:rPr>
                  <w:rStyle w:val="InternetLink"/>
                  <w:rFonts w:ascii="Times New Roman" w:hAnsi="Times New Roman"/>
                  <w:sz w:val="20"/>
                </w:rPr>
                <w:t>February 7, 2024</w:t>
              </w:r>
            </w:hyperlink>
            <w:r>
              <w:rPr>
                <w:rFonts w:ascii="Times New Roman" w:hAnsi="Times New Roman"/>
                <w:sz w:val="20"/>
              </w:rPr>
              <w:t xml:space="preserve">, </w:t>
            </w:r>
            <w:hyperlink r:id="rId9">
              <w:r>
                <w:rPr>
                  <w:rStyle w:val="InternetLink"/>
                  <w:rFonts w:ascii="Times New Roman" w:hAnsi="Times New Roman"/>
                  <w:sz w:val="20"/>
                </w:rPr>
                <w:t>February 8, 2024</w:t>
              </w:r>
            </w:hyperlink>
            <w:r>
              <w:rPr>
                <w:rFonts w:ascii="Times New Roman" w:hAnsi="Times New Roman"/>
                <w:sz w:val="20"/>
              </w:rPr>
              <w:t xml:space="preserve"> and </w:t>
            </w:r>
            <w:hyperlink r:id="rId10">
              <w:r>
                <w:rPr>
                  <w:rStyle w:val="InternetLink"/>
                  <w:rFonts w:ascii="Times New Roman" w:hAnsi="Times New Roman"/>
                  <w:sz w:val="20"/>
                </w:rPr>
                <w:t>February 14,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1">
              <w:r>
                <w:rPr>
                  <w:rStyle w:val="InternetLink"/>
                  <w:rFonts w:ascii="Times New Roman" w:hAnsi="Times New Roman"/>
                  <w:sz w:val="20"/>
                </w:rPr>
                <w:t>March 9, 2023</w:t>
              </w:r>
            </w:hyperlink>
            <w:r>
              <w:rPr>
                <w:rFonts w:ascii="Times New Roman" w:hAnsi="Times New Roman"/>
                <w:sz w:val="20"/>
              </w:rPr>
              <w:t xml:space="preserve">, </w:t>
            </w:r>
            <w:hyperlink r:id="rId12">
              <w:r>
                <w:rPr>
                  <w:rStyle w:val="InternetLink"/>
                  <w:rFonts w:ascii="Times New Roman" w:hAnsi="Times New Roman"/>
                  <w:sz w:val="20"/>
                </w:rPr>
                <w:t>April 3, 2023</w:t>
              </w:r>
            </w:hyperlink>
            <w:r>
              <w:rPr>
                <w:rFonts w:ascii="Times New Roman" w:hAnsi="Times New Roman"/>
                <w:sz w:val="20"/>
              </w:rPr>
              <w:t xml:space="preserve">, </w:t>
            </w:r>
            <w:hyperlink r:id="rId13">
              <w:r>
                <w:rPr>
                  <w:rStyle w:val="InternetLink"/>
                  <w:rFonts w:ascii="Times New Roman" w:hAnsi="Times New Roman"/>
                  <w:sz w:val="20"/>
                </w:rPr>
                <w:t>April 19, 2023</w:t>
              </w:r>
            </w:hyperlink>
            <w:r>
              <w:rPr>
                <w:rFonts w:ascii="Times New Roman" w:hAnsi="Times New Roman"/>
                <w:sz w:val="20"/>
              </w:rPr>
              <w:t xml:space="preserve">, </w:t>
            </w:r>
            <w:hyperlink r:id="rId14">
              <w:r>
                <w:rPr>
                  <w:rStyle w:val="InternetLink"/>
                  <w:rFonts w:ascii="Times New Roman" w:hAnsi="Times New Roman"/>
                  <w:sz w:val="20"/>
                </w:rPr>
                <w:t>June 9, 2023</w:t>
              </w:r>
            </w:hyperlink>
            <w:r>
              <w:rPr>
                <w:rFonts w:ascii="Times New Roman" w:hAnsi="Times New Roman"/>
                <w:sz w:val="20"/>
              </w:rPr>
              <w:t xml:space="preserve"> and </w:t>
            </w:r>
            <w:hyperlink r:id="rId15">
              <w:r>
                <w:rPr>
                  <w:rStyle w:val="InternetLink"/>
                  <w:rFonts w:ascii="Times New Roman" w:hAnsi="Times New Roman"/>
                  <w:sz w:val="20"/>
                </w:rPr>
                <w:t>February  29, 2024</w:t>
              </w:r>
            </w:hyperlink>
            <w:r>
              <w:rPr>
                <w:rFonts w:ascii="Times New Roman" w:hAnsi="Times New Roman"/>
                <w:sz w:val="20"/>
              </w:rPr>
              <w:t xml:space="preserve"> and on Form 8-K/A filed with the SEC on </w:t>
            </w:r>
            <w:hyperlink r:id="rId16">
              <w:r>
                <w:rPr>
                  <w:rStyle w:val="InternetLink"/>
                  <w:rFonts w:ascii="Times New Roman" w:hAnsi="Times New Roman"/>
                  <w:sz w:val="20"/>
                </w:rPr>
                <w:t>April  5, 2022</w:t>
              </w:r>
            </w:hyperlink>
            <w:r>
              <w:rPr>
                <w:rFonts w:ascii="Times New Roman" w:hAnsi="Times New Roman"/>
                <w:sz w:val="20"/>
              </w:rPr>
              <w:t xml:space="preserve">, </w:t>
            </w:r>
            <w:hyperlink r:id="rId17">
              <w:r>
                <w:rPr>
                  <w:rStyle w:val="InternetLink"/>
                  <w:rFonts w:ascii="Times New Roman" w:hAnsi="Times New Roman"/>
                  <w:sz w:val="20"/>
                </w:rPr>
                <w:t>April 18, 2023</w:t>
              </w:r>
            </w:hyperlink>
            <w:r>
              <w:rPr>
                <w:rFonts w:ascii="Times New Roman" w:hAnsi="Times New Roman"/>
                <w:sz w:val="20"/>
              </w:rPr>
              <w:t xml:space="preserve">, and </w:t>
            </w:r>
            <w:hyperlink r:id="rId18">
              <w:r>
                <w:rPr>
                  <w:rStyle w:val="InternetLink"/>
                  <w:rFonts w:ascii="Times New Roman" w:hAnsi="Times New Roman"/>
                  <w:sz w:val="20"/>
                </w:rPr>
                <w:t>February 14,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securities contained in the Registration Statement on </w:t>
            </w:r>
            <w:hyperlink r:id="rId19">
              <w:r>
                <w:rPr>
                  <w:rStyle w:val="InternetLink"/>
                  <w:rFonts w:ascii="Times New Roman" w:hAnsi="Times New Roman"/>
                  <w:sz w:val="20"/>
                </w:rPr>
                <w:t>Form 8-A</w:t>
              </w:r>
            </w:hyperlink>
            <w:r>
              <w:rPr>
                <w:rFonts w:ascii="Times New Roman" w:hAnsi="Times New Roman"/>
                <w:sz w:val="20"/>
              </w:rPr>
              <w:t xml:space="preserve"> relating thereto, filed on October 15,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10000 Avalon Boulevard, Suite 1000 </w:t>
      </w:r>
    </w:p>
    <w:p>
      <w:pPr>
        <w:pStyle w:val="TextBody"/>
        <w:bidi w:val="0"/>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bidi w:val="0"/>
        <w:spacing w:before="0" w:after="0"/>
        <w:jc w:val="center"/>
        <w:rPr>
          <w:rFonts w:ascii="Times New Roman" w:hAnsi="Times New Roman"/>
          <w:b/>
          <w:sz w:val="20"/>
        </w:rPr>
      </w:pPr>
      <w:r>
        <w:rPr>
          <w:rFonts w:ascii="Times New Roman" w:hAnsi="Times New Roman"/>
          <w:b/>
          <w:sz w:val="20"/>
        </w:rPr>
        <w:t xml:space="preserve">(678) 534-5849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0965" cy="38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00965" cy="38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Bakkt Holdings, Inc. </w:t>
      </w:r>
    </w:p>
    <w:p>
      <w:pPr>
        <w:pStyle w:val="TextBody"/>
        <w:bidi w:val="0"/>
        <w:spacing w:before="240" w:after="0"/>
        <w:jc w:val="center"/>
        <w:rPr>
          <w:rFonts w:ascii="Times New Roman" w:hAnsi="Times New Roman"/>
          <w:b/>
          <w:sz w:val="36"/>
        </w:rPr>
      </w:pPr>
      <w:r>
        <w:rPr>
          <w:rFonts w:ascii="Times New Roman" w:hAnsi="Times New Roman"/>
          <w:b/>
          <w:sz w:val="36"/>
        </w:rPr>
        <w:t xml:space="preserve">$150,000,000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$150,000,000.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Class A Common Stock on any securities exchange.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these securities involves risks. Please carefully read the information under the headings </w:t>
      </w:r>
      <w:hyperlink w:anchor="rom768481_3">
        <w:r>
          <w:rPr>
            <w:rStyle w:val="InternetLink"/>
            <w:rFonts w:ascii="Times New Roman" w:hAnsi="Times New Roman"/>
            <w:b/>
            <w:i/>
            <w:sz w:val="24"/>
          </w:rPr>
          <w:t>Risk Factors</w:t>
        </w:r>
      </w:hyperlink>
      <w:r>
        <w:rPr>
          <w:rFonts w:ascii="Times New Roman" w:hAnsi="Times New Roman"/>
          <w:b/>
          <w:sz w:val="24"/>
        </w:rPr>
        <w:t> beginning on page 7 of this prospectus and </w:t>
      </w:r>
      <w:r>
        <w:rPr>
          <w:rFonts w:ascii="Times New Roman" w:hAnsi="Times New Roman"/>
          <w:b/>
          <w:i/>
          <w:sz w:val="24"/>
        </w:rPr>
        <w:t>Item 1A  Risk Factors</w:t>
      </w:r>
      <w:r>
        <w:rPr>
          <w:rFonts w:ascii="Times New Roman" w:hAnsi="Times New Roman"/>
          <w:b/>
          <w:sz w:val="24"/>
        </w:rPr>
        <w:t xml:space="preserve"> of our most recent Annual Report on Form 10-K and any Quarterly Report on Form 10-Q filed subsequently to such Form 10-K that is incorporated by reference in this prospectus before you invest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14,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4">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7">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8">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9">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10">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11">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12">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1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768481_14">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rom768481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16" w:name="rom768481_2"/>
      <w:bookmarkEnd w:id="1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Custody. Our institutional-grade qualified custody solution caters to more experienced market participants, offering a highly secure and compliance-focused infrastructure. It also supports our consumer crypto infrastructure.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Crypto Trading</w:t>
            </w:r>
            <w:r>
              <w:rPr>
                <w:rFonts w:ascii="Times New Roman" w:hAnsi="Times New Roman"/>
                <w:sz w:val="20"/>
              </w:rPr>
              <w:t xml:space="preserve">. Our platform provides consumers, businesses and institutions with the ability to buy, sell and store crypto in a simple, intuitive digital experience accessed via APIs or embedded web experience.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Crypto Rewards</w:t>
            </w:r>
            <w:r>
              <w:rPr>
                <w:rFonts w:ascii="Times New Roman" w:hAnsi="Times New Roman"/>
                <w:sz w:val="20"/>
              </w:rPr>
              <w:t xml:space="preserve">. We are in the process of enabling clients of all sizes to offer loyalty and rewards to their customers in the form of crypto  either by earning crypto rewards, or by redeeming existing reward currencies, such as points or miles, into crypto.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Acquisition of Bakkt Crypto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together with Apex Crypto, the Seller Parties), pursuant to the terms of a Membership Interest Purchase Agreement (as amended, the Purchase Agreement), dated as of November 2, 2022, by and among the Bakkt 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please see our Amended Form 10-Q, filed on February 14, 2024, that (i) amends and restates the disclosure in Part II, Item 1A Risk Factors to, among other things, add a description of certain risks resulting from changes to the Companys business following the Acquisition, and (ii) amends and restates Part II, Item 5 to describe certain updates to the Companys business activities following the Acquisition.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Liquidity and Going Concern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unaudited financial statements included in our quarterly report on Form 10-Q for the quarterly period ended September 30, 2023 (the Original Form 10-Q) filed on November 14, 2023 (the Original 10-Q Filing Date), we disclosed that subsequent to the filing of the Original Form 10-Q, and in connection with the filing of Amendment No. 3 to the Original Form 10-Q (the Amended Form 10-Q), we made the following determination regarding our ability to continue as a going concern using the information available to us as of the date of the filing of the Amended Form 10-Q.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incurred net losses and consumed cashflow from operations since our inception and continue to incur losses and consume cash through the date of the Amended Form 10-Q filing.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as of the date of filing of the Amended Form 10-Q, raised substantial doubt about our ability to continue as a going concern.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the Amended Form 10-Q, we did not believe that our cash, short-term securities, and restricted cash were sufficient to fund our operations for the next 12 months, without raising additional capital in 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could not conclude, as of the date of the filing of the Amended Form 10-Q, that it was probable that we would be able to increase revenues substantially beyond levels that we have attained in the past in order to generate sustainable operating profit to continue doing business, and, as a result, we concluded these plans did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cannot continue as a viable entity, our stockholders would likely lose most or all of their investment in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please see our other filings with the SEC that are incorporated by reference into this prospectus, including the Amended Form 10-Q and the risk factor entitled We might not be able to continue as a going concern. included under Part II, Item 1A therein.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Finances and Operations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model is newly developed and may encounter additional risks and challenges as it grows.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platform is still in the early stages of its release and is largely untested.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add additional functionalities and crypto assets to our platform may adversely affect future growth.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operating history and a history of operating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might not be able to continue as a going concern.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attract, retain or grow our relationships with our existing clients and third-party custodians, our business, financial condition, results of operations and future prospects would be materially and adversely affected.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Excessive redemptions or withdrawals, or a suspension of redemptions or withdrawals, of crypto assets could adversely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the anticipated benefits of past or future investments, strategic transactions, or acquisitions  including our acquisition of Bakkt Crypto  and integration of these acquisitions may disrupt our business and management.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Crypto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the crypto market subject us to additional risks, including the risk that banks may not provide banking services to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a general perception among regulators and others that crypto is used to facilitate illegal activity such as fraud, money laundering, tax evasion and ransomware scams.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crypto custodial solutions and related technology, which may experience theft, employee or vendor sabotage, security and cybersecurity risks, system failures and other operational issues which could damage our reputation and brand.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safeguard and manage our customers crypto could adversely impact our business, operating results,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does not have extensive historical precedent and distributed ledger technology continues to rapidly evolve.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encounter technical issues in connection with the integration of supported crypto assets and changes and upgrades to their underlying networks, which could adversely affect our business.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Regulation, Taxation and Laws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extensive government regulation, oversight, licensure and appraisals and our failure to comply could materially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regimes governing blockchain technologies and crypto are evolving and uncertain, and new legislation, regulations, guidance and enforcement actions have in the past required, and may in the future require us to alter our business practices.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significant litigation risk and risk of regulatory liability and penalties. Any current or future litigation against us could be costly and time-consuming to defend.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Information Technology and Data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perceived cyberattacks, security incidents, or breaches could result in serious harm to our reputation, business and financial condition.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Risk Management and Financial Reporting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effective internal controls over financial reporting, we may be unable to produce timely and accurate financial statements, which could have a material effect on our business.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Securities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on, or that can be accessed through, our website is not a part of, and is not incorporated into, this prospectus, and the inclusion of our website address in this prospectus is an inactive textual reference only.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or sell Class A Common Stock, preferred stock, debt securities, warrants and units in one or more offerings and in any combination. The aggregate offering price of the securities we sell pursuant to this prospectus will not exceed $150,000,000. Each time securities are offered with this prospectus, we will provide a prospectus supplement that will describe the specific amounts, prices and terms of the securities being offered and the net proceeds we expect to receive from that sale.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Class A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Class A Common Stock, preferred stock or debt securities. We may offer warrants independently or together with other securities.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rom768481_3"/>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w:t>
      </w:r>
    </w:p>
    <w:p>
      <w:pPr>
        <w:pStyle w:val="TextBody"/>
        <w:bidi w:val="0"/>
        <w:spacing w:before="480" w:after="0"/>
        <w:jc w:val="center"/>
        <w:rPr>
          <w:rFonts w:ascii="Times New Roman" w:hAnsi="Times New Roman"/>
          <w:b/>
          <w:sz w:val="20"/>
        </w:rPr>
      </w:pPr>
      <w:bookmarkStart w:id="18" w:name="rom768481_4"/>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for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impacts from the Bakkt Crypto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plans and opportunities.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markets in which we compete, including with respect to our competitive landscape, technology evolution or 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the crypto market that subject us to additional risks, including the risk that banks may not provide banking services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and/or competitive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launch new services and products or to profitably expand into new markets and services, or the inability to continue offering existing services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execute our growth strategies, including identifying and executing acquisitions and our initiatives to add new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the expected benefits from the Bakkt Crypto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extensive government regulation, oversight, licensure and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 regulatory regime governing blockchain technologies and crypto;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develop and maintain effective internal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pandemics or other public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maintain the listing of our securities on the NYSE;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indicated in this prospectus, including those set forth under </w:t>
            </w:r>
            <w:r>
              <w:rPr>
                <w:rFonts w:ascii="Times New Roman" w:hAnsi="Times New Roman"/>
                <w:i/>
                <w:sz w:val="20"/>
              </w:rPr>
              <w:t>Risk Factors</w:t>
            </w:r>
            <w:r>
              <w:rPr>
                <w:rFonts w:ascii="Times New Roman" w:hAnsi="Times New Roman"/>
                <w:sz w:val="20"/>
              </w:rPr>
              <w:t xml:space="preserve"> and any risk factors described in any amendments or supplements to this prospectus and in the documents incorporated by reference herein. </w:t>
            </w:r>
          </w:p>
        </w:tc>
      </w:tr>
    </w:tbl>
    <w:p>
      <w:pPr>
        <w:pStyle w:val="TextBody"/>
        <w:bidi w:val="0"/>
        <w:spacing w:before="480" w:after="0"/>
        <w:jc w:val="center"/>
        <w:rPr>
          <w:rFonts w:ascii="Times New Roman" w:hAnsi="Times New Roman"/>
          <w:b/>
          <w:sz w:val="20"/>
        </w:rPr>
      </w:pPr>
      <w:bookmarkStart w:id="19" w:name="rom768481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t>
      </w:r>
    </w:p>
    <w:p>
      <w:pPr>
        <w:pStyle w:val="TextBody"/>
        <w:bidi w:val="0"/>
        <w:spacing w:before="480" w:after="0"/>
        <w:jc w:val="center"/>
        <w:rPr>
          <w:rFonts w:ascii="Times New Roman" w:hAnsi="Times New Roman"/>
          <w:b/>
          <w:sz w:val="20"/>
        </w:rPr>
      </w:pPr>
      <w:bookmarkStart w:id="20" w:name="rom768481_6"/>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our capital stock is incorporated by reference to Exhibit 4.7 to our Annual Report on Form 10-K for the fiscal year ended December 31, 2022, filed with the SEC on March 24, 2023. </w:t>
      </w:r>
    </w:p>
    <w:p>
      <w:pPr>
        <w:pStyle w:val="TextBody"/>
        <w:bidi w:val="0"/>
        <w:spacing w:before="480" w:after="0"/>
        <w:jc w:val="center"/>
        <w:rPr>
          <w:rFonts w:ascii="Times New Roman" w:hAnsi="Times New Roman"/>
          <w:b/>
          <w:sz w:val="20"/>
        </w:rPr>
      </w:pPr>
      <w:bookmarkStart w:id="21" w:name="rom768481_7"/>
      <w:bookmarkEnd w:id="2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a clearing agency registered under the Securities Exchange Act of 1934, as amended (the Exchange Act),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hAnsi="Times New Roman"/>
          <w:i/>
          <w:sz w:val="20"/>
        </w:rPr>
        <w:t>Global Debt Securities and Book-Entry System</w:t>
      </w:r>
      <w:r>
        <w:rPr>
          <w:rFonts w:ascii="Times New Roman" w:hAnsi="Times New Roman"/>
          <w:sz w:val="20"/>
        </w:rPr>
        <w:t xml:space="preserve"> below, book-entry debt securities will not be issuable in certificated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covenants in the indenture described above under the heading </w:t>
            </w:r>
            <w:r>
              <w:rPr>
                <w:rFonts w:ascii="Times New Roman" w:hAnsi="Times New Roman"/>
                <w:i/>
                <w:sz w:val="20"/>
              </w:rPr>
              <w:t>Consolidation, Merger and Sale of Assets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i/>
          <w:sz w:val="20"/>
        </w:rPr>
      </w:pPr>
      <w:r>
        <w:rPr>
          <w:rFonts w:ascii="Times New Roman" w:hAnsi="Times New Roman"/>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360" w:after="0"/>
        <w:jc w:val="left"/>
        <w:rPr>
          <w:rFonts w:ascii="Times New Roman" w:hAnsi="Times New Roman"/>
          <w:i/>
          <w:sz w:val="20"/>
        </w:rPr>
      </w:pPr>
      <w:r>
        <w:rPr>
          <w:rFonts w:ascii="Times New Roman" w:hAnsi="Times New Roman"/>
          <w:i/>
          <w:sz w:val="20"/>
        </w:rPr>
        <w:t xml:space="preserve">Defeasance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we may omit to comply with the covenant described under the heading </w:t>
            </w:r>
            <w:r>
              <w:rPr>
                <w:rFonts w:ascii="Times New Roman" w:hAnsi="Times New Roman"/>
                <w:i/>
                <w:sz w:val="20"/>
              </w:rPr>
              <w:t>Consolidation, Merger and Sale of Assets</w:t>
            </w:r>
            <w:r>
              <w:rPr>
                <w:rFonts w:ascii="Times New Roman" w:hAnsi="Times New Roman"/>
                <w:sz w:val="20"/>
              </w:rPr>
              <w:t xml:space="preserve">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this as covenant defeasance. 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applicable series of debt securities shall have occurred or is continuing on the date of such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480" w:after="0"/>
        <w:jc w:val="center"/>
        <w:rPr>
          <w:rFonts w:ascii="Times New Roman" w:hAnsi="Times New Roman"/>
          <w:b/>
          <w:sz w:val="20"/>
        </w:rPr>
      </w:pPr>
      <w:bookmarkStart w:id="22" w:name="rom768481_8"/>
      <w:bookmarkEnd w:id="2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preferred stock or Class A Common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Class A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or the number of shares of Class A Common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480" w:after="0"/>
        <w:jc w:val="center"/>
        <w:rPr>
          <w:rFonts w:ascii="Times New Roman" w:hAnsi="Times New Roman"/>
          <w:b/>
          <w:sz w:val="20"/>
        </w:rPr>
      </w:pPr>
      <w:bookmarkStart w:id="23" w:name="rom768481_9"/>
      <w:bookmarkEnd w:id="23"/>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rom768481_10"/>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that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names of any selling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other persons acting as agents will not have any responsibility in respect of the validity or performance of delayed delivery contracts.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rom768481_11"/>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Wilson Sonsini Goodrich &amp; Rosati, Professional Corporation, Austin, Texas.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26" w:name="rom768481_12"/>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VPC Impact Acquisition Holdings as of October 14, 2021 and December 31, 2020 and for the period from January 1, 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 </w:t>
      </w:r>
    </w:p>
    <w:p>
      <w:pPr>
        <w:pStyle w:val="TextBody"/>
        <w:bidi w:val="0"/>
        <w:spacing w:before="480" w:after="0"/>
        <w:jc w:val="center"/>
        <w:rPr>
          <w:rFonts w:ascii="Times New Roman" w:hAnsi="Times New Roman"/>
          <w:b/>
          <w:sz w:val="20"/>
        </w:rPr>
      </w:pPr>
      <w:bookmarkStart w:id="27" w:name="rom768481_13"/>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investors.bakkt.com</w:t>
      </w:r>
      <w:r>
        <w:rPr>
          <w:rFonts w:ascii="Times New Roman" w:hAnsi="Times New Roman"/>
          <w:sz w:val="20"/>
        </w:rPr>
        <w:t xml:space="preserve">. Information accessible on or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480" w:after="0"/>
        <w:jc w:val="center"/>
        <w:rPr>
          <w:rFonts w:ascii="Times New Roman" w:hAnsi="Times New Roman"/>
          <w:b/>
          <w:sz w:val="20"/>
        </w:rPr>
      </w:pPr>
      <w:bookmarkStart w:id="28" w:name="rom768481_14"/>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21">
              <w:r>
                <w:rPr>
                  <w:rStyle w:val="InternetLink"/>
                  <w:rFonts w:ascii="Times New Roman" w:hAnsi="Times New Roman"/>
                  <w:sz w:val="20"/>
                </w:rPr>
                <w:t>Annual Report on Form 10-K</w:t>
              </w:r>
            </w:hyperlink>
            <w:r>
              <w:rPr>
                <w:rFonts w:ascii="Times New Roman" w:hAnsi="Times New Roman"/>
                <w:sz w:val="20"/>
              </w:rPr>
              <w:t xml:space="preserve"> for the year ended December 31, 2022, filed with the SEC on March 24, 2023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22">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24, 2023, that are incorporated by reference into our </w:t>
            </w:r>
            <w:hyperlink r:id="rId23">
              <w:r>
                <w:rPr>
                  <w:rStyle w:val="InternetLink"/>
                  <w:rFonts w:ascii="Times New Roman" w:hAnsi="Times New Roman"/>
                  <w:sz w:val="20"/>
                </w:rPr>
                <w:t>Annual Report</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2023 and June 30, 2023, filed with the SEC on </w:t>
            </w:r>
            <w:hyperlink r:id="rId24">
              <w:r>
                <w:rPr>
                  <w:rStyle w:val="InternetLink"/>
                  <w:rFonts w:ascii="Times New Roman" w:hAnsi="Times New Roman"/>
                  <w:sz w:val="20"/>
                </w:rPr>
                <w:t>May  11, 2023</w:t>
              </w:r>
            </w:hyperlink>
            <w:r>
              <w:rPr>
                <w:rFonts w:ascii="Times New Roman" w:hAnsi="Times New Roman"/>
                <w:sz w:val="20"/>
              </w:rPr>
              <w:t xml:space="preserve"> and </w:t>
            </w:r>
            <w:hyperlink r:id="rId25">
              <w:r>
                <w:rPr>
                  <w:rStyle w:val="InternetLink"/>
                  <w:rFonts w:ascii="Times New Roman" w:hAnsi="Times New Roman"/>
                  <w:sz w:val="20"/>
                </w:rPr>
                <w:t>August 10, 2023</w:t>
              </w:r>
            </w:hyperlink>
            <w:r>
              <w:rPr>
                <w:rFonts w:ascii="Times New Roman" w:hAnsi="Times New Roman"/>
                <w:sz w:val="20"/>
              </w:rPr>
              <w:t xml:space="preserve">, respectively, and our Quarterly Report on Form 10-Q for the quarterly period ended September  30, 2023, filed with the SEC on </w:t>
            </w:r>
            <w:hyperlink r:id="rId26">
              <w:r>
                <w:rPr>
                  <w:rStyle w:val="InternetLink"/>
                  <w:rFonts w:ascii="Times New Roman" w:hAnsi="Times New Roman"/>
                  <w:sz w:val="20"/>
                </w:rPr>
                <w:t>November 14, 2023</w:t>
              </w:r>
            </w:hyperlink>
            <w:r>
              <w:rPr>
                <w:rFonts w:ascii="Times New Roman" w:hAnsi="Times New Roman"/>
                <w:sz w:val="20"/>
              </w:rPr>
              <w:t xml:space="preserve">, as amended by our Quarterly Reports on Form 10-Q/A filed with the SEC on </w:t>
            </w:r>
            <w:hyperlink r:id="rId27">
              <w:r>
                <w:rPr>
                  <w:rStyle w:val="InternetLink"/>
                  <w:rFonts w:ascii="Times New Roman" w:hAnsi="Times New Roman"/>
                  <w:sz w:val="20"/>
                </w:rPr>
                <w:t>February  7, 2024</w:t>
              </w:r>
            </w:hyperlink>
            <w:r>
              <w:rPr>
                <w:rFonts w:ascii="Times New Roman" w:hAnsi="Times New Roman"/>
                <w:sz w:val="20"/>
              </w:rPr>
              <w:t xml:space="preserve">, </w:t>
            </w:r>
            <w:hyperlink r:id="rId28">
              <w:r>
                <w:rPr>
                  <w:rStyle w:val="InternetLink"/>
                  <w:rFonts w:ascii="Times New Roman" w:hAnsi="Times New Roman"/>
                  <w:sz w:val="20"/>
                </w:rPr>
                <w:t>February  8, 2024</w:t>
              </w:r>
            </w:hyperlink>
            <w:r>
              <w:rPr>
                <w:rFonts w:ascii="Times New Roman" w:hAnsi="Times New Roman"/>
                <w:sz w:val="20"/>
              </w:rPr>
              <w:t xml:space="preserve"> and </w:t>
            </w:r>
            <w:hyperlink r:id="rId29">
              <w:r>
                <w:rPr>
                  <w:rStyle w:val="InternetLink"/>
                  <w:rFonts w:ascii="Times New Roman" w:hAnsi="Times New Roman"/>
                  <w:sz w:val="20"/>
                </w:rPr>
                <w:t>February 14,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30">
              <w:r>
                <w:rPr>
                  <w:rStyle w:val="InternetLink"/>
                  <w:rFonts w:ascii="Times New Roman" w:hAnsi="Times New Roman"/>
                  <w:sz w:val="20"/>
                </w:rPr>
                <w:t>March  9, 2023</w:t>
              </w:r>
            </w:hyperlink>
            <w:r>
              <w:rPr>
                <w:rFonts w:ascii="Times New Roman" w:hAnsi="Times New Roman"/>
                <w:sz w:val="20"/>
              </w:rPr>
              <w:t xml:space="preserve">, </w:t>
            </w:r>
            <w:hyperlink r:id="rId31">
              <w:r>
                <w:rPr>
                  <w:rStyle w:val="InternetLink"/>
                  <w:rFonts w:ascii="Times New Roman" w:hAnsi="Times New Roman"/>
                  <w:sz w:val="20"/>
                </w:rPr>
                <w:t>April  3, 2023</w:t>
              </w:r>
            </w:hyperlink>
            <w:r>
              <w:rPr>
                <w:rFonts w:ascii="Times New Roman" w:hAnsi="Times New Roman"/>
                <w:sz w:val="20"/>
              </w:rPr>
              <w:t xml:space="preserve">, </w:t>
            </w:r>
            <w:hyperlink r:id="rId32">
              <w:r>
                <w:rPr>
                  <w:rStyle w:val="InternetLink"/>
                  <w:rFonts w:ascii="Times New Roman" w:hAnsi="Times New Roman"/>
                  <w:sz w:val="20"/>
                </w:rPr>
                <w:t>April  19, 2023</w:t>
              </w:r>
            </w:hyperlink>
            <w:r>
              <w:rPr>
                <w:rFonts w:ascii="Times New Roman" w:hAnsi="Times New Roman"/>
                <w:sz w:val="20"/>
              </w:rPr>
              <w:t xml:space="preserve"> and </w:t>
            </w:r>
            <w:hyperlink r:id="rId33">
              <w:r>
                <w:rPr>
                  <w:rStyle w:val="InternetLink"/>
                  <w:rFonts w:ascii="Times New Roman" w:hAnsi="Times New Roman"/>
                  <w:sz w:val="20"/>
                </w:rPr>
                <w:t>June 9, 2023</w:t>
              </w:r>
            </w:hyperlink>
            <w:r>
              <w:rPr>
                <w:rFonts w:ascii="Times New Roman" w:hAnsi="Times New Roman"/>
                <w:sz w:val="20"/>
              </w:rPr>
              <w:t xml:space="preserve"> and on Form 8-K/A filed with the SEC on </w:t>
            </w:r>
            <w:hyperlink r:id="rId34">
              <w:r>
                <w:rPr>
                  <w:rStyle w:val="InternetLink"/>
                  <w:rFonts w:ascii="Times New Roman" w:hAnsi="Times New Roman"/>
                  <w:sz w:val="20"/>
                </w:rPr>
                <w:t>April 5, 2022</w:t>
              </w:r>
            </w:hyperlink>
            <w:r>
              <w:rPr>
                <w:rFonts w:ascii="Times New Roman" w:hAnsi="Times New Roman"/>
                <w:sz w:val="20"/>
              </w:rPr>
              <w:t xml:space="preserve">, </w:t>
            </w:r>
            <w:hyperlink r:id="rId35">
              <w:r>
                <w:rPr>
                  <w:rStyle w:val="InternetLink"/>
                  <w:rFonts w:ascii="Times New Roman" w:hAnsi="Times New Roman"/>
                  <w:sz w:val="20"/>
                </w:rPr>
                <w:t>April  18, 2023</w:t>
              </w:r>
            </w:hyperlink>
            <w:r>
              <w:rPr>
                <w:rFonts w:ascii="Times New Roman" w:hAnsi="Times New Roman"/>
                <w:sz w:val="20"/>
              </w:rPr>
              <w:t xml:space="preserve"> and </w:t>
            </w:r>
            <w:hyperlink r:id="rId36">
              <w:r>
                <w:rPr>
                  <w:rStyle w:val="InternetLink"/>
                  <w:rFonts w:ascii="Times New Roman" w:hAnsi="Times New Roman"/>
                  <w:sz w:val="20"/>
                </w:rPr>
                <w:t>February 14,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securities contained in the Registration Statement on Form 8-A relating thereto, filed on </w:t>
            </w:r>
            <w:hyperlink r:id="rId37">
              <w:r>
                <w:rPr>
                  <w:rStyle w:val="InternetLink"/>
                  <w:rFonts w:ascii="Times New Roman" w:hAnsi="Times New Roman"/>
                  <w:sz w:val="20"/>
                </w:rPr>
                <w:t>October 15, 2021</w:t>
              </w:r>
            </w:hyperlink>
            <w:r>
              <w:rPr>
                <w:rFonts w:ascii="Times New Roman" w:hAnsi="Times New Roman"/>
                <w:sz w:val="20"/>
              </w:rPr>
              <w:t xml:space="preserve">,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10000 Avalon Boulevard, Suite 1000 </w:t>
      </w:r>
    </w:p>
    <w:p>
      <w:pPr>
        <w:pStyle w:val="TextBody"/>
        <w:bidi w:val="0"/>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bidi w:val="0"/>
        <w:spacing w:before="0" w:after="0"/>
        <w:jc w:val="center"/>
        <w:rPr>
          <w:rFonts w:ascii="Times New Roman" w:hAnsi="Times New Roman"/>
          <w:b/>
          <w:sz w:val="20"/>
        </w:rPr>
      </w:pPr>
      <w:r>
        <w:rPr>
          <w:rFonts w:ascii="Times New Roman" w:hAnsi="Times New Roman"/>
          <w:b/>
          <w:sz w:val="20"/>
        </w:rPr>
        <w:t xml:space="preserve">(678) 534-5849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pBdr>
          <w:bottom w:val="single" w:sz="16" w:space="1" w:color="000000"/>
        </w:pBdr>
        <w:bidi w:val="0"/>
        <w:spacing w:lineRule="atLeast" w:line="142" w:before="0" w:after="4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pPr>
      <w:r>
        <w:rPr/>
        <w:drawing>
          <wp:inline distT="0" distB="0" distL="0" distR="0">
            <wp:extent cx="287020" cy="1098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8"/>
                    <a:stretch>
                      <a:fillRect/>
                    </a:stretch>
                  </pic:blipFill>
                  <pic:spPr bwMode="auto">
                    <a:xfrm>
                      <a:off x="0" y="0"/>
                      <a:ext cx="287020" cy="109855"/>
                    </a:xfrm>
                    <a:prstGeom prst="rect">
                      <a:avLst/>
                    </a:prstGeom>
                  </pic:spPr>
                </pic:pic>
              </a:graphicData>
            </a:graphic>
          </wp:inline>
        </w:drawing>
      </w:r>
      <w:r>
        <w:rPr/>
        <w:t xml:space="preserve"> </w:t>
      </w:r>
    </w:p>
    <w:p>
      <w:pPr>
        <w:pStyle w:val="TextBody"/>
        <w:bidi w:val="0"/>
        <w:spacing w:before="960" w:after="0"/>
        <w:jc w:val="center"/>
        <w:rPr>
          <w:rFonts w:ascii="Times New Roman" w:hAnsi="Times New Roman"/>
          <w:b/>
          <w:sz w:val="24"/>
        </w:rPr>
      </w:pPr>
      <w:r>
        <w:rPr>
          <w:rFonts w:ascii="Times New Roman" w:hAnsi="Times New Roman"/>
          <w:b/>
          <w:sz w:val="24"/>
        </w:rPr>
        <w:t xml:space="preserve">30,000,000 Shares of Class A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Pre-Funded Warrants to Purchase up to 16,136,102 Shares of Class A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Class 1 Warrants to Purchase up to 23,068,051 Shares of Class A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Class 2 Warrants to Purchase up to 23,068,051 Shares of Class A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Class A Common Stock Underlying the Pre-Funded Warrants, Class 1 Warrants and Class 2 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0" w:after="0"/>
        <w:jc w:val="center"/>
        <w:rPr>
          <w:rFonts w:ascii="Times New Roman" w:hAnsi="Times New Roman"/>
          <w:b/>
          <w:sz w:val="32"/>
        </w:rPr>
      </w:pPr>
      <w:r>
        <w:rPr>
          <w:rFonts w:ascii="Times New Roman" w:hAnsi="Times New Roman"/>
          <w:b/>
          <w:sz w:val="32"/>
        </w:rPr>
        <w:t xml:space="preserve">Keefe, Bruyette &amp; Woods </w:t>
      </w:r>
    </w:p>
    <w:p>
      <w:pPr>
        <w:pStyle w:val="TextBody"/>
        <w:bidi w:val="0"/>
        <w:spacing w:before="0" w:after="0"/>
        <w:jc w:val="center"/>
        <w:rPr/>
      </w:pPr>
      <w:r>
        <w:rPr/>
        <w:t>           </w:t>
      </w:r>
      <w:r>
        <w:rPr>
          <w:rFonts w:ascii="Times New Roman" w:hAnsi="Times New Roman"/>
          <w:b/>
          <w:i/>
          <w:sz w:val="20"/>
        </w:rPr>
        <w:t xml:space="preserve">A Stifel Company </w:t>
      </w:r>
    </w:p>
    <w:p>
      <w:pPr>
        <w:pStyle w:val="TextBody"/>
        <w:bidi w:val="0"/>
        <w:spacing w:before="360" w:after="0"/>
        <w:jc w:val="center"/>
        <w:rPr>
          <w:rFonts w:ascii="Times New Roman" w:hAnsi="Times New Roman"/>
          <w:b/>
          <w:sz w:val="20"/>
        </w:rPr>
      </w:pPr>
      <w:r>
        <w:rPr>
          <w:rFonts w:ascii="Times New Roman" w:hAnsi="Times New Roman"/>
          <w:b/>
          <w:sz w:val="20"/>
        </w:rPr>
        <w:t xml:space="preserve">February 29,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20302/000182030223000016/bakkt-20221231.htm" TargetMode="External"/><Relationship Id="rId4" Type="http://schemas.openxmlformats.org/officeDocument/2006/relationships/hyperlink" Target="http://www.sec.gov/Archives/edgar/data/1820302/000182030223000043/bakkt-2023proxy41923.htm" TargetMode="External"/><Relationship Id="rId5" Type="http://schemas.openxmlformats.org/officeDocument/2006/relationships/hyperlink" Target="http://www.sec.gov/Archives/edgar/data/1820302/000182030223000062/bakkt-20230331.htm" TargetMode="External"/><Relationship Id="rId6" Type="http://schemas.openxmlformats.org/officeDocument/2006/relationships/hyperlink" Target="http://www.sec.gov/Archives/edgar/data/1820302/000182030223000080/bakkt-20230630.htm" TargetMode="External"/><Relationship Id="rId7" Type="http://schemas.openxmlformats.org/officeDocument/2006/relationships/hyperlink" Target="http://www.sec.gov/Archives/edgar/data/1820302/000182030223000091/bakkt-20230930.htm" TargetMode="External"/><Relationship Id="rId8" Type="http://schemas.openxmlformats.org/officeDocument/2006/relationships/hyperlink" Target="http://www.sec.gov/Archives/edgar/data/1820302/000182030224000011/bakkt-20230930.htm" TargetMode="External"/><Relationship Id="rId9" Type="http://schemas.openxmlformats.org/officeDocument/2006/relationships/hyperlink" Target="http://www.sec.gov/Archives/edgar/data/1820302/000182030224000014/bakkt-20230930.htm" TargetMode="External"/><Relationship Id="rId10" Type="http://schemas.openxmlformats.org/officeDocument/2006/relationships/hyperlink" Target="http://www.sec.gov/Archives/edgar/data/1820302/000182030224000025/bakkt-20230930.htm" TargetMode="External"/><Relationship Id="rId11" Type="http://schemas.openxmlformats.org/officeDocument/2006/relationships/hyperlink" Target="http://www.sec.gov/Archives/edgar/data/1820302/000182030223000006/bakkt-20230309.htm" TargetMode="External"/><Relationship Id="rId12" Type="http://schemas.openxmlformats.org/officeDocument/2006/relationships/hyperlink" Target="http://www.sec.gov/Archives/edgar/data/1820302/000119312523089016/d482123d8k.htm" TargetMode="External"/><Relationship Id="rId13" Type="http://schemas.openxmlformats.org/officeDocument/2006/relationships/hyperlink" Target="http://www.sec.gov/Archives/edgar/data/1820302/000182030223000033/bakkt-20230418.htm" TargetMode="External"/><Relationship Id="rId14" Type="http://schemas.openxmlformats.org/officeDocument/2006/relationships/hyperlink" Target="http://www.sec.gov/Archives/edgar/data/1820302/000182030223000065/bakkt-20230606.htm" TargetMode="External"/><Relationship Id="rId15" Type="http://schemas.openxmlformats.org/officeDocument/2006/relationships/hyperlink" Target="http://www.sec.gov/Archives/edgar/data/1820302/000182030224000031/bakkt-20240229.htm" TargetMode="External"/><Relationship Id="rId16" Type="http://schemas.openxmlformats.org/officeDocument/2006/relationships/hyperlink" Target="http://www.sec.gov/Archives/edgar/data/1820302/000119312522096343/d322705d8ka.htm" TargetMode="External"/><Relationship Id="rId17" Type="http://schemas.openxmlformats.org/officeDocument/2006/relationships/hyperlink" Target="http://www.sec.gov/Archives/edgar/data/1820302/000182030223000030/bakkt-20230401.htm" TargetMode="External"/><Relationship Id="rId18" Type="http://schemas.openxmlformats.org/officeDocument/2006/relationships/hyperlink" Target="http://www.sec.gov/Archives/edgar/data/1820302/000182030224000026/bakkt-20230401.htm" TargetMode="External"/><Relationship Id="rId19" Type="http://schemas.openxmlformats.org/officeDocument/2006/relationships/hyperlink" Target="http://www.sec.gov/Archives/edgar/data/1820302/000119312521299620/d211377d8a12b.htm" TargetMode="External"/><Relationship Id="rId20" Type="http://schemas.openxmlformats.org/officeDocument/2006/relationships/image" Target="media/image2.jpeg"/><Relationship Id="rId21" Type="http://schemas.openxmlformats.org/officeDocument/2006/relationships/hyperlink" Target="http://www.sec.gov/Archives/edgar/data/../../../ix?doc=/Archives/edgar/data/1820302/000182030223000016/bakkt-20221231.htm" TargetMode="External"/><Relationship Id="rId22" Type="http://schemas.openxmlformats.org/officeDocument/2006/relationships/hyperlink" Target="http://www.sec.gov/Archives/edgar/data/1820302/000182030223000043/bakkt-2023proxy41923.htm" TargetMode="External"/><Relationship Id="rId23" Type="http://schemas.openxmlformats.org/officeDocument/2006/relationships/hyperlink" Target="http://www.sec.gov/Archives/edgar/data/1820302/000182030223000016/bakkt-20221231.htm" TargetMode="External"/><Relationship Id="rId24" Type="http://schemas.openxmlformats.org/officeDocument/2006/relationships/hyperlink" Target="http://www.sec.gov/Archives/edgar/data/../../../ix?doc=/Archives/edgar/data/1820302/000182030223000062/bakkt-20230331.htm" TargetMode="External"/><Relationship Id="rId25" Type="http://schemas.openxmlformats.org/officeDocument/2006/relationships/hyperlink" Target="http://www.sec.gov/Archives/edgar/data/../../../ix?doc=/Archives/edgar/data/1820302/000182030223000080/bakkt-20230630.htm" TargetMode="External"/><Relationship Id="rId26" Type="http://schemas.openxmlformats.org/officeDocument/2006/relationships/hyperlink" Target="http://www.sec.gov/Archives/edgar/data/../../../ix?doc=/Archives/edgar/data/1820302/000182030223000091/bakkt-20230930.htm" TargetMode="External"/><Relationship Id="rId27" Type="http://schemas.openxmlformats.org/officeDocument/2006/relationships/hyperlink" Target="http://www.sec.gov/Archives/edgar/data/../../../ix?doc=/Archives/edgar/data/1820302/000182030224000011/bakkt-20230930.htm" TargetMode="External"/><Relationship Id="rId28" Type="http://schemas.openxmlformats.org/officeDocument/2006/relationships/hyperlink" Target="http://www.sec.gov/Archives/edgar/data/../../../ix?doc=/Archives/edgar/data/1820302/000182030224000014/bakkt-20230930.htm" TargetMode="External"/><Relationship Id="rId29" Type="http://schemas.openxmlformats.org/officeDocument/2006/relationships/hyperlink" Target="http://www.sec.gov/Archives/edgar/data/../../../ix?doc=/Archives/edgar/data/1820302/000182030224000025/bakkt-20230930.htm" TargetMode="External"/><Relationship Id="rId30" Type="http://schemas.openxmlformats.org/officeDocument/2006/relationships/hyperlink" Target="http://www.sec.gov/Archives/edgar/data/../../../ix?doc=/Archives/edgar/data/1820302/000182030223000006/bakkt-20230309.htm" TargetMode="External"/><Relationship Id="rId31" Type="http://schemas.openxmlformats.org/officeDocument/2006/relationships/hyperlink" Target="http://www.sec.gov/Archives/edgar/data/../../../ix?doc=/Archives/edgar/data/1820302/000119312523089016/d482123d8k.htm" TargetMode="External"/><Relationship Id="rId32" Type="http://schemas.openxmlformats.org/officeDocument/2006/relationships/hyperlink" Target="http://www.sec.gov/Archives/edgar/data/../../../ix?doc=/Archives/edgar/data/0001820302/000182030223000033/bakkt-20230418.htm" TargetMode="External"/><Relationship Id="rId33" Type="http://schemas.openxmlformats.org/officeDocument/2006/relationships/hyperlink" Target="http://www.sec.gov/Archives/edgar/data/../../../ix?doc=/Archives/edgar/data/1820302/000182030223000065/bakkt-20230606.htm" TargetMode="External"/><Relationship Id="rId34" Type="http://schemas.openxmlformats.org/officeDocument/2006/relationships/hyperlink" Target="http://www.sec.gov/Archives/edgar/data/../../../ix?doc=/Archives/edgar/data/0001820302/000119312522096343/d322705d8ka.htm" TargetMode="External"/><Relationship Id="rId35" Type="http://schemas.openxmlformats.org/officeDocument/2006/relationships/hyperlink" Target="http://www.sec.gov/Archives/edgar/data/../../../ix?doc=/Archives/edgar/data/0001820302/000182030223000030/bakkt-20230401.htm" TargetMode="External"/><Relationship Id="rId36" Type="http://schemas.openxmlformats.org/officeDocument/2006/relationships/hyperlink" Target="http://www.sec.gov/Archives/edgar/data/../../../ix?doc=/Archives/edgar/data/0001820302/000182030224000026/bakkt-20230401.htm" TargetMode="External"/><Relationship Id="rId37" Type="http://schemas.openxmlformats.org/officeDocument/2006/relationships/hyperlink" Target="http://www.sec.gov/Archives/edgar/data/1820302/000119312521299620/d211377d8a12b.htm" TargetMode="External"/><Relationship Id="rId38" Type="http://schemas.openxmlformats.org/officeDocument/2006/relationships/image" Target="media/image1.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24759</Words>
  <Characters>126583</Characters>
  <CharactersWithSpaces>151528</CharactersWithSpaces>
  <Paragraphs>1742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