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451"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Collins Sean Roberts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BAKKT HOLDINGS,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10000 AVALON BOULEVARD, SUITE 1000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ALPHARETTA GA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30009</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Bakkt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BKKT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640" w:type="dxa"/>
            <w:vAlign w:val="bottom"/>
            <w:tcBorders>
              <w:bottom w:val="single" w:sz="8" w:color="0000EE"/>
            </w:tcBorders>
          </w:tcPr>
          <w:p>
            <w:pPr>
              <w:spacing w:after="0"/>
              <w:rPr>
                <w:sz w:val="3"/>
                <w:szCs w:val="3"/>
                <w:color w:val="auto"/>
              </w:rPr>
            </w:pPr>
          </w:p>
        </w:tc>
        <w:tc>
          <w:tcPr>
            <w:tcW w:w="1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640" w:type="dxa"/>
            <w:vAlign w:val="bottom"/>
            <w:tcBorders>
              <w:bottom w:val="single" w:sz="8" w:color="2C2C2C"/>
            </w:tcBorders>
          </w:tcPr>
          <w:p>
            <w:pPr>
              <w:spacing w:after="0"/>
              <w:rPr>
                <w:sz w:val="11"/>
                <w:szCs w:val="11"/>
                <w:color w:val="auto"/>
              </w:rPr>
            </w:pPr>
          </w:p>
        </w:tc>
        <w:tc>
          <w:tcPr>
            <w:tcW w:w="19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8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12/07/2023</w:t>
            </w:r>
          </w:p>
        </w:tc>
        <w:tc>
          <w:tcPr>
            <w:tcW w:w="1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19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451"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2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20"/>
              <w:spacing w:after="0"/>
              <w:rPr>
                <w:sz w:val="20"/>
                <w:szCs w:val="20"/>
                <w:color w:val="auto"/>
              </w:rPr>
            </w:pPr>
            <w:r>
              <w:rPr>
                <w:rFonts w:ascii="Arial" w:cs="Arial" w:eastAsia="Arial" w:hAnsi="Arial"/>
                <w:sz w:val="12"/>
                <w:szCs w:val="12"/>
                <w:b w:val="1"/>
                <w:bCs w:val="1"/>
                <w:color w:val="auto"/>
              </w:rPr>
              <w:t>6. Ownership</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5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 Direct</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520" w:type="dxa"/>
            <w:vAlign w:val="bottom"/>
          </w:tcPr>
          <w:p>
            <w:pPr>
              <w:jc w:val="center"/>
              <w:ind w:left="33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 or</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Indirect (I)</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900" w:type="dxa"/>
            <w:vAlign w:val="bottom"/>
            <w:tcBorders>
              <w:bottom w:val="single" w:sz="8" w:color="808080"/>
            </w:tcBorders>
          </w:tcPr>
          <w:p>
            <w:pPr>
              <w:spacing w:after="0"/>
              <w:rPr>
                <w:sz w:val="13"/>
                <w:szCs w:val="13"/>
                <w:color w:val="auto"/>
              </w:rPr>
            </w:pP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222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900" w:type="dxa"/>
            <w:vAlign w:val="bottom"/>
            <w:tcBorders>
              <w:top w:val="single" w:sz="8" w:color="2C2C2C"/>
            </w:tcBorders>
          </w:tcPr>
          <w:p>
            <w:pPr>
              <w:spacing w:after="0"/>
              <w:rPr>
                <w:sz w:val="7"/>
                <w:szCs w:val="7"/>
                <w:color w:val="auto"/>
              </w:rPr>
            </w:pPr>
          </w:p>
        </w:tc>
        <w:tc>
          <w:tcPr>
            <w:tcW w:w="106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Price</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220" w:type="dxa"/>
            <w:vAlign w:val="bottom"/>
            <w:tcBorders>
              <w:bottom w:val="single" w:sz="8" w:color="2C2C2C"/>
            </w:tcBorders>
          </w:tcPr>
          <w:p>
            <w:pPr>
              <w:spacing w:after="0"/>
              <w:rPr>
                <w:sz w:val="15"/>
                <w:szCs w:val="15"/>
                <w:color w:val="auto"/>
              </w:rPr>
            </w:pPr>
          </w:p>
        </w:tc>
        <w:tc>
          <w:tcPr>
            <w:tcW w:w="15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(D)</w:t>
            </w:r>
          </w:p>
        </w:tc>
        <w:tc>
          <w:tcPr>
            <w:tcW w:w="90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Borders>
              <w:bottom w:val="single" w:sz="8" w:color="2C2C2C"/>
            </w:tcBorders>
          </w:tcPr>
          <w:p>
            <w:pPr>
              <w:spacing w:after="0"/>
              <w:rPr>
                <w:sz w:val="15"/>
                <w:szCs w:val="15"/>
                <w:color w:val="auto"/>
              </w:rPr>
            </w:pPr>
          </w:p>
        </w:tc>
        <w:tc>
          <w:tcPr>
            <w:tcW w:w="108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2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vMerge w:val="restart"/>
          </w:tcPr>
          <w:p>
            <w:pPr>
              <w:jc w:val="center"/>
              <w:ind w:left="337"/>
              <w:spacing w:after="0"/>
              <w:rPr>
                <w:sz w:val="20"/>
                <w:szCs w:val="20"/>
                <w:color w:val="auto"/>
              </w:rPr>
            </w:pPr>
            <w:r>
              <w:rPr>
                <w:rFonts w:ascii="Times New Roman" w:cs="Times New Roman" w:eastAsia="Times New Roman" w:hAnsi="Times New Roman"/>
                <w:sz w:val="17"/>
                <w:szCs w:val="17"/>
                <w:color w:val="0000FF"/>
              </w:rPr>
              <w:t>12/07/2023</w:t>
            </w:r>
          </w:p>
        </w:tc>
        <w:tc>
          <w:tcPr>
            <w:tcW w:w="1120" w:type="dxa"/>
            <w:vAlign w:val="bottom"/>
          </w:tcPr>
          <w:p>
            <w:pPr>
              <w:spacing w:after="0"/>
              <w:rPr>
                <w:sz w:val="21"/>
                <w:szCs w:val="21"/>
                <w:color w:val="auto"/>
              </w:rPr>
            </w:pPr>
          </w:p>
        </w:tc>
        <w:tc>
          <w:tcPr>
            <w:tcW w:w="800" w:type="dxa"/>
            <w:vAlign w:val="bottom"/>
            <w:vMerge w:val="restart"/>
          </w:tcPr>
          <w:p>
            <w:pPr>
              <w:jc w:val="center"/>
              <w:ind w:right="279"/>
              <w:spacing w:after="0"/>
              <w:rPr>
                <w:sz w:val="20"/>
                <w:szCs w:val="20"/>
                <w:color w:val="auto"/>
              </w:rPr>
            </w:pPr>
            <w:r>
              <w:rPr>
                <w:rFonts w:ascii="Times New Roman" w:cs="Times New Roman" w:eastAsia="Times New Roman" w:hAnsi="Times New Roman"/>
                <w:sz w:val="26"/>
                <w:szCs w:val="26"/>
                <w:color w:val="0000FF"/>
                <w:w w:val="91"/>
                <w:vertAlign w:val="subscript"/>
              </w:rPr>
              <w:t>J</w:t>
            </w:r>
            <w:r>
              <w:rPr>
                <w:rFonts w:ascii="Times New Roman" w:cs="Times New Roman" w:eastAsia="Times New Roman" w:hAnsi="Times New Roman"/>
                <w:sz w:val="11"/>
                <w:szCs w:val="11"/>
                <w:color w:val="008000"/>
                <w:w w:val="91"/>
              </w:rPr>
              <w:t>(1)</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2,114,496</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637,447</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220" w:type="dxa"/>
            <w:vAlign w:val="bottom"/>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8"/>
              </w:rPr>
              <w:t>Footnotes</w:t>
            </w:r>
            <w:r>
              <w:rPr>
                <w:rFonts w:ascii="Times New Roman" w:cs="Times New Roman" w:eastAsia="Times New Roman" w:hAnsi="Times New Roman"/>
                <w:sz w:val="22"/>
                <w:szCs w:val="22"/>
                <w:color w:val="008000"/>
                <w:w w:val="98"/>
                <w:vertAlign w:val="superscript"/>
              </w:rPr>
              <w:t>(2)(3)</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220" w:type="dxa"/>
            <w:vAlign w:val="bottom"/>
            <w:tcBorders>
              <w:bottom w:val="single" w:sz="8" w:color="2C2C2C"/>
            </w:tcBorders>
          </w:tcPr>
          <w:p>
            <w:pPr>
              <w:spacing w:after="0"/>
              <w:rPr>
                <w:sz w:val="14"/>
                <w:szCs w:val="14"/>
                <w:color w:val="auto"/>
              </w:rPr>
            </w:pPr>
          </w:p>
        </w:tc>
        <w:tc>
          <w:tcPr>
            <w:tcW w:w="15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2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vMerge w:val="restart"/>
          </w:tcPr>
          <w:p>
            <w:pPr>
              <w:jc w:val="center"/>
              <w:ind w:left="337"/>
              <w:spacing w:after="0"/>
              <w:rPr>
                <w:sz w:val="20"/>
                <w:szCs w:val="20"/>
                <w:color w:val="auto"/>
              </w:rPr>
            </w:pPr>
            <w:r>
              <w:rPr>
                <w:rFonts w:ascii="Times New Roman" w:cs="Times New Roman" w:eastAsia="Times New Roman" w:hAnsi="Times New Roman"/>
                <w:sz w:val="17"/>
                <w:szCs w:val="17"/>
                <w:color w:val="0000FF"/>
              </w:rPr>
              <w:t>12/07/2023</w:t>
            </w:r>
          </w:p>
        </w:tc>
        <w:tc>
          <w:tcPr>
            <w:tcW w:w="1120" w:type="dxa"/>
            <w:vAlign w:val="bottom"/>
          </w:tcPr>
          <w:p>
            <w:pPr>
              <w:spacing w:after="0"/>
              <w:rPr>
                <w:sz w:val="21"/>
                <w:szCs w:val="21"/>
                <w:color w:val="auto"/>
              </w:rPr>
            </w:pPr>
          </w:p>
        </w:tc>
        <w:tc>
          <w:tcPr>
            <w:tcW w:w="800" w:type="dxa"/>
            <w:vAlign w:val="bottom"/>
            <w:vMerge w:val="restart"/>
          </w:tcPr>
          <w:p>
            <w:pPr>
              <w:jc w:val="center"/>
              <w:ind w:right="279"/>
              <w:spacing w:after="0"/>
              <w:rPr>
                <w:sz w:val="20"/>
                <w:szCs w:val="20"/>
                <w:color w:val="auto"/>
              </w:rPr>
            </w:pPr>
            <w:r>
              <w:rPr>
                <w:rFonts w:ascii="Times New Roman" w:cs="Times New Roman" w:eastAsia="Times New Roman" w:hAnsi="Times New Roman"/>
                <w:sz w:val="26"/>
                <w:szCs w:val="26"/>
                <w:color w:val="0000FF"/>
                <w:w w:val="91"/>
                <w:vertAlign w:val="subscript"/>
              </w:rPr>
              <w:t>J</w:t>
            </w:r>
            <w:r>
              <w:rPr>
                <w:rFonts w:ascii="Times New Roman" w:cs="Times New Roman" w:eastAsia="Times New Roman" w:hAnsi="Times New Roman"/>
                <w:sz w:val="11"/>
                <w:szCs w:val="11"/>
                <w:color w:val="008000"/>
                <w:w w:val="91"/>
              </w:rPr>
              <w:t>(4)</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114,810</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41,357</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220" w:type="dxa"/>
            <w:vAlign w:val="bottom"/>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8"/>
              </w:rPr>
              <w:t>Footnotes</w:t>
            </w:r>
            <w:r>
              <w:rPr>
                <w:rFonts w:ascii="Times New Roman" w:cs="Times New Roman" w:eastAsia="Times New Roman" w:hAnsi="Times New Roman"/>
                <w:sz w:val="22"/>
                <w:szCs w:val="22"/>
                <w:color w:val="008000"/>
                <w:w w:val="98"/>
                <w:vertAlign w:val="superscript"/>
              </w:rPr>
              <w:t>(3)(5)</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220" w:type="dxa"/>
            <w:vAlign w:val="bottom"/>
            <w:tcBorders>
              <w:bottom w:val="single" w:sz="8" w:color="2C2C2C"/>
            </w:tcBorders>
          </w:tcPr>
          <w:p>
            <w:pPr>
              <w:spacing w:after="0"/>
              <w:rPr>
                <w:sz w:val="14"/>
                <w:szCs w:val="14"/>
                <w:color w:val="auto"/>
              </w:rPr>
            </w:pPr>
          </w:p>
        </w:tc>
        <w:tc>
          <w:tcPr>
            <w:tcW w:w="15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2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vMerge w:val="restart"/>
          </w:tcPr>
          <w:p>
            <w:pPr>
              <w:jc w:val="center"/>
              <w:ind w:left="337"/>
              <w:spacing w:after="0"/>
              <w:rPr>
                <w:sz w:val="20"/>
                <w:szCs w:val="20"/>
                <w:color w:val="auto"/>
              </w:rPr>
            </w:pPr>
            <w:r>
              <w:rPr>
                <w:rFonts w:ascii="Times New Roman" w:cs="Times New Roman" w:eastAsia="Times New Roman" w:hAnsi="Times New Roman"/>
                <w:sz w:val="17"/>
                <w:szCs w:val="17"/>
                <w:color w:val="0000FF"/>
              </w:rPr>
              <w:t>12/07/2023</w:t>
            </w:r>
          </w:p>
        </w:tc>
        <w:tc>
          <w:tcPr>
            <w:tcW w:w="1120" w:type="dxa"/>
            <w:vAlign w:val="bottom"/>
          </w:tcPr>
          <w:p>
            <w:pPr>
              <w:spacing w:after="0"/>
              <w:rPr>
                <w:sz w:val="21"/>
                <w:szCs w:val="21"/>
                <w:color w:val="auto"/>
              </w:rPr>
            </w:pPr>
          </w:p>
        </w:tc>
        <w:tc>
          <w:tcPr>
            <w:tcW w:w="800" w:type="dxa"/>
            <w:vAlign w:val="bottom"/>
            <w:vMerge w:val="restart"/>
          </w:tcPr>
          <w:p>
            <w:pPr>
              <w:jc w:val="center"/>
              <w:ind w:right="279"/>
              <w:spacing w:after="0"/>
              <w:rPr>
                <w:sz w:val="20"/>
                <w:szCs w:val="20"/>
                <w:color w:val="auto"/>
              </w:rPr>
            </w:pPr>
            <w:r>
              <w:rPr>
                <w:rFonts w:ascii="Times New Roman" w:cs="Times New Roman" w:eastAsia="Times New Roman" w:hAnsi="Times New Roman"/>
                <w:sz w:val="26"/>
                <w:szCs w:val="26"/>
                <w:color w:val="0000FF"/>
                <w:w w:val="91"/>
                <w:vertAlign w:val="subscript"/>
              </w:rPr>
              <w:t>J</w:t>
            </w:r>
            <w:r>
              <w:rPr>
                <w:rFonts w:ascii="Times New Roman" w:cs="Times New Roman" w:eastAsia="Times New Roman" w:hAnsi="Times New Roman"/>
                <w:sz w:val="11"/>
                <w:szCs w:val="11"/>
                <w:color w:val="008000"/>
                <w:w w:val="91"/>
              </w:rPr>
              <w:t>(6)</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448,389</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133,934</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220" w:type="dxa"/>
            <w:vAlign w:val="bottom"/>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8"/>
              </w:rPr>
              <w:t>Footnotes</w:t>
            </w:r>
            <w:r>
              <w:rPr>
                <w:rFonts w:ascii="Times New Roman" w:cs="Times New Roman" w:eastAsia="Times New Roman" w:hAnsi="Times New Roman"/>
                <w:sz w:val="22"/>
                <w:szCs w:val="22"/>
                <w:color w:val="008000"/>
                <w:w w:val="98"/>
                <w:vertAlign w:val="superscript"/>
              </w:rPr>
              <w:t>(3)(7)</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220" w:type="dxa"/>
            <w:vAlign w:val="bottom"/>
            <w:tcBorders>
              <w:bottom w:val="single" w:sz="8" w:color="2C2C2C"/>
            </w:tcBorders>
          </w:tcPr>
          <w:p>
            <w:pPr>
              <w:spacing w:after="0"/>
              <w:rPr>
                <w:sz w:val="14"/>
                <w:szCs w:val="14"/>
                <w:color w:val="auto"/>
              </w:rPr>
            </w:pPr>
          </w:p>
        </w:tc>
        <w:tc>
          <w:tcPr>
            <w:tcW w:w="15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2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vMerge w:val="restart"/>
          </w:tcPr>
          <w:p>
            <w:pPr>
              <w:jc w:val="center"/>
              <w:ind w:left="337"/>
              <w:spacing w:after="0"/>
              <w:rPr>
                <w:sz w:val="20"/>
                <w:szCs w:val="20"/>
                <w:color w:val="auto"/>
              </w:rPr>
            </w:pPr>
            <w:r>
              <w:rPr>
                <w:rFonts w:ascii="Times New Roman" w:cs="Times New Roman" w:eastAsia="Times New Roman" w:hAnsi="Times New Roman"/>
                <w:sz w:val="17"/>
                <w:szCs w:val="17"/>
                <w:color w:val="0000FF"/>
              </w:rPr>
              <w:t>12/07/2023</w:t>
            </w:r>
          </w:p>
        </w:tc>
        <w:tc>
          <w:tcPr>
            <w:tcW w:w="1120" w:type="dxa"/>
            <w:vAlign w:val="bottom"/>
          </w:tcPr>
          <w:p>
            <w:pPr>
              <w:spacing w:after="0"/>
              <w:rPr>
                <w:sz w:val="21"/>
                <w:szCs w:val="21"/>
                <w:color w:val="auto"/>
              </w:rPr>
            </w:pPr>
          </w:p>
        </w:tc>
        <w:tc>
          <w:tcPr>
            <w:tcW w:w="800" w:type="dxa"/>
            <w:vAlign w:val="bottom"/>
            <w:vMerge w:val="restart"/>
          </w:tcPr>
          <w:p>
            <w:pPr>
              <w:jc w:val="center"/>
              <w:ind w:right="279"/>
              <w:spacing w:after="0"/>
              <w:rPr>
                <w:sz w:val="20"/>
                <w:szCs w:val="20"/>
                <w:color w:val="auto"/>
              </w:rPr>
            </w:pPr>
            <w:r>
              <w:rPr>
                <w:rFonts w:ascii="Times New Roman" w:cs="Times New Roman" w:eastAsia="Times New Roman" w:hAnsi="Times New Roman"/>
                <w:sz w:val="13"/>
                <w:szCs w:val="13"/>
                <w:color w:val="0000FF"/>
                <w:w w:val="82"/>
              </w:rPr>
              <w:t>S</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225,236</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1.84</w:t>
            </w:r>
            <w:r>
              <w:rPr>
                <w:rFonts w:ascii="Times New Roman" w:cs="Times New Roman" w:eastAsia="Times New Roman" w:hAnsi="Times New Roman"/>
                <w:sz w:val="22"/>
                <w:szCs w:val="22"/>
                <w:color w:val="008000"/>
                <w:w w:val="92"/>
                <w:vertAlign w:val="superscript"/>
              </w:rPr>
              <w:t>(8)</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412,211</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220" w:type="dxa"/>
            <w:vAlign w:val="bottom"/>
            <w:vMerge w:val="continue"/>
          </w:tcPr>
          <w:p>
            <w:pPr>
              <w:spacing w:after="0"/>
              <w:rPr>
                <w:sz w:val="15"/>
                <w:szCs w:val="15"/>
                <w:color w:val="auto"/>
              </w:rPr>
            </w:pPr>
          </w:p>
        </w:tc>
        <w:tc>
          <w:tcPr>
            <w:tcW w:w="152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8"/>
              </w:rPr>
              <w:t>Footnotes</w:t>
            </w:r>
            <w:r>
              <w:rPr>
                <w:rFonts w:ascii="Times New Roman" w:cs="Times New Roman" w:eastAsia="Times New Roman" w:hAnsi="Times New Roman"/>
                <w:sz w:val="22"/>
                <w:szCs w:val="22"/>
                <w:color w:val="008000"/>
                <w:w w:val="98"/>
                <w:vertAlign w:val="superscript"/>
              </w:rPr>
              <w:t>(2)(3)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220" w:type="dxa"/>
            <w:vAlign w:val="bottom"/>
            <w:tcBorders>
              <w:bottom w:val="single" w:sz="8" w:color="2C2C2C"/>
            </w:tcBorders>
          </w:tcPr>
          <w:p>
            <w:pPr>
              <w:spacing w:after="0"/>
              <w:rPr>
                <w:sz w:val="9"/>
                <w:szCs w:val="9"/>
                <w:color w:val="auto"/>
              </w:rPr>
            </w:pPr>
          </w:p>
        </w:tc>
        <w:tc>
          <w:tcPr>
            <w:tcW w:w="15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2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vMerge w:val="restart"/>
          </w:tcPr>
          <w:p>
            <w:pPr>
              <w:jc w:val="center"/>
              <w:ind w:left="337"/>
              <w:spacing w:after="0"/>
              <w:rPr>
                <w:sz w:val="20"/>
                <w:szCs w:val="20"/>
                <w:color w:val="auto"/>
              </w:rPr>
            </w:pPr>
            <w:r>
              <w:rPr>
                <w:rFonts w:ascii="Times New Roman" w:cs="Times New Roman" w:eastAsia="Times New Roman" w:hAnsi="Times New Roman"/>
                <w:sz w:val="17"/>
                <w:szCs w:val="17"/>
                <w:color w:val="0000FF"/>
              </w:rPr>
              <w:t>12/07/2023</w:t>
            </w:r>
          </w:p>
        </w:tc>
        <w:tc>
          <w:tcPr>
            <w:tcW w:w="1120" w:type="dxa"/>
            <w:vAlign w:val="bottom"/>
          </w:tcPr>
          <w:p>
            <w:pPr>
              <w:spacing w:after="0"/>
              <w:rPr>
                <w:sz w:val="21"/>
                <w:szCs w:val="21"/>
                <w:color w:val="auto"/>
              </w:rPr>
            </w:pPr>
          </w:p>
        </w:tc>
        <w:tc>
          <w:tcPr>
            <w:tcW w:w="800" w:type="dxa"/>
            <w:vAlign w:val="bottom"/>
            <w:vMerge w:val="restart"/>
          </w:tcPr>
          <w:p>
            <w:pPr>
              <w:jc w:val="center"/>
              <w:ind w:right="279"/>
              <w:spacing w:after="0"/>
              <w:rPr>
                <w:sz w:val="20"/>
                <w:szCs w:val="20"/>
                <w:color w:val="auto"/>
              </w:rPr>
            </w:pPr>
            <w:r>
              <w:rPr>
                <w:rFonts w:ascii="Times New Roman" w:cs="Times New Roman" w:eastAsia="Times New Roman" w:hAnsi="Times New Roman"/>
                <w:sz w:val="13"/>
                <w:szCs w:val="13"/>
                <w:color w:val="0000FF"/>
                <w:w w:val="82"/>
              </w:rPr>
              <w:t>S</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12,782</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1.84</w:t>
            </w:r>
            <w:r>
              <w:rPr>
                <w:rFonts w:ascii="Times New Roman" w:cs="Times New Roman" w:eastAsia="Times New Roman" w:hAnsi="Times New Roman"/>
                <w:sz w:val="22"/>
                <w:szCs w:val="22"/>
                <w:color w:val="008000"/>
                <w:w w:val="92"/>
                <w:vertAlign w:val="superscript"/>
              </w:rPr>
              <w:t>(8)</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28,575</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220" w:type="dxa"/>
            <w:vAlign w:val="bottom"/>
            <w:vMerge w:val="continue"/>
          </w:tcPr>
          <w:p>
            <w:pPr>
              <w:spacing w:after="0"/>
              <w:rPr>
                <w:sz w:val="15"/>
                <w:szCs w:val="15"/>
                <w:color w:val="auto"/>
              </w:rPr>
            </w:pPr>
          </w:p>
        </w:tc>
        <w:tc>
          <w:tcPr>
            <w:tcW w:w="152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8"/>
              </w:rPr>
              <w:t>Footnotes</w:t>
            </w:r>
            <w:r>
              <w:rPr>
                <w:rFonts w:ascii="Times New Roman" w:cs="Times New Roman" w:eastAsia="Times New Roman" w:hAnsi="Times New Roman"/>
                <w:sz w:val="22"/>
                <w:szCs w:val="22"/>
                <w:color w:val="008000"/>
                <w:w w:val="98"/>
                <w:vertAlign w:val="superscript"/>
              </w:rPr>
              <w:t>(3)(5)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220" w:type="dxa"/>
            <w:vAlign w:val="bottom"/>
            <w:tcBorders>
              <w:bottom w:val="single" w:sz="8" w:color="2C2C2C"/>
            </w:tcBorders>
          </w:tcPr>
          <w:p>
            <w:pPr>
              <w:spacing w:after="0"/>
              <w:rPr>
                <w:sz w:val="9"/>
                <w:szCs w:val="9"/>
                <w:color w:val="auto"/>
              </w:rPr>
            </w:pPr>
          </w:p>
        </w:tc>
        <w:tc>
          <w:tcPr>
            <w:tcW w:w="15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2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vMerge w:val="restart"/>
          </w:tcPr>
          <w:p>
            <w:pPr>
              <w:jc w:val="center"/>
              <w:ind w:left="337"/>
              <w:spacing w:after="0"/>
              <w:rPr>
                <w:sz w:val="20"/>
                <w:szCs w:val="20"/>
                <w:color w:val="auto"/>
              </w:rPr>
            </w:pPr>
            <w:r>
              <w:rPr>
                <w:rFonts w:ascii="Times New Roman" w:cs="Times New Roman" w:eastAsia="Times New Roman" w:hAnsi="Times New Roman"/>
                <w:sz w:val="17"/>
                <w:szCs w:val="17"/>
                <w:color w:val="0000FF"/>
              </w:rPr>
              <w:t>12/07/2023</w:t>
            </w:r>
          </w:p>
        </w:tc>
        <w:tc>
          <w:tcPr>
            <w:tcW w:w="1120" w:type="dxa"/>
            <w:vAlign w:val="bottom"/>
          </w:tcPr>
          <w:p>
            <w:pPr>
              <w:spacing w:after="0"/>
              <w:rPr>
                <w:sz w:val="21"/>
                <w:szCs w:val="21"/>
                <w:color w:val="auto"/>
              </w:rPr>
            </w:pPr>
          </w:p>
        </w:tc>
        <w:tc>
          <w:tcPr>
            <w:tcW w:w="800" w:type="dxa"/>
            <w:vAlign w:val="bottom"/>
            <w:vMerge w:val="restart"/>
          </w:tcPr>
          <w:p>
            <w:pPr>
              <w:jc w:val="center"/>
              <w:ind w:right="279"/>
              <w:spacing w:after="0"/>
              <w:rPr>
                <w:sz w:val="20"/>
                <w:szCs w:val="20"/>
                <w:color w:val="auto"/>
              </w:rPr>
            </w:pPr>
            <w:r>
              <w:rPr>
                <w:rFonts w:ascii="Times New Roman" w:cs="Times New Roman" w:eastAsia="Times New Roman" w:hAnsi="Times New Roman"/>
                <w:sz w:val="13"/>
                <w:szCs w:val="13"/>
                <w:color w:val="0000FF"/>
                <w:w w:val="82"/>
              </w:rPr>
              <w:t>S</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47,661</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1.84</w:t>
            </w:r>
            <w:r>
              <w:rPr>
                <w:rFonts w:ascii="Times New Roman" w:cs="Times New Roman" w:eastAsia="Times New Roman" w:hAnsi="Times New Roman"/>
                <w:sz w:val="22"/>
                <w:szCs w:val="22"/>
                <w:color w:val="008000"/>
                <w:w w:val="92"/>
                <w:vertAlign w:val="superscript"/>
              </w:rPr>
              <w:t>(8)</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86,273</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220" w:type="dxa"/>
            <w:vAlign w:val="bottom"/>
            <w:vMerge w:val="continue"/>
          </w:tcPr>
          <w:p>
            <w:pPr>
              <w:spacing w:after="0"/>
              <w:rPr>
                <w:sz w:val="15"/>
                <w:szCs w:val="15"/>
                <w:color w:val="auto"/>
              </w:rPr>
            </w:pPr>
          </w:p>
        </w:tc>
        <w:tc>
          <w:tcPr>
            <w:tcW w:w="152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8"/>
              </w:rPr>
              <w:t>Footnotes</w:t>
            </w:r>
            <w:r>
              <w:rPr>
                <w:rFonts w:ascii="Times New Roman" w:cs="Times New Roman" w:eastAsia="Times New Roman" w:hAnsi="Times New Roman"/>
                <w:sz w:val="22"/>
                <w:szCs w:val="22"/>
                <w:color w:val="008000"/>
                <w:w w:val="98"/>
                <w:vertAlign w:val="superscript"/>
              </w:rPr>
              <w:t>(3)(7)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220" w:type="dxa"/>
            <w:vAlign w:val="bottom"/>
            <w:tcBorders>
              <w:bottom w:val="single" w:sz="8" w:color="2C2C2C"/>
            </w:tcBorders>
          </w:tcPr>
          <w:p>
            <w:pPr>
              <w:spacing w:after="0"/>
              <w:rPr>
                <w:sz w:val="9"/>
                <w:szCs w:val="9"/>
                <w:color w:val="auto"/>
              </w:rPr>
            </w:pPr>
          </w:p>
        </w:tc>
        <w:tc>
          <w:tcPr>
            <w:tcW w:w="15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2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tcPr>
          <w:p>
            <w:pPr>
              <w:jc w:val="center"/>
              <w:ind w:left="337"/>
              <w:spacing w:after="0"/>
              <w:rPr>
                <w:sz w:val="20"/>
                <w:szCs w:val="20"/>
                <w:color w:val="auto"/>
              </w:rPr>
            </w:pPr>
            <w:r>
              <w:rPr>
                <w:rFonts w:ascii="Times New Roman" w:cs="Times New Roman" w:eastAsia="Times New Roman" w:hAnsi="Times New Roman"/>
                <w:sz w:val="17"/>
                <w:szCs w:val="17"/>
                <w:color w:val="0000FF"/>
              </w:rPr>
              <w:t>12/07/2023</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26"/>
                <w:szCs w:val="26"/>
                <w:color w:val="0000FF"/>
                <w:w w:val="91"/>
                <w:vertAlign w:val="subscript"/>
              </w:rPr>
              <w:t>J</w:t>
            </w:r>
            <w:r>
              <w:rPr>
                <w:rFonts w:ascii="Times New Roman" w:cs="Times New Roman" w:eastAsia="Times New Roman" w:hAnsi="Times New Roman"/>
                <w:sz w:val="11"/>
                <w:szCs w:val="11"/>
                <w:color w:val="008000"/>
                <w:w w:val="91"/>
              </w:rPr>
              <w:t>(9)</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47,461</w:t>
            </w:r>
          </w:p>
        </w:tc>
        <w:tc>
          <w:tcPr>
            <w:tcW w:w="4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0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2"/>
              </w:rPr>
              <w:t>505,107</w:t>
            </w:r>
            <w:r>
              <w:rPr>
                <w:rFonts w:ascii="Times New Roman" w:cs="Times New Roman" w:eastAsia="Times New Roman" w:hAnsi="Times New Roman"/>
                <w:sz w:val="22"/>
                <w:szCs w:val="22"/>
                <w:color w:val="008000"/>
                <w:w w:val="92"/>
                <w:vertAlign w:val="superscript"/>
              </w:rPr>
              <w:t>(10)</w:t>
            </w: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2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tcPr>
          <w:p>
            <w:pPr>
              <w:jc w:val="center"/>
              <w:ind w:left="337"/>
              <w:spacing w:after="0"/>
              <w:rPr>
                <w:sz w:val="20"/>
                <w:szCs w:val="20"/>
                <w:color w:val="auto"/>
              </w:rPr>
            </w:pPr>
            <w:r>
              <w:rPr>
                <w:rFonts w:ascii="Times New Roman" w:cs="Times New Roman" w:eastAsia="Times New Roman" w:hAnsi="Times New Roman"/>
                <w:sz w:val="17"/>
                <w:szCs w:val="17"/>
                <w:color w:val="0000FF"/>
              </w:rPr>
              <w:t>12/07/2023</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w w:val="82"/>
              </w:rPr>
              <w:t>S</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182,646</w:t>
            </w:r>
          </w:p>
        </w:tc>
        <w:tc>
          <w:tcPr>
            <w:tcW w:w="4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1.8029</w:t>
            </w:r>
            <w:r>
              <w:rPr>
                <w:rFonts w:ascii="Times New Roman" w:cs="Times New Roman" w:eastAsia="Times New Roman" w:hAnsi="Times New Roman"/>
                <w:sz w:val="22"/>
                <w:szCs w:val="22"/>
                <w:color w:val="008000"/>
                <w:w w:val="94"/>
                <w:vertAlign w:val="superscript"/>
              </w:rPr>
              <w:t>(11)</w:t>
            </w:r>
          </w:p>
        </w:tc>
        <w:tc>
          <w:tcPr>
            <w:tcW w:w="10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2"/>
              </w:rPr>
              <w:t>322,461</w:t>
            </w:r>
            <w:r>
              <w:rPr>
                <w:rFonts w:ascii="Times New Roman" w:cs="Times New Roman" w:eastAsia="Times New Roman" w:hAnsi="Times New Roman"/>
                <w:sz w:val="22"/>
                <w:szCs w:val="22"/>
                <w:color w:val="008000"/>
                <w:w w:val="92"/>
                <w:vertAlign w:val="superscript"/>
              </w:rPr>
              <w:t>(10)</w:t>
            </w: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2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vMerge w:val="restart"/>
          </w:tcPr>
          <w:p>
            <w:pPr>
              <w:jc w:val="center"/>
              <w:ind w:left="337"/>
              <w:spacing w:after="0"/>
              <w:rPr>
                <w:sz w:val="20"/>
                <w:szCs w:val="20"/>
                <w:color w:val="auto"/>
              </w:rPr>
            </w:pPr>
            <w:r>
              <w:rPr>
                <w:rFonts w:ascii="Times New Roman" w:cs="Times New Roman" w:eastAsia="Times New Roman" w:hAnsi="Times New Roman"/>
                <w:sz w:val="17"/>
                <w:szCs w:val="17"/>
                <w:color w:val="0000FF"/>
              </w:rPr>
              <w:t>12/08/2023</w:t>
            </w:r>
          </w:p>
        </w:tc>
        <w:tc>
          <w:tcPr>
            <w:tcW w:w="1120" w:type="dxa"/>
            <w:vAlign w:val="bottom"/>
          </w:tcPr>
          <w:p>
            <w:pPr>
              <w:spacing w:after="0"/>
              <w:rPr>
                <w:sz w:val="21"/>
                <w:szCs w:val="21"/>
                <w:color w:val="auto"/>
              </w:rPr>
            </w:pPr>
          </w:p>
        </w:tc>
        <w:tc>
          <w:tcPr>
            <w:tcW w:w="800" w:type="dxa"/>
            <w:vAlign w:val="bottom"/>
            <w:vMerge w:val="restart"/>
          </w:tcPr>
          <w:p>
            <w:pPr>
              <w:jc w:val="center"/>
              <w:ind w:right="279"/>
              <w:spacing w:after="0"/>
              <w:rPr>
                <w:sz w:val="20"/>
                <w:szCs w:val="20"/>
                <w:color w:val="auto"/>
              </w:rPr>
            </w:pPr>
            <w:r>
              <w:rPr>
                <w:rFonts w:ascii="Times New Roman" w:cs="Times New Roman" w:eastAsia="Times New Roman" w:hAnsi="Times New Roman"/>
                <w:sz w:val="13"/>
                <w:szCs w:val="13"/>
                <w:color w:val="0000FF"/>
                <w:w w:val="82"/>
              </w:rPr>
              <w:t>S</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23,939</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1.73</w:t>
            </w:r>
            <w:r>
              <w:rPr>
                <w:rFonts w:ascii="Times New Roman" w:cs="Times New Roman" w:eastAsia="Times New Roman" w:hAnsi="Times New Roman"/>
                <w:sz w:val="22"/>
                <w:szCs w:val="22"/>
                <w:color w:val="008000"/>
                <w:w w:val="91"/>
                <w:vertAlign w:val="superscript"/>
              </w:rPr>
              <w:t>(12)</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4,636</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220" w:type="dxa"/>
            <w:vAlign w:val="bottom"/>
            <w:vMerge w:val="continue"/>
          </w:tcPr>
          <w:p>
            <w:pPr>
              <w:spacing w:after="0"/>
              <w:rPr>
                <w:sz w:val="15"/>
                <w:szCs w:val="15"/>
                <w:color w:val="auto"/>
              </w:rPr>
            </w:pPr>
          </w:p>
        </w:tc>
        <w:tc>
          <w:tcPr>
            <w:tcW w:w="152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8"/>
              </w:rPr>
              <w:t>Footnotes</w:t>
            </w:r>
            <w:r>
              <w:rPr>
                <w:rFonts w:ascii="Times New Roman" w:cs="Times New Roman" w:eastAsia="Times New Roman" w:hAnsi="Times New Roman"/>
                <w:sz w:val="22"/>
                <w:szCs w:val="22"/>
                <w:color w:val="008000"/>
                <w:w w:val="98"/>
                <w:vertAlign w:val="superscript"/>
              </w:rPr>
              <w:t>(3)(5)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220" w:type="dxa"/>
            <w:vAlign w:val="bottom"/>
            <w:tcBorders>
              <w:bottom w:val="single" w:sz="8" w:color="2C2C2C"/>
            </w:tcBorders>
          </w:tcPr>
          <w:p>
            <w:pPr>
              <w:spacing w:after="0"/>
              <w:rPr>
                <w:sz w:val="9"/>
                <w:szCs w:val="9"/>
                <w:color w:val="auto"/>
              </w:rPr>
            </w:pPr>
          </w:p>
        </w:tc>
        <w:tc>
          <w:tcPr>
            <w:tcW w:w="15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2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vMerge w:val="restart"/>
          </w:tcPr>
          <w:p>
            <w:pPr>
              <w:jc w:val="center"/>
              <w:ind w:left="337"/>
              <w:spacing w:after="0"/>
              <w:rPr>
                <w:sz w:val="20"/>
                <w:szCs w:val="20"/>
                <w:color w:val="auto"/>
              </w:rPr>
            </w:pPr>
            <w:r>
              <w:rPr>
                <w:rFonts w:ascii="Times New Roman" w:cs="Times New Roman" w:eastAsia="Times New Roman" w:hAnsi="Times New Roman"/>
                <w:sz w:val="17"/>
                <w:szCs w:val="17"/>
                <w:color w:val="0000FF"/>
              </w:rPr>
              <w:t>12/08/2023</w:t>
            </w:r>
          </w:p>
        </w:tc>
        <w:tc>
          <w:tcPr>
            <w:tcW w:w="1120" w:type="dxa"/>
            <w:vAlign w:val="bottom"/>
          </w:tcPr>
          <w:p>
            <w:pPr>
              <w:spacing w:after="0"/>
              <w:rPr>
                <w:sz w:val="21"/>
                <w:szCs w:val="21"/>
                <w:color w:val="auto"/>
              </w:rPr>
            </w:pPr>
          </w:p>
        </w:tc>
        <w:tc>
          <w:tcPr>
            <w:tcW w:w="800" w:type="dxa"/>
            <w:vAlign w:val="bottom"/>
            <w:vMerge w:val="restart"/>
          </w:tcPr>
          <w:p>
            <w:pPr>
              <w:jc w:val="center"/>
              <w:ind w:right="279"/>
              <w:spacing w:after="0"/>
              <w:rPr>
                <w:sz w:val="20"/>
                <w:szCs w:val="20"/>
                <w:color w:val="auto"/>
              </w:rPr>
            </w:pPr>
            <w:r>
              <w:rPr>
                <w:rFonts w:ascii="Times New Roman" w:cs="Times New Roman" w:eastAsia="Times New Roman" w:hAnsi="Times New Roman"/>
                <w:sz w:val="13"/>
                <w:szCs w:val="13"/>
                <w:color w:val="0000FF"/>
                <w:w w:val="82"/>
              </w:rPr>
              <w:t>S</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36,990</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1.73</w:t>
            </w:r>
            <w:r>
              <w:rPr>
                <w:rFonts w:ascii="Times New Roman" w:cs="Times New Roman" w:eastAsia="Times New Roman" w:hAnsi="Times New Roman"/>
                <w:sz w:val="22"/>
                <w:szCs w:val="22"/>
                <w:color w:val="008000"/>
                <w:w w:val="91"/>
                <w:vertAlign w:val="superscript"/>
              </w:rPr>
              <w:t>(12)</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49,283</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220" w:type="dxa"/>
            <w:vAlign w:val="bottom"/>
            <w:vMerge w:val="continue"/>
          </w:tcPr>
          <w:p>
            <w:pPr>
              <w:spacing w:after="0"/>
              <w:rPr>
                <w:sz w:val="15"/>
                <w:szCs w:val="15"/>
                <w:color w:val="auto"/>
              </w:rPr>
            </w:pPr>
          </w:p>
        </w:tc>
        <w:tc>
          <w:tcPr>
            <w:tcW w:w="152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8"/>
              </w:rPr>
              <w:t>Footnotes</w:t>
            </w:r>
            <w:r>
              <w:rPr>
                <w:rFonts w:ascii="Times New Roman" w:cs="Times New Roman" w:eastAsia="Times New Roman" w:hAnsi="Times New Roman"/>
                <w:sz w:val="22"/>
                <w:szCs w:val="22"/>
                <w:color w:val="008000"/>
                <w:w w:val="98"/>
                <w:vertAlign w:val="superscript"/>
              </w:rPr>
              <w:t>(3)(7)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220" w:type="dxa"/>
            <w:vAlign w:val="bottom"/>
            <w:tcBorders>
              <w:bottom w:val="single" w:sz="8" w:color="2C2C2C"/>
            </w:tcBorders>
          </w:tcPr>
          <w:p>
            <w:pPr>
              <w:spacing w:after="0"/>
              <w:rPr>
                <w:sz w:val="9"/>
                <w:szCs w:val="9"/>
                <w:color w:val="auto"/>
              </w:rPr>
            </w:pPr>
          </w:p>
        </w:tc>
        <w:tc>
          <w:tcPr>
            <w:tcW w:w="15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2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tcPr>
          <w:p>
            <w:pPr>
              <w:jc w:val="center"/>
              <w:ind w:left="337"/>
              <w:spacing w:after="0"/>
              <w:rPr>
                <w:sz w:val="20"/>
                <w:szCs w:val="20"/>
                <w:color w:val="auto"/>
              </w:rPr>
            </w:pPr>
            <w:r>
              <w:rPr>
                <w:rFonts w:ascii="Times New Roman" w:cs="Times New Roman" w:eastAsia="Times New Roman" w:hAnsi="Times New Roman"/>
                <w:sz w:val="17"/>
                <w:szCs w:val="17"/>
                <w:color w:val="0000FF"/>
              </w:rPr>
              <w:t>12/08/2023</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w w:val="82"/>
              </w:rPr>
              <w:t>S</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46,501</w:t>
            </w:r>
          </w:p>
        </w:tc>
        <w:tc>
          <w:tcPr>
            <w:tcW w:w="4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1.7111</w:t>
            </w:r>
            <w:r>
              <w:rPr>
                <w:rFonts w:ascii="Times New Roman" w:cs="Times New Roman" w:eastAsia="Times New Roman" w:hAnsi="Times New Roman"/>
                <w:sz w:val="22"/>
                <w:szCs w:val="22"/>
                <w:color w:val="008000"/>
                <w:w w:val="91"/>
                <w:vertAlign w:val="superscript"/>
              </w:rPr>
              <w:t>(12)</w:t>
            </w:r>
          </w:p>
        </w:tc>
        <w:tc>
          <w:tcPr>
            <w:tcW w:w="10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2"/>
              </w:rPr>
              <w:t>275,960</w:t>
            </w:r>
            <w:r>
              <w:rPr>
                <w:rFonts w:ascii="Times New Roman" w:cs="Times New Roman" w:eastAsia="Times New Roman" w:hAnsi="Times New Roman"/>
                <w:sz w:val="22"/>
                <w:szCs w:val="22"/>
                <w:color w:val="008000"/>
                <w:w w:val="92"/>
                <w:vertAlign w:val="superscript"/>
              </w:rPr>
              <w:t>(10)</w:t>
            </w: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2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vMerge w:val="restart"/>
          </w:tcPr>
          <w:p>
            <w:pPr>
              <w:jc w:val="center"/>
              <w:ind w:left="337"/>
              <w:spacing w:after="0"/>
              <w:rPr>
                <w:sz w:val="20"/>
                <w:szCs w:val="20"/>
                <w:color w:val="auto"/>
              </w:rPr>
            </w:pPr>
            <w:r>
              <w:rPr>
                <w:rFonts w:ascii="Times New Roman" w:cs="Times New Roman" w:eastAsia="Times New Roman" w:hAnsi="Times New Roman"/>
                <w:sz w:val="17"/>
                <w:szCs w:val="17"/>
                <w:color w:val="0000FF"/>
              </w:rPr>
              <w:t>12/11/2023</w:t>
            </w:r>
          </w:p>
        </w:tc>
        <w:tc>
          <w:tcPr>
            <w:tcW w:w="1120" w:type="dxa"/>
            <w:vAlign w:val="bottom"/>
          </w:tcPr>
          <w:p>
            <w:pPr>
              <w:spacing w:after="0"/>
              <w:rPr>
                <w:sz w:val="21"/>
                <w:szCs w:val="21"/>
                <w:color w:val="auto"/>
              </w:rPr>
            </w:pPr>
          </w:p>
        </w:tc>
        <w:tc>
          <w:tcPr>
            <w:tcW w:w="800" w:type="dxa"/>
            <w:vAlign w:val="bottom"/>
            <w:vMerge w:val="restart"/>
          </w:tcPr>
          <w:p>
            <w:pPr>
              <w:jc w:val="center"/>
              <w:ind w:right="279"/>
              <w:spacing w:after="0"/>
              <w:rPr>
                <w:sz w:val="20"/>
                <w:szCs w:val="20"/>
                <w:color w:val="auto"/>
              </w:rPr>
            </w:pPr>
            <w:r>
              <w:rPr>
                <w:rFonts w:ascii="Times New Roman" w:cs="Times New Roman" w:eastAsia="Times New Roman" w:hAnsi="Times New Roman"/>
                <w:sz w:val="26"/>
                <w:szCs w:val="26"/>
                <w:color w:val="0000FF"/>
                <w:w w:val="91"/>
                <w:vertAlign w:val="subscript"/>
              </w:rPr>
              <w:t>J</w:t>
            </w:r>
            <w:r>
              <w:rPr>
                <w:rFonts w:ascii="Times New Roman" w:cs="Times New Roman" w:eastAsia="Times New Roman" w:hAnsi="Times New Roman"/>
                <w:sz w:val="11"/>
                <w:szCs w:val="11"/>
                <w:color w:val="008000"/>
                <w:w w:val="91"/>
              </w:rPr>
              <w:t>(1)</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412,211</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0</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220" w:type="dxa"/>
            <w:vAlign w:val="bottom"/>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8"/>
              </w:rPr>
              <w:t>Footnotes</w:t>
            </w:r>
            <w:r>
              <w:rPr>
                <w:rFonts w:ascii="Times New Roman" w:cs="Times New Roman" w:eastAsia="Times New Roman" w:hAnsi="Times New Roman"/>
                <w:sz w:val="22"/>
                <w:szCs w:val="22"/>
                <w:color w:val="008000"/>
                <w:w w:val="98"/>
                <w:vertAlign w:val="superscript"/>
              </w:rPr>
              <w:t>(2)(3)</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220" w:type="dxa"/>
            <w:vAlign w:val="bottom"/>
            <w:tcBorders>
              <w:bottom w:val="single" w:sz="8" w:color="2C2C2C"/>
            </w:tcBorders>
          </w:tcPr>
          <w:p>
            <w:pPr>
              <w:spacing w:after="0"/>
              <w:rPr>
                <w:sz w:val="14"/>
                <w:szCs w:val="14"/>
                <w:color w:val="auto"/>
              </w:rPr>
            </w:pPr>
          </w:p>
        </w:tc>
        <w:tc>
          <w:tcPr>
            <w:tcW w:w="15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2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vMerge w:val="restart"/>
          </w:tcPr>
          <w:p>
            <w:pPr>
              <w:jc w:val="center"/>
              <w:ind w:left="337"/>
              <w:spacing w:after="0"/>
              <w:rPr>
                <w:sz w:val="20"/>
                <w:szCs w:val="20"/>
                <w:color w:val="auto"/>
              </w:rPr>
            </w:pPr>
            <w:r>
              <w:rPr>
                <w:rFonts w:ascii="Times New Roman" w:cs="Times New Roman" w:eastAsia="Times New Roman" w:hAnsi="Times New Roman"/>
                <w:sz w:val="17"/>
                <w:szCs w:val="17"/>
                <w:color w:val="0000FF"/>
              </w:rPr>
              <w:t>12/11/2023</w:t>
            </w:r>
          </w:p>
        </w:tc>
        <w:tc>
          <w:tcPr>
            <w:tcW w:w="1120" w:type="dxa"/>
            <w:vAlign w:val="bottom"/>
          </w:tcPr>
          <w:p>
            <w:pPr>
              <w:spacing w:after="0"/>
              <w:rPr>
                <w:sz w:val="21"/>
                <w:szCs w:val="21"/>
                <w:color w:val="auto"/>
              </w:rPr>
            </w:pPr>
          </w:p>
        </w:tc>
        <w:tc>
          <w:tcPr>
            <w:tcW w:w="800" w:type="dxa"/>
            <w:vAlign w:val="bottom"/>
            <w:vMerge w:val="restart"/>
          </w:tcPr>
          <w:p>
            <w:pPr>
              <w:jc w:val="center"/>
              <w:ind w:right="279"/>
              <w:spacing w:after="0"/>
              <w:rPr>
                <w:sz w:val="20"/>
                <w:szCs w:val="20"/>
                <w:color w:val="auto"/>
              </w:rPr>
            </w:pPr>
            <w:r>
              <w:rPr>
                <w:rFonts w:ascii="Times New Roman" w:cs="Times New Roman" w:eastAsia="Times New Roman" w:hAnsi="Times New Roman"/>
                <w:sz w:val="26"/>
                <w:szCs w:val="26"/>
                <w:color w:val="0000FF"/>
                <w:w w:val="91"/>
                <w:vertAlign w:val="subscript"/>
              </w:rPr>
              <w:t>J</w:t>
            </w:r>
            <w:r>
              <w:rPr>
                <w:rFonts w:ascii="Times New Roman" w:cs="Times New Roman" w:eastAsia="Times New Roman" w:hAnsi="Times New Roman"/>
                <w:sz w:val="11"/>
                <w:szCs w:val="11"/>
                <w:color w:val="008000"/>
                <w:w w:val="91"/>
              </w:rPr>
              <w:t>(4)</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4,616</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20</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220" w:type="dxa"/>
            <w:vAlign w:val="bottom"/>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8"/>
              </w:rPr>
              <w:t>Footnotes</w:t>
            </w:r>
            <w:r>
              <w:rPr>
                <w:rFonts w:ascii="Times New Roman" w:cs="Times New Roman" w:eastAsia="Times New Roman" w:hAnsi="Times New Roman"/>
                <w:sz w:val="22"/>
                <w:szCs w:val="22"/>
                <w:color w:val="008000"/>
                <w:w w:val="98"/>
                <w:vertAlign w:val="superscript"/>
              </w:rPr>
              <w:t>(3)(5)</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220" w:type="dxa"/>
            <w:vAlign w:val="bottom"/>
            <w:tcBorders>
              <w:bottom w:val="single" w:sz="8" w:color="2C2C2C"/>
            </w:tcBorders>
          </w:tcPr>
          <w:p>
            <w:pPr>
              <w:spacing w:after="0"/>
              <w:rPr>
                <w:sz w:val="14"/>
                <w:szCs w:val="14"/>
                <w:color w:val="auto"/>
              </w:rPr>
            </w:pPr>
          </w:p>
        </w:tc>
        <w:tc>
          <w:tcPr>
            <w:tcW w:w="15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2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vMerge w:val="restart"/>
          </w:tcPr>
          <w:p>
            <w:pPr>
              <w:jc w:val="center"/>
              <w:ind w:left="337"/>
              <w:spacing w:after="0"/>
              <w:rPr>
                <w:sz w:val="20"/>
                <w:szCs w:val="20"/>
                <w:color w:val="auto"/>
              </w:rPr>
            </w:pPr>
            <w:r>
              <w:rPr>
                <w:rFonts w:ascii="Times New Roman" w:cs="Times New Roman" w:eastAsia="Times New Roman" w:hAnsi="Times New Roman"/>
                <w:sz w:val="17"/>
                <w:szCs w:val="17"/>
                <w:color w:val="0000FF"/>
              </w:rPr>
              <w:t>12/11/2023</w:t>
            </w:r>
          </w:p>
        </w:tc>
        <w:tc>
          <w:tcPr>
            <w:tcW w:w="1120" w:type="dxa"/>
            <w:vAlign w:val="bottom"/>
          </w:tcPr>
          <w:p>
            <w:pPr>
              <w:spacing w:after="0"/>
              <w:rPr>
                <w:sz w:val="21"/>
                <w:szCs w:val="21"/>
                <w:color w:val="auto"/>
              </w:rPr>
            </w:pPr>
          </w:p>
        </w:tc>
        <w:tc>
          <w:tcPr>
            <w:tcW w:w="800" w:type="dxa"/>
            <w:vAlign w:val="bottom"/>
            <w:vMerge w:val="restart"/>
          </w:tcPr>
          <w:p>
            <w:pPr>
              <w:jc w:val="center"/>
              <w:ind w:right="279"/>
              <w:spacing w:after="0"/>
              <w:rPr>
                <w:sz w:val="20"/>
                <w:szCs w:val="20"/>
                <w:color w:val="auto"/>
              </w:rPr>
            </w:pPr>
            <w:r>
              <w:rPr>
                <w:rFonts w:ascii="Times New Roman" w:cs="Times New Roman" w:eastAsia="Times New Roman" w:hAnsi="Times New Roman"/>
                <w:sz w:val="26"/>
                <w:szCs w:val="26"/>
                <w:color w:val="0000FF"/>
                <w:w w:val="91"/>
                <w:vertAlign w:val="subscript"/>
              </w:rPr>
              <w:t>J</w:t>
            </w:r>
            <w:r>
              <w:rPr>
                <w:rFonts w:ascii="Times New Roman" w:cs="Times New Roman" w:eastAsia="Times New Roman" w:hAnsi="Times New Roman"/>
                <w:sz w:val="11"/>
                <w:szCs w:val="11"/>
                <w:color w:val="008000"/>
                <w:w w:val="91"/>
              </w:rPr>
              <w:t>(6)</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49,252</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31</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220" w:type="dxa"/>
            <w:vAlign w:val="bottom"/>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8"/>
              </w:rPr>
              <w:t>Footnotes</w:t>
            </w:r>
            <w:r>
              <w:rPr>
                <w:rFonts w:ascii="Times New Roman" w:cs="Times New Roman" w:eastAsia="Times New Roman" w:hAnsi="Times New Roman"/>
                <w:sz w:val="22"/>
                <w:szCs w:val="22"/>
                <w:color w:val="008000"/>
                <w:w w:val="98"/>
                <w:vertAlign w:val="superscript"/>
              </w:rPr>
              <w:t>(3)(7)</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220" w:type="dxa"/>
            <w:vAlign w:val="bottom"/>
            <w:tcBorders>
              <w:bottom w:val="single" w:sz="8" w:color="2C2C2C"/>
            </w:tcBorders>
          </w:tcPr>
          <w:p>
            <w:pPr>
              <w:spacing w:after="0"/>
              <w:rPr>
                <w:sz w:val="14"/>
                <w:szCs w:val="14"/>
                <w:color w:val="auto"/>
              </w:rPr>
            </w:pPr>
          </w:p>
        </w:tc>
        <w:tc>
          <w:tcPr>
            <w:tcW w:w="15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2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tcPr>
          <w:p>
            <w:pPr>
              <w:jc w:val="center"/>
              <w:ind w:left="337"/>
              <w:spacing w:after="0"/>
              <w:rPr>
                <w:sz w:val="20"/>
                <w:szCs w:val="20"/>
                <w:color w:val="auto"/>
              </w:rPr>
            </w:pPr>
            <w:r>
              <w:rPr>
                <w:rFonts w:ascii="Times New Roman" w:cs="Times New Roman" w:eastAsia="Times New Roman" w:hAnsi="Times New Roman"/>
                <w:sz w:val="17"/>
                <w:szCs w:val="17"/>
                <w:color w:val="0000FF"/>
              </w:rPr>
              <w:t>12/11/2023</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26"/>
                <w:szCs w:val="26"/>
                <w:color w:val="0000FF"/>
                <w:w w:val="91"/>
                <w:vertAlign w:val="subscript"/>
              </w:rPr>
              <w:t>J</w:t>
            </w:r>
            <w:r>
              <w:rPr>
                <w:rFonts w:ascii="Times New Roman" w:cs="Times New Roman" w:eastAsia="Times New Roman" w:hAnsi="Times New Roman"/>
                <w:sz w:val="11"/>
                <w:szCs w:val="11"/>
                <w:color w:val="008000"/>
                <w:w w:val="91"/>
              </w:rPr>
              <w:t>(9)</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9,130</w:t>
            </w:r>
          </w:p>
        </w:tc>
        <w:tc>
          <w:tcPr>
            <w:tcW w:w="4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0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2"/>
              </w:rPr>
              <w:t>285,090</w:t>
            </w:r>
            <w:r>
              <w:rPr>
                <w:rFonts w:ascii="Times New Roman" w:cs="Times New Roman" w:eastAsia="Times New Roman" w:hAnsi="Times New Roman"/>
                <w:sz w:val="22"/>
                <w:szCs w:val="22"/>
                <w:color w:val="008000"/>
                <w:w w:val="92"/>
                <w:vertAlign w:val="superscript"/>
              </w:rPr>
              <w:t>(10)</w:t>
            </w: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2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vMerge w:val="restart"/>
          </w:tcPr>
          <w:p>
            <w:pPr>
              <w:jc w:val="center"/>
              <w:ind w:left="337"/>
              <w:spacing w:after="0"/>
              <w:rPr>
                <w:sz w:val="20"/>
                <w:szCs w:val="20"/>
                <w:color w:val="auto"/>
              </w:rPr>
            </w:pPr>
            <w:r>
              <w:rPr>
                <w:rFonts w:ascii="Times New Roman" w:cs="Times New Roman" w:eastAsia="Times New Roman" w:hAnsi="Times New Roman"/>
                <w:sz w:val="17"/>
                <w:szCs w:val="17"/>
                <w:color w:val="0000FF"/>
              </w:rPr>
              <w:t>12/11/2023</w:t>
            </w:r>
          </w:p>
        </w:tc>
        <w:tc>
          <w:tcPr>
            <w:tcW w:w="1120" w:type="dxa"/>
            <w:vAlign w:val="bottom"/>
          </w:tcPr>
          <w:p>
            <w:pPr>
              <w:spacing w:after="0"/>
              <w:rPr>
                <w:sz w:val="21"/>
                <w:szCs w:val="21"/>
                <w:color w:val="auto"/>
              </w:rPr>
            </w:pPr>
          </w:p>
        </w:tc>
        <w:tc>
          <w:tcPr>
            <w:tcW w:w="800" w:type="dxa"/>
            <w:vAlign w:val="bottom"/>
            <w:vMerge w:val="restart"/>
          </w:tcPr>
          <w:p>
            <w:pPr>
              <w:jc w:val="center"/>
              <w:ind w:right="279"/>
              <w:spacing w:after="0"/>
              <w:rPr>
                <w:sz w:val="20"/>
                <w:szCs w:val="20"/>
                <w:color w:val="auto"/>
              </w:rPr>
            </w:pPr>
            <w:r>
              <w:rPr>
                <w:rFonts w:ascii="Times New Roman" w:cs="Times New Roman" w:eastAsia="Times New Roman" w:hAnsi="Times New Roman"/>
                <w:sz w:val="13"/>
                <w:szCs w:val="13"/>
                <w:color w:val="0000FF"/>
                <w:w w:val="82"/>
              </w:rPr>
              <w:t>S</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20</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1.67</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0</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220" w:type="dxa"/>
            <w:vAlign w:val="bottom"/>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8"/>
              </w:rPr>
              <w:t>Footnotes</w:t>
            </w:r>
            <w:r>
              <w:rPr>
                <w:rFonts w:ascii="Times New Roman" w:cs="Times New Roman" w:eastAsia="Times New Roman" w:hAnsi="Times New Roman"/>
                <w:sz w:val="22"/>
                <w:szCs w:val="22"/>
                <w:color w:val="008000"/>
                <w:w w:val="98"/>
                <w:vertAlign w:val="superscript"/>
              </w:rPr>
              <w:t>(3)(5)</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220" w:type="dxa"/>
            <w:vAlign w:val="bottom"/>
            <w:tcBorders>
              <w:bottom w:val="single" w:sz="8" w:color="2C2C2C"/>
            </w:tcBorders>
          </w:tcPr>
          <w:p>
            <w:pPr>
              <w:spacing w:after="0"/>
              <w:rPr>
                <w:sz w:val="14"/>
                <w:szCs w:val="14"/>
                <w:color w:val="auto"/>
              </w:rPr>
            </w:pPr>
          </w:p>
        </w:tc>
        <w:tc>
          <w:tcPr>
            <w:tcW w:w="15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2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vMerge w:val="restart"/>
          </w:tcPr>
          <w:p>
            <w:pPr>
              <w:jc w:val="center"/>
              <w:ind w:left="337"/>
              <w:spacing w:after="0"/>
              <w:rPr>
                <w:sz w:val="20"/>
                <w:szCs w:val="20"/>
                <w:color w:val="auto"/>
              </w:rPr>
            </w:pPr>
            <w:r>
              <w:rPr>
                <w:rFonts w:ascii="Times New Roman" w:cs="Times New Roman" w:eastAsia="Times New Roman" w:hAnsi="Times New Roman"/>
                <w:sz w:val="17"/>
                <w:szCs w:val="17"/>
                <w:color w:val="0000FF"/>
              </w:rPr>
              <w:t>12/11/2023</w:t>
            </w:r>
          </w:p>
        </w:tc>
        <w:tc>
          <w:tcPr>
            <w:tcW w:w="1120" w:type="dxa"/>
            <w:vAlign w:val="bottom"/>
          </w:tcPr>
          <w:p>
            <w:pPr>
              <w:spacing w:after="0"/>
              <w:rPr>
                <w:sz w:val="21"/>
                <w:szCs w:val="21"/>
                <w:color w:val="auto"/>
              </w:rPr>
            </w:pPr>
          </w:p>
        </w:tc>
        <w:tc>
          <w:tcPr>
            <w:tcW w:w="800" w:type="dxa"/>
            <w:vAlign w:val="bottom"/>
            <w:vMerge w:val="restart"/>
          </w:tcPr>
          <w:p>
            <w:pPr>
              <w:jc w:val="center"/>
              <w:ind w:right="279"/>
              <w:spacing w:after="0"/>
              <w:rPr>
                <w:sz w:val="20"/>
                <w:szCs w:val="20"/>
                <w:color w:val="auto"/>
              </w:rPr>
            </w:pPr>
            <w:r>
              <w:rPr>
                <w:rFonts w:ascii="Times New Roman" w:cs="Times New Roman" w:eastAsia="Times New Roman" w:hAnsi="Times New Roman"/>
                <w:sz w:val="13"/>
                <w:szCs w:val="13"/>
                <w:color w:val="0000FF"/>
                <w:w w:val="82"/>
              </w:rPr>
              <w:t>S</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31</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1.67</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0</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220" w:type="dxa"/>
            <w:vAlign w:val="bottom"/>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8"/>
              </w:rPr>
              <w:t>Footnotes</w:t>
            </w:r>
            <w:r>
              <w:rPr>
                <w:rFonts w:ascii="Times New Roman" w:cs="Times New Roman" w:eastAsia="Times New Roman" w:hAnsi="Times New Roman"/>
                <w:sz w:val="22"/>
                <w:szCs w:val="22"/>
                <w:color w:val="008000"/>
                <w:w w:val="98"/>
                <w:vertAlign w:val="superscript"/>
              </w:rPr>
              <w:t>(3)(7)</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20" w:type="dxa"/>
            <w:vAlign w:val="bottom"/>
            <w:tcBorders>
              <w:bottom w:val="single" w:sz="8" w:color="2C2C2C"/>
            </w:tcBorders>
          </w:tcPr>
          <w:p>
            <w:pPr>
              <w:spacing w:after="0"/>
              <w:rPr>
                <w:sz w:val="15"/>
                <w:szCs w:val="15"/>
                <w:color w:val="auto"/>
              </w:rPr>
            </w:pPr>
          </w:p>
        </w:tc>
        <w:tc>
          <w:tcPr>
            <w:tcW w:w="2220" w:type="dxa"/>
            <w:vAlign w:val="bottom"/>
            <w:tcBorders>
              <w:bottom w:val="single" w:sz="8" w:color="2C2C2C"/>
            </w:tcBorders>
          </w:tcPr>
          <w:p>
            <w:pPr>
              <w:spacing w:after="0"/>
              <w:rPr>
                <w:sz w:val="15"/>
                <w:szCs w:val="15"/>
                <w:color w:val="auto"/>
              </w:rPr>
            </w:pPr>
          </w:p>
        </w:tc>
        <w:tc>
          <w:tcPr>
            <w:tcW w:w="15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90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spacing w:after="0"/>
              <w:rPr>
                <w:sz w:val="15"/>
                <w:szCs w:val="15"/>
                <w:color w:val="auto"/>
              </w:rPr>
            </w:pPr>
          </w:p>
        </w:tc>
        <w:tc>
          <w:tcPr>
            <w:tcW w:w="940" w:type="dxa"/>
            <w:vAlign w:val="bottom"/>
            <w:tcBorders>
              <w:bottom w:val="single" w:sz="8" w:color="2C2C2C"/>
            </w:tcBorders>
          </w:tcPr>
          <w:p>
            <w:pPr>
              <w:spacing w:after="0"/>
              <w:rPr>
                <w:sz w:val="15"/>
                <w:szCs w:val="15"/>
                <w:color w:val="auto"/>
              </w:rPr>
            </w:pPr>
          </w:p>
        </w:tc>
        <w:tc>
          <w:tcPr>
            <w:tcW w:w="1080" w:type="dxa"/>
            <w:vAlign w:val="bottom"/>
            <w:tcBorders>
              <w:bottom w:val="single" w:sz="8" w:color="2C2C2C"/>
            </w:tcBorders>
            <w:vMerge w:val="continue"/>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220" w:type="dxa"/>
            <w:vAlign w:val="bottom"/>
            <w:tcBorders>
              <w:top w:val="single" w:sz="8" w:color="808080"/>
            </w:tcBorders>
            <w:shd w:val="clear" w:color="auto" w:fill="2C2C2C"/>
          </w:tcPr>
          <w:p>
            <w:pPr>
              <w:spacing w:after="0" w:line="20" w:lineRule="exact"/>
              <w:rPr>
                <w:sz w:val="1"/>
                <w:szCs w:val="1"/>
                <w:color w:val="auto"/>
              </w:rPr>
            </w:pPr>
          </w:p>
        </w:tc>
        <w:tc>
          <w:tcPr>
            <w:tcW w:w="152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460" w:type="dxa"/>
            <w:vAlign w:val="bottom"/>
            <w:tcBorders>
              <w:top w:val="single" w:sz="8" w:color="808080"/>
            </w:tcBorders>
            <w:shd w:val="clear" w:color="auto" w:fill="2C2C2C"/>
          </w:tcPr>
          <w:p>
            <w:pPr>
              <w:spacing w:after="0" w:line="20" w:lineRule="exact"/>
              <w:rPr>
                <w:sz w:val="1"/>
                <w:szCs w:val="1"/>
                <w:color w:val="auto"/>
              </w:rPr>
            </w:pPr>
          </w:p>
        </w:tc>
        <w:tc>
          <w:tcPr>
            <w:tcW w:w="900" w:type="dxa"/>
            <w:vAlign w:val="bottom"/>
            <w:tcBorders>
              <w:top w:val="single" w:sz="8" w:color="808080"/>
            </w:tcBorders>
            <w:shd w:val="clear" w:color="auto" w:fill="2C2C2C"/>
          </w:tcPr>
          <w:p>
            <w:pPr>
              <w:spacing w:after="0" w:line="20" w:lineRule="exact"/>
              <w:rPr>
                <w:sz w:val="1"/>
                <w:szCs w:val="1"/>
                <w:color w:val="auto"/>
              </w:rPr>
            </w:pPr>
          </w:p>
        </w:tc>
        <w:tc>
          <w:tcPr>
            <w:tcW w:w="106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ectPr>
          <w:pgSz w:w="11900" w:h="16838" w:orient="portrait"/>
          <w:cols w:equalWidth="0" w:num="1">
            <w:col w:w="11080"/>
          </w:cols>
          <w:pgMar w:left="460" w:top="219" w:right="359" w:bottom="451"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240" w:type="dxa"/>
            <w:vAlign w:val="bottom"/>
          </w:tcPr>
          <w:p>
            <w:pPr>
              <w:spacing w:after="0"/>
              <w:rPr>
                <w:sz w:val="12"/>
                <w:szCs w:val="12"/>
                <w:color w:val="auto"/>
              </w:rPr>
            </w:pP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 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12"/>
                <w:szCs w:val="12"/>
                <w:color w:val="auto"/>
              </w:rPr>
            </w:pP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53"/>
        </w:trPr>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120" w:type="dxa"/>
            <w:vAlign w:val="bottom"/>
            <w:gridSpan w:val="14"/>
          </w:tcPr>
          <w:p>
            <w:pPr>
              <w:jc w:val="center"/>
              <w:ind w:right="821"/>
              <w:spacing w:after="0" w:line="54" w:lineRule="exact"/>
              <w:rPr>
                <w:sz w:val="20"/>
                <w:szCs w:val="20"/>
                <w:color w:val="auto"/>
              </w:rPr>
            </w:pPr>
            <w:r>
              <w:rPr>
                <w:rFonts w:ascii="Arial" w:cs="Arial" w:eastAsia="Arial" w:hAnsi="Arial"/>
                <w:sz w:val="6"/>
                <w:szCs w:val="6"/>
                <w:b w:val="1"/>
                <w:bCs w:val="1"/>
                <w:color w:val="auto"/>
              </w:rPr>
              <w:t>Table II - Derivative Securities Acquired, Disposed of, or Beneficially Owned</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80"/>
        </w:trPr>
        <w:tc>
          <w:tcPr>
            <w:tcW w:w="74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gridSpan w:val="2"/>
          </w:tcPr>
          <w:p>
            <w:pPr>
              <w:ind w:left="60"/>
              <w:spacing w:after="0" w:line="80" w:lineRule="exact"/>
              <w:rPr>
                <w:sz w:val="20"/>
                <w:szCs w:val="20"/>
                <w:color w:val="auto"/>
              </w:rPr>
            </w:pPr>
            <w:r>
              <w:rPr>
                <w:rFonts w:ascii="Arial" w:cs="Arial" w:eastAsia="Arial" w:hAnsi="Arial"/>
                <w:sz w:val="8"/>
                <w:szCs w:val="8"/>
                <w:b w:val="1"/>
                <w:bCs w:val="1"/>
                <w:color w:val="auto"/>
              </w:rPr>
              <w:t>Execution Date,</w:t>
            </w:r>
          </w:p>
        </w:tc>
        <w:tc>
          <w:tcPr>
            <w:tcW w:w="820" w:type="dxa"/>
            <w:vAlign w:val="bottom"/>
            <w:gridSpan w:val="2"/>
          </w:tcPr>
          <w:p>
            <w:pPr>
              <w:ind w:left="60"/>
              <w:spacing w:after="0" w:line="80" w:lineRule="exact"/>
              <w:rPr>
                <w:sz w:val="20"/>
                <w:szCs w:val="20"/>
                <w:color w:val="auto"/>
              </w:rPr>
            </w:pPr>
            <w:r>
              <w:rPr>
                <w:rFonts w:ascii="Arial" w:cs="Arial" w:eastAsia="Arial" w:hAnsi="Arial"/>
                <w:sz w:val="8"/>
                <w:szCs w:val="8"/>
                <w:b w:val="1"/>
                <w:bCs w:val="1"/>
                <w:color w:val="auto"/>
              </w:rPr>
              <w:t>Transaction</w:t>
            </w:r>
          </w:p>
        </w:tc>
        <w:tc>
          <w:tcPr>
            <w:tcW w:w="44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of</w:t>
            </w:r>
          </w:p>
        </w:tc>
        <w:tc>
          <w:tcPr>
            <w:tcW w:w="300" w:type="dxa"/>
            <w:vAlign w:val="bottom"/>
          </w:tcPr>
          <w:p>
            <w:pPr>
              <w:spacing w:after="0"/>
              <w:rPr>
                <w:sz w:val="6"/>
                <w:szCs w:val="6"/>
                <w:color w:val="auto"/>
              </w:rPr>
            </w:pPr>
          </w:p>
        </w:tc>
        <w:tc>
          <w:tcPr>
            <w:tcW w:w="1540" w:type="dxa"/>
            <w:vAlign w:val="bottom"/>
            <w:gridSpan w:val="2"/>
          </w:tcPr>
          <w:p>
            <w:pPr>
              <w:ind w:left="60"/>
              <w:spacing w:after="0" w:line="80" w:lineRule="exact"/>
              <w:rPr>
                <w:sz w:val="20"/>
                <w:szCs w:val="20"/>
                <w:color w:val="auto"/>
              </w:rPr>
            </w:pPr>
            <w:r>
              <w:rPr>
                <w:rFonts w:ascii="Arial" w:cs="Arial" w:eastAsia="Arial" w:hAnsi="Arial"/>
                <w:sz w:val="8"/>
                <w:szCs w:val="8"/>
                <w:b w:val="1"/>
                <w:bCs w:val="1"/>
                <w:color w:val="auto"/>
              </w:rPr>
              <w:t>Expiration Date</w:t>
            </w:r>
          </w:p>
        </w:tc>
        <w:tc>
          <w:tcPr>
            <w:tcW w:w="1060" w:type="dxa"/>
            <w:vAlign w:val="bottom"/>
            <w:gridSpan w:val="3"/>
          </w:tcPr>
          <w:p>
            <w:pPr>
              <w:ind w:left="60"/>
              <w:spacing w:after="0" w:line="80" w:lineRule="exact"/>
              <w:rPr>
                <w:sz w:val="20"/>
                <w:szCs w:val="20"/>
                <w:color w:val="auto"/>
              </w:rPr>
            </w:pPr>
            <w:r>
              <w:rPr>
                <w:rFonts w:ascii="Arial" w:cs="Arial" w:eastAsia="Arial" w:hAnsi="Arial"/>
                <w:sz w:val="8"/>
                <w:szCs w:val="8"/>
                <w:b w:val="1"/>
                <w:bCs w:val="1"/>
                <w:color w:val="auto"/>
              </w:rPr>
              <w:t>Amount of</w:t>
            </w:r>
          </w:p>
        </w:tc>
        <w:tc>
          <w:tcPr>
            <w:tcW w:w="640" w:type="dxa"/>
            <w:vAlign w:val="bottom"/>
          </w:tcPr>
          <w:p>
            <w:pPr>
              <w:spacing w:after="0" w:line="80" w:lineRule="exact"/>
              <w:rPr>
                <w:sz w:val="20"/>
                <w:szCs w:val="20"/>
                <w:color w:val="auto"/>
              </w:rPr>
            </w:pPr>
            <w:r>
              <w:rPr>
                <w:rFonts w:ascii="Arial" w:cs="Arial" w:eastAsia="Arial" w:hAnsi="Arial"/>
                <w:sz w:val="8"/>
                <w:szCs w:val="8"/>
                <w:b w:val="1"/>
                <w:bCs w:val="1"/>
                <w:color w:val="auto"/>
              </w:rPr>
              <w:t>Derivative</w:t>
            </w:r>
          </w:p>
        </w:tc>
        <w:tc>
          <w:tcPr>
            <w:tcW w:w="96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derivative</w:t>
            </w:r>
          </w:p>
        </w:tc>
        <w:tc>
          <w:tcPr>
            <w:tcW w:w="76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740" w:type="dxa"/>
            <w:vAlign w:val="bottom"/>
          </w:tcPr>
          <w:p>
            <w:pPr>
              <w:ind w:left="80"/>
              <w:spacing w:after="0"/>
              <w:rPr>
                <w:sz w:val="20"/>
                <w:szCs w:val="20"/>
                <w:color w:val="auto"/>
              </w:rPr>
            </w:pPr>
            <w:r>
              <w:rPr>
                <w:rFonts w:ascii="Arial" w:cs="Arial" w:eastAsia="Arial" w:hAnsi="Arial"/>
                <w:sz w:val="2"/>
                <w:szCs w:val="2"/>
                <w:b w:val="1"/>
                <w:bCs w:val="1"/>
                <w:color w:val="auto"/>
              </w:rPr>
              <w:t>Security</w:t>
            </w:r>
          </w:p>
        </w:tc>
        <w:tc>
          <w:tcPr>
            <w:tcW w:w="800" w:type="dxa"/>
            <w:vAlign w:val="bottom"/>
          </w:tcPr>
          <w:p>
            <w:pPr>
              <w:ind w:left="60"/>
              <w:spacing w:after="0"/>
              <w:rPr>
                <w:sz w:val="20"/>
                <w:szCs w:val="20"/>
                <w:color w:val="auto"/>
              </w:rPr>
            </w:pPr>
            <w:r>
              <w:rPr>
                <w:rFonts w:ascii="Arial" w:cs="Arial" w:eastAsia="Arial" w:hAnsi="Arial"/>
                <w:sz w:val="2"/>
                <w:szCs w:val="2"/>
                <w:b w:val="1"/>
                <w:bCs w:val="1"/>
                <w:color w:val="auto"/>
              </w:rPr>
              <w:t>or Exercise</w:t>
            </w:r>
          </w:p>
        </w:tc>
        <w:tc>
          <w:tcPr>
            <w:tcW w:w="1120" w:type="dxa"/>
            <w:vAlign w:val="bottom"/>
            <w:gridSpan w:val="2"/>
          </w:tcPr>
          <w:p>
            <w:pPr>
              <w:ind w:left="60"/>
              <w:spacing w:after="0"/>
              <w:rPr>
                <w:sz w:val="20"/>
                <w:szCs w:val="20"/>
                <w:color w:val="auto"/>
              </w:rPr>
            </w:pPr>
            <w:r>
              <w:rPr>
                <w:rFonts w:ascii="Arial" w:cs="Arial" w:eastAsia="Arial" w:hAnsi="Arial"/>
                <w:sz w:val="2"/>
                <w:szCs w:val="2"/>
                <w:b w:val="1"/>
                <w:bCs w:val="1"/>
                <w:color w:val="auto"/>
              </w:rPr>
              <w:t>(Month/Day/Year)</w:t>
            </w:r>
          </w:p>
        </w:tc>
        <w:tc>
          <w:tcPr>
            <w:tcW w:w="440" w:type="dxa"/>
            <w:vAlign w:val="bottom"/>
          </w:tcPr>
          <w:p>
            <w:pPr>
              <w:ind w:left="60"/>
              <w:spacing w:after="0"/>
              <w:rPr>
                <w:sz w:val="20"/>
                <w:szCs w:val="20"/>
                <w:color w:val="auto"/>
              </w:rPr>
            </w:pPr>
            <w:r>
              <w:rPr>
                <w:rFonts w:ascii="Arial" w:cs="Arial" w:eastAsia="Arial" w:hAnsi="Arial"/>
                <w:sz w:val="2"/>
                <w:szCs w:val="2"/>
                <w:b w:val="1"/>
                <w:bCs w:val="1"/>
                <w:color w:val="auto"/>
              </w:rPr>
              <w:t>if any</w:t>
            </w:r>
          </w:p>
        </w:tc>
        <w:tc>
          <w:tcPr>
            <w:tcW w:w="4840" w:type="dxa"/>
            <w:vAlign w:val="bottom"/>
            <w:gridSpan w:val="10"/>
          </w:tcPr>
          <w:p>
            <w:pPr>
              <w:jc w:val="center"/>
              <w:ind w:left="49"/>
              <w:spacing w:after="0"/>
              <w:rPr>
                <w:sz w:val="20"/>
                <w:szCs w:val="20"/>
                <w:color w:val="auto"/>
              </w:rPr>
            </w:pPr>
            <w:r>
              <w:rPr>
                <w:rFonts w:ascii="Arial" w:cs="Arial" w:eastAsia="Arial" w:hAnsi="Arial"/>
                <w:sz w:val="2"/>
                <w:szCs w:val="2"/>
                <w:b w:val="1"/>
                <w:bCs w:val="1"/>
                <w:color w:val="auto"/>
              </w:rPr>
              <w:t>(e.g., puts, calls, warrants, options, convertible securities)</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Security</w:t>
            </w: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Securities</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Form:</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line="20" w:lineRule="exact"/>
              <w:rPr>
                <w:sz w:val="1"/>
                <w:szCs w:val="1"/>
                <w:color w:val="auto"/>
              </w:rPr>
            </w:pPr>
          </w:p>
        </w:tc>
      </w:tr>
      <w:tr>
        <w:trPr>
          <w:trHeight w:val="121"/>
        </w:trPr>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21" w:lineRule="exact"/>
              <w:rPr>
                <w:sz w:val="20"/>
                <w:szCs w:val="20"/>
                <w:color w:val="auto"/>
              </w:rPr>
            </w:pPr>
            <w:r>
              <w:rPr>
                <w:rFonts w:ascii="Arial" w:cs="Arial" w:eastAsia="Arial" w:hAnsi="Arial"/>
                <w:sz w:val="12"/>
                <w:szCs w:val="12"/>
                <w:b w:val="1"/>
                <w:bCs w:val="1"/>
                <w:color w:val="auto"/>
              </w:rPr>
              <w:t>Securities</w:t>
            </w:r>
          </w:p>
        </w:tc>
        <w:tc>
          <w:tcPr>
            <w:tcW w:w="6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line="121" w:lineRule="exact"/>
              <w:rPr>
                <w:sz w:val="20"/>
                <w:szCs w:val="20"/>
                <w:color w:val="auto"/>
              </w:rPr>
            </w:pPr>
            <w:r>
              <w:rPr>
                <w:rFonts w:ascii="Arial" w:cs="Arial" w:eastAsia="Arial" w:hAnsi="Arial"/>
                <w:sz w:val="12"/>
                <w:szCs w:val="12"/>
                <w:b w:val="1"/>
                <w:bCs w:val="1"/>
                <w:color w:val="auto"/>
                <w:w w:val="98"/>
              </w:rPr>
              <w:t>3. Transaction</w:t>
            </w:r>
          </w:p>
        </w:tc>
        <w:tc>
          <w:tcPr>
            <w:tcW w:w="240" w:type="dxa"/>
            <w:vAlign w:val="bottom"/>
          </w:tcPr>
          <w:p>
            <w:pPr>
              <w:spacing w:after="0"/>
              <w:rPr>
                <w:sz w:val="10"/>
                <w:szCs w:val="10"/>
                <w:color w:val="auto"/>
              </w:rPr>
            </w:pPr>
          </w:p>
        </w:tc>
        <w:tc>
          <w:tcPr>
            <w:tcW w:w="112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10"/>
                <w:szCs w:val="10"/>
                <w:color w:val="auto"/>
              </w:rPr>
            </w:pPr>
          </w:p>
        </w:tc>
        <w:tc>
          <w:tcPr>
            <w:tcW w:w="740" w:type="dxa"/>
            <w:vAlign w:val="bottom"/>
            <w:gridSpan w:val="2"/>
          </w:tcPr>
          <w:p>
            <w:pPr>
              <w:ind w:left="80"/>
              <w:spacing w:after="0" w:line="121" w:lineRule="exact"/>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6. Date Exercisable and</w:t>
            </w:r>
          </w:p>
        </w:tc>
        <w:tc>
          <w:tcPr>
            <w:tcW w:w="98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7. Title and</w:t>
            </w:r>
          </w:p>
        </w:tc>
        <w:tc>
          <w:tcPr>
            <w:tcW w:w="80" w:type="dxa"/>
            <w:vAlign w:val="bottom"/>
          </w:tcPr>
          <w:p>
            <w:pPr>
              <w:spacing w:after="0"/>
              <w:rPr>
                <w:sz w:val="10"/>
                <w:szCs w:val="10"/>
                <w:color w:val="auto"/>
              </w:rPr>
            </w:pPr>
          </w:p>
        </w:tc>
        <w:tc>
          <w:tcPr>
            <w:tcW w:w="640" w:type="dxa"/>
            <w:vAlign w:val="bottom"/>
          </w:tcPr>
          <w:p>
            <w:pPr>
              <w:spacing w:after="0" w:line="121" w:lineRule="exact"/>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07"/>
        </w:trPr>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240" w:type="dxa"/>
            <w:vAlign w:val="bottom"/>
          </w:tcPr>
          <w:p>
            <w:pPr>
              <w:spacing w:after="0"/>
              <w:rPr>
                <w:sz w:val="9"/>
                <w:szCs w:val="9"/>
                <w:color w:val="auto"/>
              </w:rPr>
            </w:pPr>
          </w:p>
        </w:tc>
        <w:tc>
          <w:tcPr>
            <w:tcW w:w="11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9"/>
                <w:szCs w:val="9"/>
                <w:color w:val="auto"/>
              </w:rPr>
            </w:pPr>
          </w:p>
        </w:tc>
        <w:tc>
          <w:tcPr>
            <w:tcW w:w="154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380" w:type="dxa"/>
            <w:vAlign w:val="bottom"/>
          </w:tcPr>
          <w:p>
            <w:pPr>
              <w:spacing w:after="0"/>
              <w:rPr>
                <w:sz w:val="9"/>
                <w:szCs w:val="9"/>
                <w:color w:val="auto"/>
              </w:rPr>
            </w:pPr>
          </w:p>
        </w:tc>
        <w:tc>
          <w:tcPr>
            <w:tcW w:w="680" w:type="dxa"/>
            <w:vAlign w:val="bottom"/>
            <w:gridSpan w:val="2"/>
          </w:tcPr>
          <w:p>
            <w:pPr>
              <w:ind w:left="80"/>
              <w:spacing w:after="0" w:line="107" w:lineRule="exact"/>
              <w:rPr>
                <w:sz w:val="20"/>
                <w:szCs w:val="20"/>
                <w:color w:val="auto"/>
              </w:rPr>
            </w:pPr>
            <w:r>
              <w:rPr>
                <w:rFonts w:ascii="Arial" w:cs="Arial" w:eastAsia="Arial" w:hAnsi="Arial"/>
                <w:sz w:val="12"/>
                <w:szCs w:val="12"/>
                <w:b w:val="1"/>
                <w:bCs w:val="1"/>
                <w:color w:val="auto"/>
              </w:rPr>
              <w:t>Amount</w:t>
            </w:r>
          </w:p>
        </w:tc>
        <w:tc>
          <w:tcPr>
            <w:tcW w:w="64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27"/>
        </w:trPr>
        <w:tc>
          <w:tcPr>
            <w:tcW w:w="74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88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44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gridSpan w:val="2"/>
            <w:vMerge w:val="continue"/>
          </w:tcPr>
          <w:p>
            <w:pPr>
              <w:spacing w:after="0"/>
              <w:rPr>
                <w:sz w:val="2"/>
                <w:szCs w:val="2"/>
                <w:color w:val="auto"/>
              </w:rPr>
            </w:pPr>
          </w:p>
        </w:tc>
        <w:tc>
          <w:tcPr>
            <w:tcW w:w="1060" w:type="dxa"/>
            <w:vAlign w:val="bottom"/>
            <w:gridSpan w:val="3"/>
          </w:tcPr>
          <w:p>
            <w:pPr>
              <w:ind w:left="60"/>
              <w:spacing w:after="0"/>
              <w:rPr>
                <w:sz w:val="20"/>
                <w:szCs w:val="20"/>
                <w:color w:val="auto"/>
              </w:rPr>
            </w:pPr>
            <w:r>
              <w:rPr>
                <w:rFonts w:ascii="Arial" w:cs="Arial" w:eastAsia="Arial" w:hAnsi="Arial"/>
                <w:sz w:val="2"/>
                <w:szCs w:val="2"/>
                <w:b w:val="1"/>
                <w:bCs w:val="1"/>
                <w:color w:val="auto"/>
              </w:rPr>
              <w:t>Amount of</w:t>
            </w:r>
          </w:p>
        </w:tc>
        <w:tc>
          <w:tcPr>
            <w:tcW w:w="640" w:type="dxa"/>
            <w:vAlign w:val="bottom"/>
            <w:vMerge w:val="continue"/>
          </w:tcPr>
          <w:p>
            <w:pPr>
              <w:spacing w:after="0"/>
              <w:rPr>
                <w:sz w:val="2"/>
                <w:szCs w:val="2"/>
                <w:color w:val="auto"/>
              </w:rPr>
            </w:pPr>
          </w:p>
        </w:tc>
        <w:tc>
          <w:tcPr>
            <w:tcW w:w="96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7"/>
        </w:trPr>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9"/>
                <w:szCs w:val="9"/>
                <w:color w:val="auto"/>
              </w:rPr>
            </w:pPr>
          </w:p>
        </w:tc>
        <w:tc>
          <w:tcPr>
            <w:tcW w:w="8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rPr>
                <w:sz w:val="9"/>
                <w:szCs w:val="9"/>
                <w:color w:val="auto"/>
              </w:rPr>
            </w:pPr>
          </w:p>
        </w:tc>
        <w:tc>
          <w:tcPr>
            <w:tcW w:w="680" w:type="dxa"/>
            <w:vAlign w:val="bottom"/>
            <w:gridSpan w:val="2"/>
          </w:tcPr>
          <w:p>
            <w:pPr>
              <w:ind w:left="80"/>
              <w:spacing w:after="0" w:line="107" w:lineRule="exact"/>
              <w:rPr>
                <w:sz w:val="20"/>
                <w:szCs w:val="20"/>
                <w:color w:val="auto"/>
              </w:rPr>
            </w:pPr>
            <w:r>
              <w:rPr>
                <w:rFonts w:ascii="Arial" w:cs="Arial" w:eastAsia="Arial" w:hAnsi="Arial"/>
                <w:sz w:val="12"/>
                <w:szCs w:val="12"/>
                <w:b w:val="1"/>
                <w:bCs w:val="1"/>
                <w:color w:val="auto"/>
              </w:rPr>
              <w:t>or</w:t>
            </w:r>
          </w:p>
        </w:tc>
        <w:tc>
          <w:tcPr>
            <w:tcW w:w="64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27"/>
        </w:trPr>
        <w:tc>
          <w:tcPr>
            <w:tcW w:w="74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440" w:type="dxa"/>
            <w:vAlign w:val="bottom"/>
            <w:vMerge w:val="continue"/>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1540" w:type="dxa"/>
            <w:vAlign w:val="bottom"/>
            <w:gridSpan w:val="2"/>
            <w:vMerge w:val="continue"/>
          </w:tcPr>
          <w:p>
            <w:pPr>
              <w:spacing w:after="0"/>
              <w:rPr>
                <w:sz w:val="2"/>
                <w:szCs w:val="2"/>
                <w:color w:val="auto"/>
              </w:rPr>
            </w:pPr>
          </w:p>
        </w:tc>
        <w:tc>
          <w:tcPr>
            <w:tcW w:w="1060" w:type="dxa"/>
            <w:vAlign w:val="bottom"/>
            <w:gridSpan w:val="3"/>
          </w:tcPr>
          <w:p>
            <w:pPr>
              <w:ind w:left="60"/>
              <w:spacing w:after="0"/>
              <w:rPr>
                <w:sz w:val="20"/>
                <w:szCs w:val="20"/>
                <w:color w:val="auto"/>
              </w:rPr>
            </w:pPr>
            <w:r>
              <w:rPr>
                <w:rFonts w:ascii="Arial" w:cs="Arial" w:eastAsia="Arial" w:hAnsi="Arial"/>
                <w:sz w:val="2"/>
                <w:szCs w:val="2"/>
                <w:b w:val="1"/>
                <w:bCs w:val="1"/>
                <w:color w:val="auto"/>
              </w:rPr>
              <w:t>Securities</w:t>
            </w:r>
          </w:p>
        </w:tc>
        <w:tc>
          <w:tcPr>
            <w:tcW w:w="640" w:type="dxa"/>
            <w:vAlign w:val="bottom"/>
            <w:vMerge w:val="continue"/>
          </w:tcPr>
          <w:p>
            <w:pPr>
              <w:spacing w:after="0"/>
              <w:rPr>
                <w:sz w:val="2"/>
                <w:szCs w:val="2"/>
                <w:color w:val="auto"/>
              </w:rPr>
            </w:pPr>
          </w:p>
        </w:tc>
        <w:tc>
          <w:tcPr>
            <w:tcW w:w="96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7"/>
        </w:trPr>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9"/>
                <w:szCs w:val="9"/>
                <w:color w:val="auto"/>
              </w:rPr>
            </w:pPr>
          </w:p>
        </w:tc>
        <w:tc>
          <w:tcPr>
            <w:tcW w:w="74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gridSpan w:val="2"/>
          </w:tcPr>
          <w:p>
            <w:pPr>
              <w:ind w:left="80"/>
              <w:spacing w:after="0" w:line="107" w:lineRule="exact"/>
              <w:rPr>
                <w:sz w:val="20"/>
                <w:szCs w:val="20"/>
                <w:color w:val="auto"/>
              </w:rPr>
            </w:pPr>
            <w:r>
              <w:rPr>
                <w:rFonts w:ascii="Arial" w:cs="Arial" w:eastAsia="Arial" w:hAnsi="Arial"/>
                <w:sz w:val="12"/>
                <w:szCs w:val="12"/>
                <w:b w:val="1"/>
                <w:bCs w:val="1"/>
                <w:color w:val="auto"/>
              </w:rPr>
              <w:t>Number</w:t>
            </w:r>
          </w:p>
        </w:tc>
        <w:tc>
          <w:tcPr>
            <w:tcW w:w="64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27"/>
        </w:trPr>
        <w:tc>
          <w:tcPr>
            <w:tcW w:w="74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8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1060" w:type="dxa"/>
            <w:vAlign w:val="bottom"/>
            <w:gridSpan w:val="3"/>
          </w:tcPr>
          <w:p>
            <w:pPr>
              <w:ind w:left="60"/>
              <w:spacing w:after="0"/>
              <w:rPr>
                <w:sz w:val="20"/>
                <w:szCs w:val="20"/>
                <w:color w:val="auto"/>
              </w:rPr>
            </w:pPr>
            <w:r>
              <w:rPr>
                <w:rFonts w:ascii="Arial" w:cs="Arial" w:eastAsia="Arial" w:hAnsi="Arial"/>
                <w:sz w:val="2"/>
                <w:szCs w:val="2"/>
                <w:b w:val="1"/>
                <w:bCs w:val="1"/>
                <w:color w:val="auto"/>
              </w:rPr>
              <w:t>Underlying</w:t>
            </w:r>
          </w:p>
        </w:tc>
        <w:tc>
          <w:tcPr>
            <w:tcW w:w="640" w:type="dxa"/>
            <w:vAlign w:val="bottom"/>
            <w:vMerge w:val="continue"/>
          </w:tcPr>
          <w:p>
            <w:pPr>
              <w:spacing w:after="0"/>
              <w:rPr>
                <w:sz w:val="2"/>
                <w:szCs w:val="2"/>
                <w:color w:val="auto"/>
              </w:rPr>
            </w:pPr>
          </w:p>
        </w:tc>
        <w:tc>
          <w:tcPr>
            <w:tcW w:w="96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7"/>
        </w:trPr>
        <w:tc>
          <w:tcPr>
            <w:tcW w:w="740" w:type="dxa"/>
            <w:vAlign w:val="bottom"/>
          </w:tcPr>
          <w:p>
            <w:pPr>
              <w:spacing w:after="0"/>
              <w:rPr>
                <w:sz w:val="9"/>
                <w:szCs w:val="9"/>
                <w:color w:val="auto"/>
              </w:rPr>
            </w:pPr>
          </w:p>
        </w:tc>
        <w:tc>
          <w:tcPr>
            <w:tcW w:w="8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gridSpan w:val="2"/>
          </w:tcPr>
          <w:p>
            <w:pPr>
              <w:ind w:left="80"/>
              <w:spacing w:after="0" w:line="107"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9"/>
                <w:szCs w:val="9"/>
                <w:color w:val="auto"/>
              </w:rPr>
            </w:pP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V</w:t>
            </w:r>
          </w:p>
        </w:tc>
        <w:tc>
          <w:tcPr>
            <w:tcW w:w="740" w:type="dxa"/>
            <w:vAlign w:val="bottom"/>
            <w:gridSpan w:val="2"/>
            <w:vMerge w:val="continue"/>
          </w:tcPr>
          <w:p>
            <w:pPr>
              <w:spacing w:after="0"/>
              <w:rPr>
                <w:sz w:val="2"/>
                <w:szCs w:val="2"/>
                <w:color w:val="auto"/>
              </w:rPr>
            </w:pPr>
          </w:p>
        </w:tc>
        <w:tc>
          <w:tcPr>
            <w:tcW w:w="8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Exercisable</w:t>
            </w: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ind w:left="60"/>
              <w:spacing w:after="0"/>
              <w:rPr>
                <w:sz w:val="20"/>
                <w:szCs w:val="20"/>
                <w:color w:val="auto"/>
              </w:rPr>
            </w:pPr>
            <w:r>
              <w:rPr>
                <w:rFonts w:ascii="Arial" w:cs="Arial" w:eastAsia="Arial" w:hAnsi="Arial"/>
                <w:sz w:val="2"/>
                <w:szCs w:val="2"/>
                <w:b w:val="1"/>
                <w:bCs w:val="1"/>
                <w:color w:val="auto"/>
              </w:rPr>
              <w:t>Derivative</w:t>
            </w:r>
          </w:p>
        </w:tc>
        <w:tc>
          <w:tcPr>
            <w:tcW w:w="64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7"/>
        </w:trPr>
        <w:tc>
          <w:tcPr>
            <w:tcW w:w="740" w:type="dxa"/>
            <w:vAlign w:val="bottom"/>
          </w:tcPr>
          <w:p>
            <w:pPr>
              <w:spacing w:after="0"/>
              <w:rPr>
                <w:sz w:val="9"/>
                <w:szCs w:val="9"/>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line="107" w:lineRule="exact"/>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380" w:type="dxa"/>
            <w:vAlign w:val="bottom"/>
          </w:tcPr>
          <w:p>
            <w:pPr>
              <w:ind w:left="60"/>
              <w:spacing w:after="0" w:line="107" w:lineRule="exact"/>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line="107" w:lineRule="exact"/>
              <w:rPr>
                <w:sz w:val="20"/>
                <w:szCs w:val="20"/>
                <w:color w:val="auto"/>
              </w:rPr>
            </w:pPr>
            <w:r>
              <w:rPr>
                <w:rFonts w:ascii="Arial" w:cs="Arial" w:eastAsia="Arial" w:hAnsi="Arial"/>
                <w:sz w:val="12"/>
                <w:szCs w:val="12"/>
                <w:b w:val="1"/>
                <w:bCs w:val="1"/>
                <w:color w:val="auto"/>
              </w:rPr>
              <w:t>Shares</w:t>
            </w:r>
          </w:p>
        </w:tc>
        <w:tc>
          <w:tcPr>
            <w:tcW w:w="640" w:type="dxa"/>
            <w:vAlign w:val="bottom"/>
          </w:tcPr>
          <w:p>
            <w:pPr>
              <w:spacing w:after="0"/>
              <w:rPr>
                <w:sz w:val="9"/>
                <w:szCs w:val="9"/>
                <w:color w:val="auto"/>
              </w:rPr>
            </w:pP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Following</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7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8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gridSpan w:val="3"/>
          </w:tcPr>
          <w:p>
            <w:pPr>
              <w:ind w:left="60"/>
              <w:spacing w:after="0" w:line="40" w:lineRule="exact"/>
              <w:rPr>
                <w:sz w:val="20"/>
                <w:szCs w:val="20"/>
                <w:color w:val="auto"/>
              </w:rPr>
            </w:pPr>
            <w:r>
              <w:rPr>
                <w:rFonts w:ascii="Arial" w:cs="Arial" w:eastAsia="Arial" w:hAnsi="Arial"/>
                <w:sz w:val="4"/>
                <w:szCs w:val="4"/>
                <w:b w:val="1"/>
                <w:bCs w:val="1"/>
                <w:color w:val="auto"/>
              </w:rPr>
              <w:t>Security (Instr.</w:t>
            </w:r>
          </w:p>
        </w:tc>
        <w:tc>
          <w:tcPr>
            <w:tcW w:w="64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2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Explanation of Responses:</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42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gridSpan w:val="2"/>
          </w:tcPr>
          <w:p>
            <w:pPr>
              <w:ind w:left="80"/>
              <w:spacing w:after="0" w:line="121"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0"/>
        </w:trPr>
        <w:tc>
          <w:tcPr>
            <w:tcW w:w="11080" w:type="dxa"/>
            <w:vAlign w:val="bottom"/>
            <w:gridSpan w:val="19"/>
          </w:tcPr>
          <w:p>
            <w:pPr>
              <w:ind w:left="40"/>
              <w:spacing w:after="0" w:line="40" w:lineRule="exact"/>
              <w:rPr>
                <w:sz w:val="20"/>
                <w:szCs w:val="20"/>
                <w:color w:val="auto"/>
              </w:rPr>
            </w:pPr>
            <w:r>
              <w:rPr>
                <w:rFonts w:ascii="Times New Roman" w:cs="Times New Roman" w:eastAsia="Times New Roman" w:hAnsi="Times New Roman"/>
                <w:sz w:val="4"/>
                <w:szCs w:val="4"/>
                <w:color w:val="008000"/>
              </w:rPr>
              <w:t>1. Represents a pro-rata in kind distribution of shares of the Issuer's Class A Common Stock by Goldfinch Co-Invest I LP to its partners. Such distribution was exempt under Rule 16a-9(a) and Rule 16a-</w:t>
            </w:r>
          </w:p>
        </w:tc>
        <w:tc>
          <w:tcPr>
            <w:tcW w:w="0" w:type="dxa"/>
            <w:vAlign w:val="bottom"/>
          </w:tcPr>
          <w:p>
            <w:pPr>
              <w:spacing w:after="0" w:line="20" w:lineRule="exact"/>
              <w:rPr>
                <w:sz w:val="1"/>
                <w:szCs w:val="1"/>
                <w:color w:val="auto"/>
              </w:rPr>
            </w:pPr>
          </w:p>
        </w:tc>
      </w:tr>
      <w:tr>
        <w:trPr>
          <w:trHeight w:val="187"/>
        </w:trPr>
        <w:tc>
          <w:tcPr>
            <w:tcW w:w="3100" w:type="dxa"/>
            <w:vAlign w:val="bottom"/>
            <w:gridSpan w:val="5"/>
          </w:tcPr>
          <w:p>
            <w:pPr>
              <w:ind w:left="40"/>
              <w:spacing w:after="0"/>
              <w:rPr>
                <w:sz w:val="20"/>
                <w:szCs w:val="20"/>
                <w:color w:val="auto"/>
              </w:rPr>
            </w:pPr>
            <w:r>
              <w:rPr>
                <w:rFonts w:ascii="Times New Roman" w:cs="Times New Roman" w:eastAsia="Times New Roman" w:hAnsi="Times New Roman"/>
                <w:sz w:val="13"/>
                <w:szCs w:val="13"/>
                <w:color w:val="008000"/>
              </w:rPr>
              <w:t>13 of the Securities Exchange Act of 1934, as amended.</w:t>
            </w:r>
          </w:p>
        </w:tc>
        <w:tc>
          <w:tcPr>
            <w:tcW w:w="680" w:type="dxa"/>
            <w:vAlign w:val="bottom"/>
          </w:tcPr>
          <w:p>
            <w:pPr>
              <w:spacing w:after="0"/>
              <w:rPr>
                <w:sz w:val="16"/>
                <w:szCs w:val="16"/>
                <w:color w:val="auto"/>
              </w:rPr>
            </w:pPr>
          </w:p>
        </w:tc>
        <w:tc>
          <w:tcPr>
            <w:tcW w:w="48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44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w w:val="96"/>
              </w:rPr>
              <w:t>and 5)</w:t>
            </w:r>
          </w:p>
        </w:tc>
        <w:tc>
          <w:tcPr>
            <w:tcW w:w="300" w:type="dxa"/>
            <w:vAlign w:val="bottom"/>
            <w:tcBorders>
              <w:bottom w:val="single" w:sz="8" w:color="2C2C2C"/>
            </w:tcBorders>
          </w:tcPr>
          <w:p>
            <w:pPr>
              <w:spacing w:after="0"/>
              <w:rPr>
                <w:sz w:val="16"/>
                <w:szCs w:val="16"/>
                <w:color w:val="auto"/>
              </w:rPr>
            </w:pPr>
          </w:p>
        </w:tc>
        <w:tc>
          <w:tcPr>
            <w:tcW w:w="80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600" w:type="dxa"/>
            <w:vAlign w:val="bottom"/>
            <w:tcBorders>
              <w:bottom w:val="single" w:sz="8" w:color="2C2C2C"/>
            </w:tcBorders>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780" w:type="dxa"/>
            <w:vAlign w:val="bottom"/>
            <w:gridSpan w:val="6"/>
          </w:tcPr>
          <w:p>
            <w:pPr>
              <w:ind w:left="40"/>
              <w:spacing w:after="0"/>
              <w:rPr>
                <w:sz w:val="20"/>
                <w:szCs w:val="20"/>
                <w:color w:val="auto"/>
              </w:rPr>
            </w:pPr>
            <w:r>
              <w:rPr>
                <w:rFonts w:ascii="Times New Roman" w:cs="Times New Roman" w:eastAsia="Times New Roman" w:hAnsi="Times New Roman"/>
                <w:sz w:val="13"/>
                <w:szCs w:val="13"/>
                <w:color w:val="008000"/>
              </w:rPr>
              <w:t>2. Represents securities held directly by Goldfinch Co-Invest I LP.</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80" w:type="dxa"/>
            <w:vAlign w:val="bottom"/>
            <w:gridSpan w:val="2"/>
          </w:tcPr>
          <w:p>
            <w:pPr>
              <w:ind w:left="80"/>
              <w:spacing w:after="0" w:line="121"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11080" w:type="dxa"/>
            <w:vAlign w:val="bottom"/>
            <w:gridSpan w:val="19"/>
          </w:tcPr>
          <w:p>
            <w:pPr>
              <w:ind w:left="40"/>
              <w:spacing w:after="0" w:line="54" w:lineRule="exact"/>
              <w:rPr>
                <w:sz w:val="20"/>
                <w:szCs w:val="20"/>
                <w:color w:val="auto"/>
              </w:rPr>
            </w:pPr>
            <w:r>
              <w:rPr>
                <w:rFonts w:ascii="Times New Roman" w:cs="Times New Roman" w:eastAsia="Times New Roman" w:hAnsi="Times New Roman"/>
                <w:sz w:val="6"/>
                <w:szCs w:val="6"/>
                <w:color w:val="008000"/>
              </w:rPr>
              <w:t>3. The general partner of each of Goldfinch Co-Invest I, LP, Goldfinch Co-Invest IB, LP and Goldfinch Co-Invest IC, LP is Goldfinch Co-Invest I GP LLC (collectively, the "Goldfinch Funds"). The</w:t>
            </w:r>
          </w:p>
        </w:tc>
        <w:tc>
          <w:tcPr>
            <w:tcW w:w="0" w:type="dxa"/>
            <w:vAlign w:val="bottom"/>
          </w:tcPr>
          <w:p>
            <w:pPr>
              <w:spacing w:after="0"/>
              <w:rPr>
                <w:sz w:val="1"/>
                <w:szCs w:val="1"/>
                <w:color w:val="auto"/>
              </w:rPr>
            </w:pPr>
          </w:p>
        </w:tc>
      </w:tr>
      <w:tr>
        <w:trPr>
          <w:trHeight w:val="80"/>
        </w:trPr>
        <w:tc>
          <w:tcPr>
            <w:tcW w:w="74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380" w:type="dxa"/>
            <w:vAlign w:val="bottom"/>
          </w:tcPr>
          <w:p>
            <w:pPr>
              <w:spacing w:after="0"/>
              <w:rPr>
                <w:sz w:val="6"/>
                <w:szCs w:val="6"/>
                <w:color w:val="auto"/>
              </w:rPr>
            </w:pPr>
          </w:p>
        </w:tc>
        <w:tc>
          <w:tcPr>
            <w:tcW w:w="680" w:type="dxa"/>
            <w:vAlign w:val="bottom"/>
            <w:gridSpan w:val="2"/>
          </w:tcPr>
          <w:p>
            <w:pPr>
              <w:ind w:left="80"/>
              <w:spacing w:after="0" w:line="80" w:lineRule="exact"/>
              <w:rPr>
                <w:sz w:val="20"/>
                <w:szCs w:val="20"/>
                <w:color w:val="auto"/>
              </w:rPr>
            </w:pPr>
            <w:r>
              <w:rPr>
                <w:rFonts w:ascii="Arial" w:cs="Arial" w:eastAsia="Arial" w:hAnsi="Arial"/>
                <w:sz w:val="8"/>
                <w:szCs w:val="8"/>
                <w:b w:val="1"/>
                <w:bCs w:val="1"/>
                <w:color w:val="auto"/>
              </w:rPr>
              <w:t>Number</w:t>
            </w:r>
          </w:p>
        </w:tc>
        <w:tc>
          <w:tcPr>
            <w:tcW w:w="640" w:type="dxa"/>
            <w:vAlign w:val="bottom"/>
          </w:tcPr>
          <w:p>
            <w:pPr>
              <w:spacing w:after="0"/>
              <w:rPr>
                <w:sz w:val="6"/>
                <w:szCs w:val="6"/>
                <w:color w:val="auto"/>
              </w:rPr>
            </w:pPr>
          </w:p>
        </w:tc>
        <w:tc>
          <w:tcPr>
            <w:tcW w:w="9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11080" w:type="dxa"/>
            <w:vAlign w:val="bottom"/>
            <w:gridSpan w:val="19"/>
          </w:tcPr>
          <w:p>
            <w:pPr>
              <w:ind w:left="40"/>
              <w:spacing w:after="0" w:line="67" w:lineRule="exact"/>
              <w:rPr>
                <w:sz w:val="20"/>
                <w:szCs w:val="20"/>
                <w:color w:val="auto"/>
              </w:rPr>
            </w:pPr>
            <w:r>
              <w:rPr>
                <w:rFonts w:ascii="Times New Roman" w:cs="Times New Roman" w:eastAsia="Times New Roman" w:hAnsi="Times New Roman"/>
                <w:sz w:val="7"/>
                <w:szCs w:val="7"/>
                <w:color w:val="008000"/>
              </w:rPr>
              <w:t>Reporting Person is a Managing Partner of Goldfinch Co-Invest I GP LLC (together with the Goldfinch Funds, the "Goldfinch Entities"). The Reporting Person disclaims beneficial ownership of the</w:t>
            </w:r>
          </w:p>
        </w:tc>
        <w:tc>
          <w:tcPr>
            <w:tcW w:w="0" w:type="dxa"/>
            <w:vAlign w:val="bottom"/>
          </w:tcPr>
          <w:p>
            <w:pPr>
              <w:spacing w:after="0"/>
              <w:rPr>
                <w:sz w:val="1"/>
                <w:szCs w:val="1"/>
                <w:color w:val="auto"/>
              </w:rPr>
            </w:pPr>
          </w:p>
        </w:tc>
      </w:tr>
      <w:tr>
        <w:trPr>
          <w:trHeight w:val="147"/>
        </w:trPr>
        <w:tc>
          <w:tcPr>
            <w:tcW w:w="4260" w:type="dxa"/>
            <w:vAlign w:val="bottom"/>
            <w:gridSpan w:val="7"/>
          </w:tcPr>
          <w:p>
            <w:pPr>
              <w:ind w:left="40"/>
              <w:spacing w:after="0" w:line="147" w:lineRule="exact"/>
              <w:rPr>
                <w:sz w:val="20"/>
                <w:szCs w:val="20"/>
                <w:color w:val="auto"/>
              </w:rPr>
            </w:pPr>
            <w:r>
              <w:rPr>
                <w:rFonts w:ascii="Times New Roman" w:cs="Times New Roman" w:eastAsia="Times New Roman" w:hAnsi="Times New Roman"/>
                <w:sz w:val="13"/>
                <w:szCs w:val="13"/>
                <w:color w:val="008000"/>
              </w:rPr>
              <w:t>securities reported herein, except to the extent of his pecuniary interest therein.</w:t>
            </w: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7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Expiration</w:t>
            </w:r>
          </w:p>
        </w:tc>
        <w:tc>
          <w:tcPr>
            <w:tcW w:w="3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80" w:type="dxa"/>
            <w:vAlign w:val="bottom"/>
          </w:tcPr>
          <w:p>
            <w:pPr>
              <w:ind w:left="60"/>
              <w:spacing w:after="0" w:line="81" w:lineRule="exact"/>
              <w:rPr>
                <w:sz w:val="20"/>
                <w:szCs w:val="20"/>
                <w:color w:val="auto"/>
              </w:rPr>
            </w:pPr>
            <w:r>
              <w:rPr>
                <w:rFonts w:ascii="Arial" w:cs="Arial" w:eastAsia="Arial" w:hAnsi="Arial"/>
                <w:sz w:val="8"/>
                <w:szCs w:val="8"/>
                <w:b w:val="1"/>
                <w:bCs w:val="1"/>
                <w:color w:val="auto"/>
              </w:rPr>
              <w:t>Code</w:t>
            </w:r>
          </w:p>
        </w:tc>
        <w:tc>
          <w:tcPr>
            <w:tcW w:w="340" w:type="dxa"/>
            <w:vAlign w:val="bottom"/>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00" w:type="dxa"/>
            <w:vAlign w:val="bottom"/>
          </w:tcPr>
          <w:p>
            <w:pPr>
              <w:ind w:left="60"/>
              <w:spacing w:after="0" w:line="81" w:lineRule="exact"/>
              <w:rPr>
                <w:sz w:val="20"/>
                <w:szCs w:val="20"/>
                <w:color w:val="auto"/>
              </w:rPr>
            </w:pPr>
            <w:r>
              <w:rPr>
                <w:rFonts w:ascii="Arial" w:cs="Arial" w:eastAsia="Arial" w:hAnsi="Arial"/>
                <w:sz w:val="8"/>
                <w:szCs w:val="8"/>
                <w:b w:val="1"/>
                <w:bCs w:val="1"/>
                <w:color w:val="auto"/>
              </w:rPr>
              <w:t>Exercisable</w:t>
            </w:r>
          </w:p>
        </w:tc>
        <w:tc>
          <w:tcPr>
            <w:tcW w:w="740" w:type="dxa"/>
            <w:vAlign w:val="bottom"/>
          </w:tcPr>
          <w:p>
            <w:pPr>
              <w:ind w:left="80"/>
              <w:spacing w:after="0" w:line="81" w:lineRule="exact"/>
              <w:rPr>
                <w:sz w:val="20"/>
                <w:szCs w:val="20"/>
                <w:color w:val="auto"/>
              </w:rPr>
            </w:pPr>
            <w:r>
              <w:rPr>
                <w:rFonts w:ascii="Arial" w:cs="Arial" w:eastAsia="Arial" w:hAnsi="Arial"/>
                <w:sz w:val="8"/>
                <w:szCs w:val="8"/>
                <w:b w:val="1"/>
                <w:bCs w:val="1"/>
                <w:color w:val="auto"/>
              </w:rPr>
              <w:t>Date</w:t>
            </w:r>
          </w:p>
        </w:tc>
        <w:tc>
          <w:tcPr>
            <w:tcW w:w="380" w:type="dxa"/>
            <w:vAlign w:val="bottom"/>
            <w:vMerge w:val="continue"/>
          </w:tcPr>
          <w:p>
            <w:pPr>
              <w:spacing w:after="0"/>
              <w:rPr>
                <w:sz w:val="7"/>
                <w:szCs w:val="7"/>
                <w:color w:val="auto"/>
              </w:rPr>
            </w:pPr>
          </w:p>
        </w:tc>
        <w:tc>
          <w:tcPr>
            <w:tcW w:w="680" w:type="dxa"/>
            <w:vAlign w:val="bottom"/>
            <w:gridSpan w:val="2"/>
          </w:tcPr>
          <w:p>
            <w:pPr>
              <w:ind w:left="80"/>
              <w:spacing w:after="0" w:line="81" w:lineRule="exact"/>
              <w:rPr>
                <w:sz w:val="20"/>
                <w:szCs w:val="20"/>
                <w:color w:val="auto"/>
              </w:rPr>
            </w:pPr>
            <w:r>
              <w:rPr>
                <w:rFonts w:ascii="Arial" w:cs="Arial" w:eastAsia="Arial" w:hAnsi="Arial"/>
                <w:sz w:val="8"/>
                <w:szCs w:val="8"/>
                <w:b w:val="1"/>
                <w:bCs w:val="1"/>
                <w:color w:val="auto"/>
              </w:rPr>
              <w:t>Shares</w:t>
            </w:r>
          </w:p>
        </w:tc>
        <w:tc>
          <w:tcPr>
            <w:tcW w:w="6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180" w:hanging="133"/>
        <w:spacing w:after="0" w:line="235" w:lineRule="auto"/>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2453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044055" cy="2453640"/>
                    </a:xfrm>
                    <a:prstGeom prst="rect">
                      <a:avLst/>
                    </a:prstGeom>
                    <a:noFill/>
                  </pic:spPr>
                </pic:pic>
              </a:graphicData>
            </a:graphic>
          </wp:anchor>
        </w:drawing>
        <w:t>Represents a pro-rata in kind distribution of shares of the Issuer's Class A Common Stock by Goldfinch Co-Invest IB LP to its partners. Such distribution was exempt under Rule 16a-9(a) and Rule 16a-</w:t>
      </w:r>
    </w:p>
    <w:p>
      <w:pPr>
        <w:ind w:left="220" w:hanging="173"/>
        <w:spacing w:after="0"/>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of the Securities Exchange Act of 1934, as amended.</w:t>
      </w:r>
    </w:p>
    <w:p>
      <w:pPr>
        <w:spacing w:after="0" w:line="36"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held directly by Goldfinch Co-Invest IB LP.</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pro-rata in kind distribution of shares of the Issuer's Class A Common Stock by Goldfinch Co-Invest IC LP to its partners. Such distribution was exempt under Rule 16a-9(a) and Rule 16a-</w:t>
      </w:r>
    </w:p>
    <w:p>
      <w:pPr>
        <w:spacing w:after="0" w:line="11" w:lineRule="exact"/>
        <w:rPr>
          <w:rFonts w:ascii="Times New Roman" w:cs="Times New Roman" w:eastAsia="Times New Roman" w:hAnsi="Times New Roman"/>
          <w:sz w:val="13"/>
          <w:szCs w:val="13"/>
          <w:color w:val="008000"/>
        </w:rPr>
      </w:pPr>
    </w:p>
    <w:p>
      <w:pPr>
        <w:ind w:left="220" w:hanging="173"/>
        <w:spacing w:after="0"/>
        <w:tabs>
          <w:tab w:leader="none" w:pos="220" w:val="left"/>
        </w:tabs>
        <w:numPr>
          <w:ilvl w:val="0"/>
          <w:numId w:val="4"/>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of the Securities Exchange Act of 1934, as amended.</w:t>
      </w:r>
    </w:p>
    <w:p>
      <w:pPr>
        <w:spacing w:after="0" w:line="36"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5"/>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held directly by Goldfinch Co-Invest IC LP.</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5"/>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$1.78 to $1.89, inclusive. The reporting person undertakes to provide Bakkt Holdings, Inc., any security holder of Bakkt Holdings, Inc.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5"/>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the Issuer's Class A Common Stock received by the reporting person in distributions from the Goldfinch Entities, each of which was exempt under Rule 16a-9(a) and Rule 16a-13 of the Securities Exchange Act of 1934, as amended.</w:t>
      </w:r>
    </w:p>
    <w:p>
      <w:pPr>
        <w:spacing w:after="0" w:line="7"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5"/>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275,000 shares of Class A Common Stock subject to Restricted Stock Units that remain subject to vesting.</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235" w:val="left"/>
        </w:tabs>
        <w:numPr>
          <w:ilvl w:val="0"/>
          <w:numId w:val="5"/>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$1.76 to $1.86, inclusive. The reporting person undertakes to provide Bakkt Holdings, Inc., any security holder of Bakkt Holdings, Inc.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240" w:val="left"/>
        </w:tabs>
        <w:numPr>
          <w:ilvl w:val="0"/>
          <w:numId w:val="5"/>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$1.705 to $1.765, inclusive. The reporting person undertakes to provide Bakkt Holdings, Inc., any security holder of Bakkt Holdings, Inc. or the staff of the Securities and Exchange Commission, upon request, full information regarding the number of shares sold at each separate price within the range set forth in this footnote.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239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2392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Sean</w:t>
      </w:r>
      <w:r>
        <w:rPr>
          <w:sz w:val="20"/>
          <w:szCs w:val="20"/>
          <w:color w:val="auto"/>
        </w:rPr>
        <w:tab/>
      </w:r>
      <w:r>
        <w:rPr>
          <w:rFonts w:ascii="Times New Roman" w:cs="Times New Roman" w:eastAsia="Times New Roman" w:hAnsi="Times New Roman"/>
          <w:sz w:val="17"/>
          <w:szCs w:val="17"/>
          <w:color w:val="0000FF"/>
        </w:rPr>
        <w:t>12/11/2023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Roberts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6877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8770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6"/>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17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13"/>
    </w:lvl>
  </w:abstractNum>
  <w:abstractNum w:abstractNumId="2">
    <w:nsid w:val="238E1F29"/>
    <w:multiLevelType w:val="hybridMultilevel"/>
    <w:lvl w:ilvl="0">
      <w:lvlJc w:val="left"/>
      <w:lvlText w:val="%1."/>
      <w:numFmt w:val="decimal"/>
      <w:start w:val="5"/>
    </w:lvl>
  </w:abstractNum>
  <w:abstractNum w:abstractNumId="3">
    <w:nsid w:val="46E87CCD"/>
    <w:multiLevelType w:val="hybridMultilevel"/>
    <w:lvl w:ilvl="0">
      <w:lvlJc w:val="left"/>
      <w:lvlText w:val="%1"/>
      <w:numFmt w:val="decimal"/>
      <w:start w:val="13"/>
    </w:lvl>
  </w:abstractNum>
  <w:abstractNum w:abstractNumId="4">
    <w:nsid w:val="3D1B58BA"/>
    <w:multiLevelType w:val="hybridMultilevel"/>
    <w:lvl w:ilvl="0">
      <w:lvlJc w:val="left"/>
      <w:lvlText w:val="%1."/>
      <w:numFmt w:val="decimal"/>
      <w:start w:val="7"/>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73512" TargetMode="External"/><Relationship Id="rId13"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2023-12-11T20:15:52Z</dcterms:created>
  <dcterms:modified xsi:type="dcterms:W3CDTF">2023-12-11T20:15:52Z</dcterms:modified>
</cp:coreProperties>
</file>