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3"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66675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left="380"/>
        <w:spacing w:after="0"/>
        <w:rPr>
          <w:sz w:val="20"/>
          <w:szCs w:val="20"/>
          <w:color w:val="auto"/>
        </w:rPr>
      </w:pPr>
      <w:r>
        <w:rPr>
          <w:rFonts w:ascii="Arial" w:cs="Arial" w:eastAsia="Arial" w:hAnsi="Arial"/>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0"/>
          <w:szCs w:val="10"/>
          <w:b w:val="1"/>
          <w:bCs w:val="1"/>
          <w:color w:val="auto"/>
        </w:rPr>
        <w:t>(State or other jurisdiction</w:t>
      </w:r>
    </w:p>
    <w:p>
      <w:pPr>
        <w:spacing w:after="0" w:line="14" w:lineRule="exact"/>
        <w:rPr>
          <w:sz w:val="24"/>
          <w:szCs w:val="24"/>
          <w:color w:val="auto"/>
        </w:rPr>
      </w:pPr>
    </w:p>
    <w:p>
      <w:pPr>
        <w:jc w:val="center"/>
        <w:ind w:left="38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3920"/>
        <w:spacing w:after="0"/>
        <w:rPr>
          <w:sz w:val="20"/>
          <w:szCs w:val="20"/>
          <w:color w:val="auto"/>
        </w:rPr>
      </w:pPr>
      <w:r>
        <w:rPr>
          <w:rFonts w:ascii="Arial" w:cs="Arial" w:eastAsia="Arial" w:hAnsi="Arial"/>
          <w:sz w:val="17"/>
          <w:szCs w:val="17"/>
          <w:b w:val="1"/>
          <w:bCs w:val="1"/>
          <w:color w:val="auto"/>
        </w:rPr>
        <w:t>CURRENT REPORT</w:t>
      </w:r>
    </w:p>
    <w:p>
      <w:pPr>
        <w:jc w:val="center"/>
        <w:ind w:right="3920"/>
        <w:spacing w:after="0" w:line="208" w:lineRule="auto"/>
        <w:rPr>
          <w:sz w:val="20"/>
          <w:szCs w:val="20"/>
          <w:color w:val="auto"/>
        </w:rPr>
      </w:pPr>
      <w:r>
        <w:rPr>
          <w:rFonts w:ascii="Arial" w:cs="Arial" w:eastAsia="Arial" w:hAnsi="Arial"/>
          <w:sz w:val="17"/>
          <w:szCs w:val="17"/>
          <w:b w:val="1"/>
          <w:bCs w:val="1"/>
          <w:color w:val="auto"/>
        </w:rPr>
        <w:t>Pursuant to Section 13 OR 15(d)</w:t>
      </w:r>
    </w:p>
    <w:p>
      <w:pPr>
        <w:jc w:val="center"/>
        <w:ind w:right="3920"/>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47" w:lineRule="exact"/>
        <w:rPr>
          <w:sz w:val="24"/>
          <w:szCs w:val="24"/>
          <w:color w:val="auto"/>
        </w:rPr>
      </w:pPr>
    </w:p>
    <w:p>
      <w:pPr>
        <w:jc w:val="center"/>
        <w:ind w:right="3920"/>
        <w:spacing w:after="0"/>
        <w:rPr>
          <w:sz w:val="20"/>
          <w:szCs w:val="20"/>
          <w:color w:val="auto"/>
        </w:rPr>
      </w:pPr>
      <w:r>
        <w:rPr>
          <w:rFonts w:ascii="Arial" w:cs="Arial" w:eastAsia="Arial" w:hAnsi="Arial"/>
          <w:sz w:val="15"/>
          <w:szCs w:val="15"/>
          <w:b w:val="1"/>
          <w:bCs w:val="1"/>
          <w:color w:val="auto"/>
        </w:rPr>
        <w:t>Date of Report (Date of earliest event reported)</w:t>
      </w:r>
    </w:p>
    <w:p>
      <w:pPr>
        <w:spacing w:after="0" w:line="15" w:lineRule="exact"/>
        <w:rPr>
          <w:sz w:val="24"/>
          <w:szCs w:val="24"/>
          <w:color w:val="auto"/>
        </w:rPr>
      </w:pPr>
    </w:p>
    <w:p>
      <w:pPr>
        <w:jc w:val="center"/>
        <w:ind w:right="3920"/>
        <w:spacing w:after="0"/>
        <w:rPr>
          <w:sz w:val="20"/>
          <w:szCs w:val="20"/>
          <w:color w:val="auto"/>
        </w:rPr>
      </w:pPr>
      <w:r>
        <w:rPr>
          <w:rFonts w:ascii="Arial" w:cs="Arial" w:eastAsia="Arial" w:hAnsi="Arial"/>
          <w:sz w:val="17"/>
          <w:szCs w:val="17"/>
          <w:b w:val="1"/>
          <w:bCs w:val="1"/>
          <w:color w:val="auto"/>
        </w:rPr>
        <w:t>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7" w:lineRule="exact"/>
        <w:rPr>
          <w:sz w:val="24"/>
          <w:szCs w:val="24"/>
          <w:color w:val="auto"/>
        </w:rPr>
      </w:pPr>
    </w:p>
    <w:p>
      <w:pPr>
        <w:jc w:val="center"/>
        <w:ind w:right="3920"/>
        <w:spacing w:after="0"/>
        <w:rPr>
          <w:sz w:val="20"/>
          <w:szCs w:val="20"/>
          <w:color w:val="auto"/>
        </w:rPr>
      </w:pPr>
      <w:r>
        <w:rPr>
          <w:rFonts w:ascii="Arial" w:cs="Arial" w:eastAsia="Arial" w:hAnsi="Arial"/>
          <w:sz w:val="28"/>
          <w:szCs w:val="28"/>
          <w:b w:val="1"/>
          <w:bCs w:val="1"/>
          <w:color w:val="auto"/>
        </w:rPr>
        <w:t>Bakkt Holdings, Inc.</w:t>
      </w:r>
    </w:p>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tbl>
      <w:tblPr>
        <w:tblLayout w:type="fixed"/>
        <w:tblInd w:w="1380" w:type="dxa"/>
        <w:tblCellMar>
          <w:top w:w="0" w:type="dxa"/>
          <w:left w:w="0" w:type="dxa"/>
          <w:bottom w:w="0" w:type="dxa"/>
          <w:right w:w="0" w:type="dxa"/>
        </w:tblCellMar>
      </w:tblPr>
      <w:tr>
        <w:trPr>
          <w:trHeight w:val="184"/>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001-39544</w:t>
            </w:r>
          </w:p>
        </w:tc>
        <w:tc>
          <w:tcPr>
            <w:tcW w:w="2420" w:type="dxa"/>
            <w:vAlign w:val="bottom"/>
          </w:tcPr>
          <w:p>
            <w:pPr>
              <w:jc w:val="center"/>
              <w:ind w:left="1479"/>
              <w:spacing w:after="0"/>
              <w:rPr>
                <w:sz w:val="20"/>
                <w:szCs w:val="20"/>
                <w:color w:val="auto"/>
              </w:rPr>
            </w:pPr>
            <w:r>
              <w:rPr>
                <w:rFonts w:ascii="Arial" w:cs="Arial" w:eastAsia="Arial" w:hAnsi="Arial"/>
                <w:sz w:val="14"/>
                <w:szCs w:val="14"/>
                <w:b w:val="1"/>
                <w:bCs w:val="1"/>
                <w:color w:val="auto"/>
                <w:w w:val="90"/>
              </w:rPr>
              <w:t>98-1550750</w:t>
            </w:r>
          </w:p>
        </w:tc>
      </w:tr>
      <w:tr>
        <w:trPr>
          <w:trHeight w:val="142"/>
        </w:trPr>
        <w:tc>
          <w:tcPr>
            <w:tcW w:w="2180" w:type="dxa"/>
            <w:vAlign w:val="bottom"/>
          </w:tcPr>
          <w:p>
            <w:pPr>
              <w:spacing w:after="0"/>
              <w:rPr>
                <w:sz w:val="20"/>
                <w:szCs w:val="20"/>
                <w:color w:val="auto"/>
              </w:rPr>
            </w:pPr>
            <w:r>
              <w:rPr>
                <w:rFonts w:ascii="Arial" w:cs="Arial" w:eastAsia="Arial" w:hAnsi="Arial"/>
                <w:sz w:val="11"/>
                <w:szCs w:val="11"/>
                <w:b w:val="1"/>
                <w:bCs w:val="1"/>
                <w:color w:val="auto"/>
              </w:rPr>
              <w:t>(Commission</w:t>
            </w:r>
          </w:p>
        </w:tc>
        <w:tc>
          <w:tcPr>
            <w:tcW w:w="2420" w:type="dxa"/>
            <w:vAlign w:val="bottom"/>
          </w:tcPr>
          <w:p>
            <w:pPr>
              <w:jc w:val="center"/>
              <w:ind w:left="1479"/>
              <w:spacing w:after="0"/>
              <w:rPr>
                <w:sz w:val="20"/>
                <w:szCs w:val="20"/>
                <w:color w:val="auto"/>
              </w:rPr>
            </w:pPr>
            <w:r>
              <w:rPr>
                <w:rFonts w:ascii="Arial" w:cs="Arial" w:eastAsia="Arial" w:hAnsi="Arial"/>
                <w:sz w:val="11"/>
                <w:szCs w:val="11"/>
                <w:b w:val="1"/>
                <w:bCs w:val="1"/>
                <w:color w:val="auto"/>
                <w:w w:val="95"/>
              </w:rPr>
              <w:t>(IRS Employer</w:t>
            </w:r>
          </w:p>
        </w:tc>
      </w:tr>
      <w:tr>
        <w:trPr>
          <w:trHeight w:val="147"/>
        </w:trPr>
        <w:tc>
          <w:tcPr>
            <w:tcW w:w="2180" w:type="dxa"/>
            <w:vAlign w:val="bottom"/>
          </w:tcPr>
          <w:p>
            <w:pPr>
              <w:spacing w:after="0"/>
              <w:rPr>
                <w:sz w:val="20"/>
                <w:szCs w:val="20"/>
                <w:color w:val="auto"/>
              </w:rPr>
            </w:pPr>
            <w:r>
              <w:rPr>
                <w:rFonts w:ascii="Arial" w:cs="Arial" w:eastAsia="Arial" w:hAnsi="Arial"/>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Arial" w:cs="Arial" w:eastAsia="Arial" w:hAnsi="Arial"/>
                <w:sz w:val="11"/>
                <w:szCs w:val="11"/>
                <w:b w:val="1"/>
                <w:bCs w:val="1"/>
                <w:color w:val="auto"/>
                <w:w w:val="94"/>
              </w:rPr>
              <w:t>Identification No.)</w:t>
            </w:r>
          </w:p>
        </w:tc>
      </w:tr>
    </w:tbl>
    <w:p>
      <w:pPr>
        <w:spacing w:after="0" w:line="119" w:lineRule="exact"/>
        <w:rPr>
          <w:sz w:val="24"/>
          <w:szCs w:val="24"/>
          <w:color w:val="auto"/>
        </w:rPr>
      </w:pPr>
    </w:p>
    <w:p>
      <w:pPr>
        <w:sectPr>
          <w:pgSz w:w="11900" w:h="16838" w:orient="portrait"/>
          <w:cols w:equalWidth="0" w:num="2">
            <w:col w:w="3220" w:space="720"/>
            <w:col w:w="7340"/>
          </w:cols>
          <w:pgMar w:left="300" w:top="1397"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Arial" w:cs="Arial" w:eastAsia="Arial" w:hAnsi="Arial"/>
                <w:sz w:val="14"/>
                <w:szCs w:val="14"/>
                <w:b w:val="1"/>
                <w:bCs w:val="1"/>
                <w:color w:val="auto"/>
                <w:w w:val="90"/>
              </w:rPr>
              <w:t>10000 Avalon Boulevard, Suite 1000,</w:t>
            </w: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30009</w:t>
            </w:r>
          </w:p>
        </w:tc>
        <w:tc>
          <w:tcPr>
            <w:tcW w:w="0" w:type="dxa"/>
            <w:vAlign w:val="bottom"/>
          </w:tcPr>
          <w:p>
            <w:pPr>
              <w:spacing w:after="0"/>
              <w:rPr>
                <w:sz w:val="1"/>
                <w:szCs w:val="1"/>
                <w:color w:val="auto"/>
              </w:rPr>
            </w:pPr>
          </w:p>
        </w:tc>
      </w:tr>
      <w:tr>
        <w:trPr>
          <w:trHeight w:val="110"/>
        </w:trPr>
        <w:tc>
          <w:tcPr>
            <w:tcW w:w="6300" w:type="dxa"/>
            <w:vAlign w:val="bottom"/>
            <w:vMerge w:val="restart"/>
          </w:tcPr>
          <w:p>
            <w:pPr>
              <w:jc w:val="center"/>
              <w:ind w:right="4013"/>
              <w:spacing w:after="0"/>
              <w:rPr>
                <w:sz w:val="20"/>
                <w:szCs w:val="20"/>
                <w:color w:val="auto"/>
              </w:rPr>
            </w:pPr>
            <w:r>
              <w:rPr>
                <w:rFonts w:ascii="Arial" w:cs="Arial" w:eastAsia="Arial" w:hAnsi="Arial"/>
                <w:sz w:val="14"/>
                <w:szCs w:val="14"/>
                <w:b w:val="1"/>
                <w:bCs w:val="1"/>
                <w:color w:val="auto"/>
                <w:w w:val="93"/>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820" w:type="dxa"/>
            <w:vAlign w:val="bottom"/>
          </w:tcPr>
          <w:p>
            <w:pPr>
              <w:jc w:val="center"/>
              <w:ind w:left="236"/>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Arial" w:cs="Arial" w:eastAsia="Arial" w:hAnsi="Arial"/>
                <w:sz w:val="14"/>
                <w:szCs w:val="14"/>
                <w:b w:val="1"/>
                <w:bCs w:val="1"/>
                <w:color w:val="auto"/>
                <w:w w:val="96"/>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20" w:lineRule="exact"/>
        <w:rPr>
          <w:sz w:val="24"/>
          <w:szCs w:val="24"/>
          <w:color w:val="auto"/>
        </w:rPr>
      </w:pPr>
    </w:p>
    <w:p>
      <w:pPr>
        <w:ind w:left="2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Arial" w:cs="Arial" w:eastAsia="Arial" w:hAnsi="Arial"/>
          <w:sz w:val="14"/>
          <w:szCs w:val="14"/>
          <w:color w:val="auto"/>
        </w:rPr>
        <w:t>below):</w:t>
      </w:r>
    </w:p>
    <w:p>
      <w:pPr>
        <w:spacing w:after="0" w:line="60"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34"/>
        </w:trPr>
        <w:tc>
          <w:tcPr>
            <w:tcW w:w="5380" w:type="dxa"/>
            <w:vAlign w:val="bottom"/>
            <w:vMerge w:val="restart"/>
          </w:tcPr>
          <w:p>
            <w:pPr>
              <w:ind w:left="1940"/>
              <w:spacing w:after="0"/>
              <w:rPr>
                <w:sz w:val="20"/>
                <w:szCs w:val="20"/>
                <w:color w:val="auto"/>
              </w:rPr>
            </w:pPr>
            <w:r>
              <w:rPr>
                <w:rFonts w:ascii="Arial" w:cs="Arial" w:eastAsia="Arial" w:hAnsi="Arial"/>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Arial" w:cs="Arial" w:eastAsia="Arial" w:hAnsi="Arial"/>
                <w:sz w:val="11"/>
                <w:szCs w:val="11"/>
                <w:b w:val="1"/>
                <w:bCs w:val="1"/>
                <w:color w:val="auto"/>
                <w:w w:val="93"/>
              </w:rPr>
              <w:t>Trading Symbol(s)</w:t>
            </w:r>
          </w:p>
        </w:tc>
        <w:tc>
          <w:tcPr>
            <w:tcW w:w="3420" w:type="dxa"/>
            <w:vAlign w:val="bottom"/>
          </w:tcPr>
          <w:p>
            <w:pPr>
              <w:jc w:val="center"/>
              <w:ind w:right="136"/>
              <w:spacing w:after="0"/>
              <w:rPr>
                <w:sz w:val="20"/>
                <w:szCs w:val="20"/>
                <w:color w:val="auto"/>
              </w:rPr>
            </w:pPr>
            <w:r>
              <w:rPr>
                <w:rFonts w:ascii="Arial" w:cs="Arial" w:eastAsia="Arial" w:hAnsi="Arial"/>
                <w:sz w:val="11"/>
                <w:szCs w:val="11"/>
                <w:b w:val="1"/>
                <w:bCs w:val="1"/>
                <w:color w:val="auto"/>
                <w:w w:val="90"/>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Arial" w:cs="Arial" w:eastAsia="Arial" w:hAnsi="Arial"/>
                <w:sz w:val="11"/>
                <w:szCs w:val="11"/>
                <w:b w:val="1"/>
                <w:bCs w:val="1"/>
                <w:color w:val="auto"/>
                <w:w w:val="90"/>
              </w:rPr>
              <w:t>on which registered</w:t>
            </w:r>
          </w:p>
        </w:tc>
        <w:tc>
          <w:tcPr>
            <w:tcW w:w="0" w:type="dxa"/>
            <w:vAlign w:val="bottom"/>
          </w:tcPr>
          <w:p>
            <w:pPr>
              <w:spacing w:after="0"/>
              <w:rPr>
                <w:sz w:val="1"/>
                <w:szCs w:val="1"/>
                <w:color w:val="auto"/>
              </w:rPr>
            </w:pPr>
          </w:p>
        </w:tc>
      </w:tr>
      <w:tr>
        <w:trPr>
          <w:trHeight w:val="167"/>
        </w:trPr>
        <w:tc>
          <w:tcPr>
            <w:tcW w:w="5380" w:type="dxa"/>
            <w:vAlign w:val="bottom"/>
          </w:tcPr>
          <w:p>
            <w:pPr>
              <w:jc w:val="center"/>
              <w:ind w:left="354"/>
              <w:spacing w:after="0"/>
              <w:rPr>
                <w:sz w:val="20"/>
                <w:szCs w:val="20"/>
                <w:color w:val="auto"/>
              </w:rPr>
            </w:pPr>
            <w:r>
              <w:rPr>
                <w:rFonts w:ascii="Arial" w:cs="Arial" w:eastAsia="Arial" w:hAnsi="Arial"/>
                <w:sz w:val="14"/>
                <w:szCs w:val="14"/>
                <w:b w:val="1"/>
                <w:bCs w:val="1"/>
                <w:color w:val="auto"/>
                <w:w w:val="90"/>
              </w:rPr>
              <w:t>Class A Common Stock, par value $0.0001 per share</w:t>
            </w:r>
          </w:p>
        </w:tc>
        <w:tc>
          <w:tcPr>
            <w:tcW w:w="2480" w:type="dxa"/>
            <w:vAlign w:val="bottom"/>
          </w:tcPr>
          <w:p>
            <w:pPr>
              <w:jc w:val="center"/>
              <w:ind w:left="154"/>
              <w:spacing w:after="0"/>
              <w:rPr>
                <w:sz w:val="20"/>
                <w:szCs w:val="20"/>
                <w:color w:val="auto"/>
              </w:rPr>
            </w:pPr>
            <w:r>
              <w:rPr>
                <w:rFonts w:ascii="Arial" w:cs="Arial" w:eastAsia="Arial" w:hAnsi="Arial"/>
                <w:sz w:val="14"/>
                <w:szCs w:val="14"/>
                <w:b w:val="1"/>
                <w:bCs w:val="1"/>
                <w:color w:val="auto"/>
              </w:rPr>
              <w:t>BKKT</w:t>
            </w:r>
          </w:p>
        </w:tc>
        <w:tc>
          <w:tcPr>
            <w:tcW w:w="342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The New York Stock Exchange</w:t>
            </w:r>
          </w:p>
        </w:tc>
        <w:tc>
          <w:tcPr>
            <w:tcW w:w="0" w:type="dxa"/>
            <w:vAlign w:val="bottom"/>
          </w:tcPr>
          <w:p>
            <w:pPr>
              <w:spacing w:after="0"/>
              <w:rPr>
                <w:sz w:val="1"/>
                <w:szCs w:val="1"/>
                <w:color w:val="auto"/>
              </w:rPr>
            </w:pPr>
          </w:p>
        </w:tc>
      </w:tr>
      <w:tr>
        <w:trPr>
          <w:trHeight w:val="184"/>
        </w:trPr>
        <w:tc>
          <w:tcPr>
            <w:tcW w:w="5380" w:type="dxa"/>
            <w:vAlign w:val="bottom"/>
          </w:tcPr>
          <w:p>
            <w:pPr>
              <w:jc w:val="center"/>
              <w:ind w:left="374"/>
              <w:spacing w:after="0"/>
              <w:rPr>
                <w:sz w:val="20"/>
                <w:szCs w:val="20"/>
                <w:color w:val="auto"/>
              </w:rPr>
            </w:pPr>
            <w:r>
              <w:rPr>
                <w:rFonts w:ascii="Arial" w:cs="Arial" w:eastAsia="Arial" w:hAnsi="Arial"/>
                <w:sz w:val="14"/>
                <w:szCs w:val="14"/>
                <w:b w:val="1"/>
                <w:bCs w:val="1"/>
                <w:color w:val="auto"/>
                <w:w w:val="90"/>
              </w:rPr>
              <w:t>Warrants to purchase Class A Common Stock</w:t>
            </w:r>
          </w:p>
        </w:tc>
        <w:tc>
          <w:tcPr>
            <w:tcW w:w="2480" w:type="dxa"/>
            <w:vAlign w:val="bottom"/>
          </w:tcPr>
          <w:p>
            <w:pPr>
              <w:jc w:val="center"/>
              <w:ind w:left="154"/>
              <w:spacing w:after="0"/>
              <w:rPr>
                <w:sz w:val="20"/>
                <w:szCs w:val="20"/>
                <w:color w:val="auto"/>
              </w:rPr>
            </w:pPr>
            <w:r>
              <w:rPr>
                <w:rFonts w:ascii="Arial" w:cs="Arial" w:eastAsia="Arial" w:hAnsi="Arial"/>
                <w:sz w:val="14"/>
                <w:szCs w:val="14"/>
                <w:b w:val="1"/>
                <w:bCs w:val="1"/>
                <w:color w:val="auto"/>
              </w:rPr>
              <w:t>BKKT WS</w:t>
            </w:r>
          </w:p>
        </w:tc>
        <w:tc>
          <w:tcPr>
            <w:tcW w:w="342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The New York Stock Exchange</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ind w:right="22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921385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44450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64770</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7" w:right="319" w:bottom="1440" w:gutter="0" w:footer="0" w:header="0"/>
          <w:type w:val="continuous"/>
        </w:sectPr>
      </w:pPr>
    </w:p>
    <w:bookmarkStart w:id="1" w:name="page2"/>
    <w:bookmarkEnd w:id="1"/>
    <w:p>
      <w:pPr>
        <w:spacing w:after="0"/>
        <w:tabs>
          <w:tab w:leader="none" w:pos="72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Conditions.</w:t>
      </w:r>
    </w:p>
    <w:p>
      <w:pPr>
        <w:spacing w:after="0" w:line="15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March 9, 2023, Bakkt Holdings, Inc. (the “Company”) issued a press release regarding the Company’s results for the quarter and year ended December 31, 2022. A copy of the press release is attached hereto as Exhibit 99.1 and incorporated herein by reference.</w:t>
      </w:r>
    </w:p>
    <w:p>
      <w:pPr>
        <w:spacing w:after="0" w:line="12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Act of 1933, as amended, except as shall be expressly set forth by specific reference in such filing.</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2.05</w:t>
      </w:r>
      <w:r>
        <w:rPr>
          <w:sz w:val="20"/>
          <w:szCs w:val="20"/>
          <w:color w:val="auto"/>
        </w:rPr>
        <w:tab/>
      </w:r>
      <w:r>
        <w:rPr>
          <w:rFonts w:ascii="Arial" w:cs="Arial" w:eastAsia="Arial" w:hAnsi="Arial"/>
          <w:sz w:val="12"/>
          <w:szCs w:val="12"/>
          <w:b w:val="1"/>
          <w:bCs w:val="1"/>
          <w:color w:val="auto"/>
        </w:rPr>
        <w:t>Costs Associated with Exit or Disposal Activities.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March 9, 2023, the Company announced a reduction in force that is expected to result in the termination of approximately 16% of the Company’s non-call center, full-time workforce (49</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employees). The reduction in force is a component of a broader strategic review of the Company’s operations that is intended to more effectively align resources with business priorities. Substantially all of the employees impacted by the reduction in force were notified of the reduction on March 9, 2023 and will exit the Company in the first quarter of 2023. The Company estimates that it will incur expenses of approximately $3.7 - $4.1 million related to the reduction in force, substantially all of which are related to employee severance and benefits costs and will be recognized in the first</w:t>
      </w:r>
    </w:p>
    <w:p>
      <w:pPr>
        <w:spacing w:after="0"/>
        <w:rPr>
          <w:sz w:val="20"/>
          <w:szCs w:val="20"/>
          <w:color w:val="auto"/>
        </w:rPr>
      </w:pPr>
      <w:r>
        <w:rPr>
          <w:rFonts w:ascii="Arial" w:cs="Arial" w:eastAsia="Arial" w:hAnsi="Arial"/>
          <w:sz w:val="14"/>
          <w:szCs w:val="14"/>
          <w:color w:val="auto"/>
        </w:rPr>
        <w:t>quarter of 2023.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Item 2.05 of this report contains forward-looking statements within the meaning of Section 27A of the Securities Act of 1933, as amended, and Section 21E of the Securities Exchange Act of</w:t>
      </w:r>
    </w:p>
    <w:p>
      <w:pPr>
        <w:spacing w:after="0" w:line="2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1934, as amended. These forward-looking statements include, but are not limited to, statements about the estimated costs of the reduction in force, the number of positions affected by the reduction in force, the time frame for completion of, recognition of charges and cost savings associated with, the reduction in force, and statements containing the words such as “approximate,” “plan,” “estimate,” “expect,” “project,” “could,” “would,” “should,” “may,” “potential,” and other similar expressions. By their nature, forward-looking statements involve risks and uncertainties because</w:t>
      </w:r>
    </w:p>
    <w:p>
      <w:pPr>
        <w:jc w:val="both"/>
        <w:spacing w:after="0" w:line="227" w:lineRule="auto"/>
        <w:rPr>
          <w:sz w:val="20"/>
          <w:szCs w:val="20"/>
          <w:color w:val="auto"/>
        </w:rPr>
      </w:pPr>
      <w:r>
        <w:rPr>
          <w:rFonts w:ascii="Arial" w:cs="Arial" w:eastAsia="Arial" w:hAnsi="Arial"/>
          <w:sz w:val="13"/>
          <w:szCs w:val="13"/>
          <w:color w:val="auto"/>
        </w:rPr>
        <w:t>they relate to events and depend on circumstances that may or may not occur in the future. We caution you that forward-looking statements are not guarantees of future performance and that actual results may differ materially. Important factors that could cause actual results to vary from expectations include, but are not limited to: the timing of full implementation of the reduction in force program; any unintended consequences from the program that impact our business; efficiency and cost savings initiatives, including actions thereunder and expected impact; potential business</w:t>
      </w:r>
    </w:p>
    <w:p>
      <w:pPr>
        <w:jc w:val="both"/>
        <w:spacing w:after="0" w:line="220" w:lineRule="auto"/>
        <w:rPr>
          <w:sz w:val="20"/>
          <w:szCs w:val="20"/>
          <w:color w:val="auto"/>
        </w:rPr>
      </w:pPr>
      <w:r>
        <w:rPr>
          <w:rFonts w:ascii="Arial" w:cs="Arial" w:eastAsia="Arial" w:hAnsi="Arial"/>
          <w:sz w:val="14"/>
          <w:szCs w:val="14"/>
          <w:color w:val="auto"/>
        </w:rPr>
        <w:t>decisions and the other factors discussed in the “Risk Factors” section of our most recent Annual Report on Form 10-K and Quarterly Reports on Form 10-Q. All forward-looking statements are based upon information available to us on the date of this report. We undertake no obligation, and do not expect, to publicly update or publicly revise any forward-looking statement, whether as a result of new information, future events or otherwise, except as required by law.</w:t>
      </w:r>
    </w:p>
    <w:p>
      <w:pPr>
        <w:spacing w:after="0" w:line="135"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Exhibit No.</w:t>
            </w:r>
          </w:p>
        </w:tc>
        <w:tc>
          <w:tcPr>
            <w:tcW w:w="356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r>
      <w:tr>
        <w:trPr>
          <w:trHeight w:val="139"/>
        </w:trPr>
        <w:tc>
          <w:tcPr>
            <w:tcW w:w="2200" w:type="dxa"/>
            <w:vAlign w:val="bottom"/>
            <w:gridSpan w:val="2"/>
          </w:tcPr>
          <w:p>
            <w:pPr>
              <w:jc w:val="right"/>
              <w:ind w:right="829"/>
              <w:spacing w:after="0" w:line="139" w:lineRule="exact"/>
              <w:rPr>
                <w:sz w:val="20"/>
                <w:szCs w:val="20"/>
                <w:color w:val="auto"/>
              </w:rPr>
            </w:pPr>
            <w:r>
              <w:rPr>
                <w:rFonts w:ascii="Arial" w:cs="Arial" w:eastAsia="Arial" w:hAnsi="Arial"/>
                <w:sz w:val="14"/>
                <w:szCs w:val="14"/>
                <w:color w:val="auto"/>
              </w:rPr>
              <w:t>99.1</w:t>
            </w:r>
          </w:p>
        </w:tc>
        <w:tc>
          <w:tcPr>
            <w:tcW w:w="3560" w:type="dxa"/>
            <w:vAlign w:val="bottom"/>
            <w:tcBorders>
              <w:bottom w:val="single" w:sz="8" w:color="0000FF"/>
            </w:tcBorders>
          </w:tcPr>
          <w:p>
            <w:pPr>
              <w:spacing w:after="0" w:line="129" w:lineRule="exact"/>
              <w:rPr>
                <w:sz w:val="20"/>
                <w:szCs w:val="20"/>
                <w:color w:val="auto"/>
              </w:rPr>
            </w:pPr>
            <w:r>
              <w:rPr>
                <w:rFonts w:ascii="Arial" w:cs="Arial" w:eastAsia="Arial" w:hAnsi="Arial"/>
                <w:sz w:val="14"/>
                <w:szCs w:val="14"/>
                <w:color w:val="0000FF"/>
                <w:w w:val="90"/>
              </w:rPr>
              <w:t>Press release issued by Bakkt Holdings, Inc. on March 9, 2023</w:t>
            </w: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3"/>
        </w:trPr>
        <w:tc>
          <w:tcPr>
            <w:tcW w:w="2200" w:type="dxa"/>
            <w:vAlign w:val="bottom"/>
            <w:gridSpan w:val="2"/>
          </w:tcPr>
          <w:p>
            <w:pPr>
              <w:jc w:val="right"/>
              <w:ind w:right="849"/>
              <w:spacing w:after="0"/>
              <w:rPr>
                <w:sz w:val="20"/>
                <w:szCs w:val="20"/>
                <w:color w:val="auto"/>
              </w:rPr>
            </w:pPr>
            <w:r>
              <w:rPr>
                <w:rFonts w:ascii="Arial" w:cs="Arial" w:eastAsia="Arial" w:hAnsi="Arial"/>
                <w:sz w:val="14"/>
                <w:szCs w:val="14"/>
                <w:color w:val="auto"/>
              </w:rPr>
              <w:t>104</w:t>
            </w:r>
          </w:p>
        </w:tc>
        <w:tc>
          <w:tcPr>
            <w:tcW w:w="910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1179"/>
        </w:trPr>
        <w:tc>
          <w:tcPr>
            <w:tcW w:w="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SIGNATURE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Dated: March 9, 2023</w:t>
      </w:r>
    </w:p>
    <w:p>
      <w:pPr>
        <w:spacing w:after="0" w:line="206"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BAKKT HOLDINGS, INC.</w:t>
      </w:r>
    </w:p>
    <w:p>
      <w:pPr>
        <w:spacing w:after="0" w:line="204" w:lineRule="exact"/>
        <w:rPr>
          <w:sz w:val="20"/>
          <w:szCs w:val="20"/>
          <w:color w:val="auto"/>
        </w:rPr>
      </w:pPr>
    </w:p>
    <w:p>
      <w:pPr>
        <w:ind w:left="5840"/>
        <w:spacing w:after="0"/>
        <w:tabs>
          <w:tab w:leader="none" w:pos="62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Marc D'Annunzio</w:t>
      </w:r>
    </w:p>
    <w:p>
      <w:pPr>
        <w:spacing w:after="0" w:line="19" w:lineRule="exact"/>
        <w:rPr>
          <w:sz w:val="20"/>
          <w:szCs w:val="20"/>
          <w:color w:val="auto"/>
        </w:rPr>
      </w:pPr>
    </w:p>
    <w:tbl>
      <w:tblPr>
        <w:tblLayout w:type="fixed"/>
        <w:tblInd w:w="5820" w:type="dxa"/>
        <w:tblCellMar>
          <w:top w:w="0" w:type="dxa"/>
          <w:left w:w="0" w:type="dxa"/>
          <w:bottom w:w="0" w:type="dxa"/>
          <w:right w:w="0" w:type="dxa"/>
        </w:tblCellMar>
      </w:tblPr>
      <w:tr>
        <w:trPr>
          <w:trHeight w:val="171"/>
        </w:trPr>
        <w:tc>
          <w:tcPr>
            <w:tcW w:w="102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Name:</w:t>
            </w:r>
          </w:p>
        </w:tc>
        <w:tc>
          <w:tcPr>
            <w:tcW w:w="426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Marc D’Annunzio</w:t>
            </w:r>
          </w:p>
        </w:tc>
      </w:tr>
      <w:tr>
        <w:trPr>
          <w:trHeight w:val="180"/>
        </w:trPr>
        <w:tc>
          <w:tcPr>
            <w:tcW w:w="1020" w:type="dxa"/>
            <w:vAlign w:val="bottom"/>
          </w:tcPr>
          <w:p>
            <w:pPr>
              <w:ind w:left="440"/>
              <w:spacing w:after="0"/>
              <w:rPr>
                <w:sz w:val="20"/>
                <w:szCs w:val="20"/>
                <w:color w:val="auto"/>
              </w:rPr>
            </w:pPr>
            <w:r>
              <w:rPr>
                <w:rFonts w:ascii="Arial" w:cs="Arial" w:eastAsia="Arial" w:hAnsi="Arial"/>
                <w:sz w:val="14"/>
                <w:szCs w:val="14"/>
                <w:color w:val="auto"/>
              </w:rPr>
              <w:t>Title:</w:t>
            </w:r>
          </w:p>
        </w:tc>
        <w:tc>
          <w:tcPr>
            <w:tcW w:w="4260" w:type="dxa"/>
            <w:vAlign w:val="bottom"/>
          </w:tcPr>
          <w:p>
            <w:pPr>
              <w:ind w:left="200"/>
              <w:spacing w:after="0"/>
              <w:rPr>
                <w:sz w:val="20"/>
                <w:szCs w:val="20"/>
                <w:color w:val="auto"/>
              </w:rPr>
            </w:pPr>
            <w:r>
              <w:rPr>
                <w:rFonts w:ascii="Arial" w:cs="Arial" w:eastAsia="Arial" w:hAnsi="Arial"/>
                <w:sz w:val="14"/>
                <w:szCs w:val="14"/>
                <w:color w:val="auto"/>
              </w:rPr>
              <w:t>General Counsel and Secretary</w:t>
            </w:r>
          </w:p>
        </w:tc>
      </w:tr>
    </w:tbl>
    <w:p>
      <w:pPr>
        <w:sectPr>
          <w:pgSz w:w="11900" w:h="16838" w:orient="portrait"/>
          <w:cols w:equalWidth="0" w:num="1">
            <w:col w:w="11100"/>
          </w:cols>
          <w:pgMar w:left="300" w:top="1133"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2023-03-09T15:54:16Z</dcterms:created>
  <dcterms:modified xsi:type="dcterms:W3CDTF">2023-03-09T15:54:16Z</dcterms:modified>
</cp:coreProperties>
</file>