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147955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30, 2025 (July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124460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27"/>
        </w:trPr>
        <w:tc>
          <w:tcPr>
            <w:tcW w:w="3120" w:type="dxa"/>
            <w:vAlign w:val="bottom"/>
          </w:tcPr>
          <w:p>
            <w:pPr>
              <w:jc w:val="center"/>
              <w:ind w:right="1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680" w:type="dxa"/>
            <w:vAlign w:val="bottom"/>
          </w:tcPr>
          <w:p>
            <w:pPr>
              <w:jc w:val="center"/>
              <w:ind w:left="1182"/>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8"/>
        </w:trPr>
        <w:tc>
          <w:tcPr>
            <w:tcW w:w="31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1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1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420" w:type="dxa"/>
            <w:vAlign w:val="bottom"/>
            <w:gridSpan w:val="2"/>
            <w:vMerge w:val="continue"/>
          </w:tcPr>
          <w:p>
            <w:pPr>
              <w:spacing w:after="0"/>
              <w:rPr>
                <w:sz w:val="16"/>
                <w:szCs w:val="16"/>
                <w:color w:val="auto"/>
              </w:rPr>
            </w:pP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4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6"/>
                <w:szCs w:val="16"/>
                <w:color w:val="auto"/>
              </w:rPr>
            </w:pPr>
          </w:p>
        </w:tc>
        <w:tc>
          <w:tcPr>
            <w:tcW w:w="2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20" w:type="dxa"/>
            <w:vAlign w:val="bottom"/>
          </w:tcPr>
          <w:p>
            <w:pPr>
              <w:spacing w:after="0"/>
              <w:rPr>
                <w:sz w:val="16"/>
                <w:szCs w:val="16"/>
                <w:color w:val="auto"/>
              </w:rPr>
            </w:pPr>
          </w:p>
        </w:tc>
        <w:tc>
          <w:tcPr>
            <w:tcW w:w="44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BKKT WS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July 28, 2025, Bakkt Holdings, Inc.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par value $0.0001 per share (the “Common Stock”) and, for certain purchasers, pre-funded warrants (the “Pre-Funded Warrants”) to purchase an aggregate of 746,373 shares of Common Stock (the “Offering”). The price to the public in the Offering was $10.00 per Share and $9.9999 per Pre-Funded Warrant, which is the price per share at which the Shares are being sold to the public in the Offering, minus the $0.0001 exercise price per Pre-Funded Warrant. In addition, under the terms of the Underwriting Agreement, the Company granted the Underwriters the option, for 30 days, to purchase up to an additional 1,125,000 Shares and at the public offering price, less underwriting discounts and commissions.</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Offering closed on July 30, 2025. The Offering was made pursuant to an effective registration statement on Form S-3 (File No. 333-288361) (the “Registration Statement”) previously filed with the Securities and Exchange Commission on June 26, 2025, and declared effective on July 3, 2025, and related prospectus supplement dated July 28,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are expected to be approximately $75 million, before deducting fees to the underwriters and other estimated offering expenses payable by the Company. The Company intends to use the net proceeds from the Offering to purchase Bitcoin and other digital assets in accordance with its Investment Policy, for working capital and for general corporate purposes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(including a lock-up agreement, pursuant to which, subject to specified exceptions, the Company has agreed not to offer or transfer Shares during the 60 day period following the date of the Underwriting Agreement), customary conditions to closing, indemnification obligations of the Company and the Underwriters, including for liabilities under the Securities Act of 1933, as amended (the “Securities Act”) and termination provisions. In connection with the Offering, the Company’s officers and directors and Intercontinental Exchange Holdings, Inc. (“ICE”) have also entered into lock-up agreements, pursuant to which, subject to specified exceptions, they have agreed not to offer or transfer their Shares during the 90-day period following the date of the Underwriting Agreement.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Pre-Funded Warrants are exercisable at any time so long as the aggregate number of shares of Common Stock beneficially owned by the holder (together with its affiliates) would not exceed 4.99% of the number of Shares outstanding immediately after giving effect to the exercise, as such percentage ownership is determined in accordance with the terms of such Pre-Funded Warrant. Such percentage may be increased or decreased to any number not in excess of 9.99% at the holder’s election upon notice to the Company, any such increase not to take effect until the 61st day after notice to the Company. The Pre-Funded Warrants contain standard adjustments to the exercise price, including for stock splits, stock dividends and pro rata distributions and contain customary terms regarding the treatment of such Pre-Funded Warrants in the event of a fundamental transaction, which include but are not limited to a merger or consolidation involving the Company, a sale of all or substantially all of the assets of the Company, or a business combination resulting in any person acquiring more than 50% of the voting power of the capital stock of the Company.</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material terms of the Offering, the Shares, the Pre-Funded Warrants and the Underwriting Agreement do not purport to be complete and are qualified in their entirety by reference to the Underwriting Agreement and the form of Pre-Funded Common Stock Purchase Warrant, which are filed as Exhibits 1.1 and 4.1, respectively, to this Current Report on Form 8-K and are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on August 12, 2024, the Company, Bakkt Opco Holdings, LLC (the “Borrower”), the subsidiaries of the Company party thereto as guarantors and ICE, as lender, entered into a Revolving Credit Agreement (the “ICE Credit Facility”). ICE is an existing stockholder of the Company and holds greater than ten percent (10%) of the Company’s capital stock. In addition, an affiliate of ICE employs David Clifton, who is currently serving on the Company’s board of directors. The Company also has certain commercial agreements with certain affiliates of ICE.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July 30, 2025, the Borrower and the Company terminated the ICE Credit Facility and repaid all outstanding principal, interest and fees due thereunder through the date of termination. The ICE Credit Facility was scheduled to mature on December 31, 2026 and provided the Borrower with a $40.0 million secured revolving line of credit.</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spacing w:after="0" w:line="272" w:lineRule="auto"/>
        <w:rPr>
          <w:sz w:val="20"/>
          <w:szCs w:val="20"/>
          <w:color w:val="auto"/>
        </w:rPr>
      </w:pPr>
      <w:r>
        <w:rPr>
          <w:rFonts w:ascii="Times New Roman" w:cs="Times New Roman" w:eastAsia="Times New Roman" w:hAnsi="Times New Roman"/>
          <w:sz w:val="17"/>
          <w:szCs w:val="17"/>
          <w:color w:val="auto"/>
        </w:rPr>
        <w:t>In connection with the Offering, the Company’s Board of Directors and its Compensation Committee (the “Compensation Committee”) approved a one-time award of stock options to purchase up to $74.5 million worth of Common Stock (the “Options”), in the aggregate, to 10 employees. No consideration was received by the Company for the granting of the Options. Due to the limited share reserve under the Bakkt Holdings, Inc. 2021 Omnibus Employee Incentive Plan (the “Omnibus Incentive Plan”), the Options were approved by the Board of Directors outside the Omnibus Incentive Plan and are subject to stockholder approval. Notwithstanding the foregoing, the Options will be governed in all respects as if issued under the Omnibus Incentive Plan, except with respect to the Omnibus Incentive Plan’s minimum 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1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Consistent with the purpose of the Omnibus Incentive Plan and subject to stockholder approval, the Options are structured as a commitment by the grantee to exercise a predetermined number of Options every quarter for eight quarters (such committed number of Options, the “Mandatory Exercise Options”). The exercise price of the Options is equal to the closing price reported for a share of Common Stock on the grant date (i.e., July 29, 2025) as reported on the New York Stock Exchange ($10.00). For each quarter in which the grantee exercises the Mandatory Exercise Options, the grantee will be entitled to exercise an additional number of Options (the “Optional Exercise Options”) which Optional Exercise Options will become exercisable for a period of up to two years. The grantee must personally fund the exercise price in order to exercise the Mandatory Exercise Options, as net settlement of the Mandatory Exercise Options will not be permitted. The grantee may either personally fund the exercise price in order to exercise the Optional Exercise Options or may elect to net settle the Optional Exercise Options.</w:t>
      </w:r>
    </w:p>
    <w:p>
      <w:pPr>
        <w:spacing w:after="0" w:line="1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Subject to stockholder approval, the award pool for Options will be $74.5 million (the “Total Pool”). The Total Pool will be divided into two sub-pools from which the grantees will receive options to purchase Common Stock in the following amounts:</w:t>
      </w:r>
    </w:p>
    <w:p>
      <w:pPr>
        <w:spacing w:after="0" w:line="65" w:lineRule="exact"/>
        <w:rPr>
          <w:sz w:val="20"/>
          <w:szCs w:val="20"/>
          <w:color w:val="auto"/>
        </w:rPr>
      </w:pPr>
    </w:p>
    <w:p>
      <w:pPr>
        <w:jc w:val="both"/>
        <w:ind w:left="960" w:right="60" w:hanging="532"/>
        <w:spacing w:after="0" w:line="26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Pool One</w:t>
      </w:r>
      <w:r>
        <w:rPr>
          <w:rFonts w:ascii="Times New Roman" w:cs="Times New Roman" w:eastAsia="Times New Roman" w:hAnsi="Times New Roman"/>
          <w:sz w:val="18"/>
          <w:szCs w:val="18"/>
          <w:color w:val="auto"/>
        </w:rPr>
        <w:t>: 81% of the Total Pool will be allocated to Pool One. For each grantee in Pool One, 1/8 of their Options will become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quarter (the “Quarterly Tranche”), with 20% of each Quarterly Tranche being Mandatory Exercise Options, and the remainder of the Quarterly Tranche being Optional Exercise Options.</w:t>
      </w:r>
    </w:p>
    <w:p>
      <w:pPr>
        <w:spacing w:after="0" w:line="78" w:lineRule="exact"/>
        <w:rPr>
          <w:rFonts w:ascii="Times New Roman" w:cs="Times New Roman" w:eastAsia="Times New Roman" w:hAnsi="Times New Roman"/>
          <w:sz w:val="18"/>
          <w:szCs w:val="18"/>
          <w:color w:val="auto"/>
        </w:rPr>
      </w:pPr>
    </w:p>
    <w:p>
      <w:pPr>
        <w:ind w:left="960" w:right="20" w:hanging="532"/>
        <w:spacing w:after="0" w:line="26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Pool Two</w:t>
      </w:r>
      <w:r>
        <w:rPr>
          <w:rFonts w:ascii="Times New Roman" w:cs="Times New Roman" w:eastAsia="Times New Roman" w:hAnsi="Times New Roman"/>
          <w:sz w:val="18"/>
          <w:szCs w:val="18"/>
          <w:color w:val="auto"/>
        </w:rPr>
        <w:t>: 19% of the Total Pool will be allocated to Pool Two. For each grantee in Pool Two, 1/8 of their Options will become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quarter, with 10% of each Quarterly Tranche being Mandatory Exercise Options, and the remainder of the Quarterly Tranche being Optional Exercise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quarter, a Quarterly Tranche will become exercisable as follows:</w:t>
      </w:r>
    </w:p>
    <w:p>
      <w:pPr>
        <w:spacing w:after="0" w:line="131" w:lineRule="exact"/>
        <w:rPr>
          <w:sz w:val="20"/>
          <w:szCs w:val="20"/>
          <w:color w:val="auto"/>
        </w:rPr>
      </w:pPr>
    </w:p>
    <w:p>
      <w:pPr>
        <w:ind w:left="960" w:right="6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Exercise portion of the tranche will be exercisable over a two-day period in the applicable quarter (the “Mandatory Exercise Period”).</w:t>
      </w:r>
    </w:p>
    <w:p>
      <w:pPr>
        <w:spacing w:after="0" w:line="67"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exercises the Mandatory Exercise portion of the tranche during the Mandatory Exercise Period, then the remaining portion of the Quarterly Tranche will become exercisable for a period of two years thereafter. The grantee may choose when within that two year period to exercise the Optional Exercise Options.</w:t>
      </w:r>
    </w:p>
    <w:p>
      <w:pPr>
        <w:spacing w:after="0" w:line="81"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does not exercise the Mandatory Exercise portion of any Quarterly Tranche during the Mandatory Exercise Period, then all remaining Options (for that quarter and all future quarters) will be forfeited.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type w:val="continuous"/>
        </w:sectPr>
      </w:pPr>
    </w:p>
    <w:bookmarkStart w:id="3" w:name="page4"/>
    <w:bookmarkEnd w:id="3"/>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Subject to stockholder approval, any portion of the Options, including both the Mandatory Exercise portion and/or the Optional Exercise portion of any Quarterly Tranche, may be exercised on an accelerated basis prior to the applicable quarter in which the Quarterly Tranche would otherwise become exercisable (but not before the first Mandatory Exercise Period); provided, that any shares of Common Stock acquired on exercise of Optional Exercise Options will be subject to a trading lock up and will not be freely tradable, sellable or transferrable until the date on which the Optional Exercise Options would otherwise have become exercisable pursuant to the Quarterly Tranche schedule described above.</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On July 28, 2025, the Company issued a press release announcing the Offering. A copy of the press releases is attached as Exhibit 99.1 to this Current Report on Form 8-K and incorporated into this Item 7.01 by reference.</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July 28, 2025, the Company also issued a press release announcing the pricing of the Offering. A copy of the press release is attached as Exhibit 99.2 to this Current Report on Form 8-K and incorporated into this Item 7.01 by reference.</w:t>
      </w:r>
    </w:p>
    <w:p>
      <w:pPr>
        <w:spacing w:after="0" w:line="162"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On July 30, 2025, the Company issued a press release announcing the closing of the Offering. A copy of the press release is attached as Exhibit 99.3 to this Current Report on Form 8-K and incorporated into this Item 7.01 by reference.</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Exhibits 99.1, 99.2 and 99.3 are being furnished hereto and shall not be deemed “filed” for purposes of Section 18 of the Securities Exchange Act of 1934, as amended (the “Exchange Act”), or otherwise subject to the liabilities of that section, nor will it be incorporated by reference in any filing under the Securities Act or the Exchange Act,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33" w:lineRule="exact"/>
        <w:rPr>
          <w:sz w:val="20"/>
          <w:szCs w:val="20"/>
          <w:color w:val="auto"/>
        </w:rPr>
      </w:pPr>
    </w:p>
    <w:tbl>
      <w:tblPr>
        <w:tblLayout w:type="fixed"/>
        <w:tblInd w:w="64"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53" w:lineRule="exact"/>
        <w:rPr>
          <w:sz w:val="20"/>
          <w:szCs w:val="20"/>
          <w:color w:val="auto"/>
        </w:rPr>
      </w:pPr>
    </w:p>
    <w:p>
      <w:pPr>
        <w:ind w:left="884" w:right="300" w:hanging="884"/>
        <w:spacing w:after="0" w:line="282" w:lineRule="auto"/>
        <w:tabs>
          <w:tab w:leader="none" w:pos="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as of July 28, 2025, by and among the Company, Clear Street LLC and Cohen &amp; Co. Capital Markets, a division of Cohen &amp; Company Securities, LLC.</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Pre-Funded Warrant.</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Sullivan &amp; Cromwell LLP.</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Sullivan &amp; Cromwell LLP (included in Exhibit 5.1).</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5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July 28, 2025.</w:t>
            </w:r>
          </w:p>
        </w:tc>
        <w:tc>
          <w:tcPr>
            <w:tcW w:w="20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July 28, 2025.</w:t>
            </w:r>
          </w:p>
        </w:tc>
        <w:tc>
          <w:tcPr>
            <w:tcW w:w="3240" w:type="dxa"/>
            <w:vAlign w:val="bottom"/>
            <w:gridSpan w:val="2"/>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July 30, 2025.</w:t>
            </w:r>
          </w:p>
        </w:tc>
        <w:tc>
          <w:tcPr>
            <w:tcW w:w="3240" w:type="dxa"/>
            <w:vAlign w:val="bottom"/>
            <w:gridSpan w:val="2"/>
          </w:tcPr>
          <w:p>
            <w:pPr>
              <w:spacing w:after="0"/>
              <w:rPr>
                <w:sz w:val="24"/>
                <w:szCs w:val="24"/>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exhibits and similar attachments have been omitted pursuant to Item 601(a)(5) of Regulation S-K. The Company will provide a copy of such omitted materials to the Securities and Exchange Commission or its staff upon request.</w:t>
      </w: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personally identifiable information has been omitted from this exhibit pursuant to Item 601(a)(6) of Regulation S-K.</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and Section 21E of the Exchange Act.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97" w:right="459" w:bottom="1440" w:gutter="0" w:footer="0" w:header="0"/>
        </w:sectPr>
      </w:pPr>
    </w:p>
    <w:bookmarkStart w:id="4" w:name="page5"/>
    <w:bookmarkEnd w:id="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its updated investment policy (“Investment Policy”) as described in the Company’s Current Report on Form 8-K, filed with the U.S. Securities and Exchange Commission on June 10, 2025 (the “June 10, 2025 8-K”);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Investment Policy set forth in Exhibit 99.1 to the June 10, 2025 8-K.</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97" w:right="519" w:bottom="1440" w:gutter="0" w:footer="0" w:header="0"/>
        </w:sectPr>
      </w:pPr>
    </w:p>
    <w:bookmarkStart w:id="6" w:name="page7"/>
    <w:bookmarkEnd w:id="6"/>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2025</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60"/>
          </w:cols>
          <w:pgMar w:left="440" w:top="293" w:right="11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Certain personally identifiable information has been omitted from this exhibit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item 601(a)(6) of Regulation S-K. [***] indicates that information has been redacted.</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6,753,627 Shares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746,373 Pre-Funded Warrants to Purchase Shares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Pre-Funded Warrant to Purchase Shares of Class A Common Stock, $0.0001 par value per share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28, 2025</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Cohen &amp; Company Capital Markets, a division of Cohen &amp; Company Securities, LLC</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 World Trade Center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Cohen &amp; Co. Capital Markets, a division of Cohen &amp; Company Securities,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Columbus Circle, 24th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 w:right="20" w:hanging="4"/>
        <w:spacing w:after="0" w:line="269" w:lineRule="auto"/>
        <w:tabs>
          <w:tab w:leader="none" w:pos="1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Introductory. </w:t>
      </w:r>
      <w:r>
        <w:rPr>
          <w:rFonts w:ascii="Times New Roman" w:cs="Times New Roman" w:eastAsia="Times New Roman" w:hAnsi="Times New Roman"/>
          <w:sz w:val="17"/>
          <w:szCs w:val="17"/>
          <w:color w:val="auto"/>
        </w:rPr>
        <w:t>Bakkt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proposes to issue and sell, pursuant to the terms of this Agreement,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several underwriters named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Underwriters</w:t>
      </w:r>
      <w:r>
        <w:rPr>
          <w:rFonts w:ascii="Times New Roman" w:cs="Times New Roman" w:eastAsia="Times New Roman" w:hAnsi="Times New Roman"/>
          <w:sz w:val="17"/>
          <w:szCs w:val="17"/>
          <w:color w:val="auto"/>
        </w:rPr>
        <w:t>,” or, each, an “</w:t>
      </w:r>
      <w:r>
        <w:rPr>
          <w:rFonts w:ascii="Times New Roman" w:cs="Times New Roman" w:eastAsia="Times New Roman" w:hAnsi="Times New Roman"/>
          <w:sz w:val="17"/>
          <w:szCs w:val="17"/>
          <w:b w:val="1"/>
          <w:bCs w:val="1"/>
          <w:i w:val="1"/>
          <w:iCs w:val="1"/>
          <w:color w:val="auto"/>
        </w:rPr>
        <w:t>Underwriter</w:t>
      </w:r>
      <w:r>
        <w:rPr>
          <w:rFonts w:ascii="Times New Roman" w:cs="Times New Roman" w:eastAsia="Times New Roman" w:hAnsi="Times New Roman"/>
          <w:sz w:val="17"/>
          <w:szCs w:val="17"/>
          <w:color w:val="auto"/>
        </w:rPr>
        <w:t>”), an aggregate of (a) 6,753,627 shares (the “</w:t>
      </w:r>
      <w:r>
        <w:rPr>
          <w:rFonts w:ascii="Times New Roman" w:cs="Times New Roman" w:eastAsia="Times New Roman" w:hAnsi="Times New Roman"/>
          <w:sz w:val="17"/>
          <w:szCs w:val="17"/>
          <w:b w:val="1"/>
          <w:bCs w:val="1"/>
          <w:i w:val="1"/>
          <w:iCs w:val="1"/>
          <w:color w:val="auto"/>
        </w:rPr>
        <w:t>Firm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Class A common stock, par value $0.0001 per share (the “</w:t>
      </w:r>
      <w:r>
        <w:rPr>
          <w:rFonts w:ascii="Times New Roman" w:cs="Times New Roman" w:eastAsia="Times New Roman" w:hAnsi="Times New Roman"/>
          <w:sz w:val="17"/>
          <w:szCs w:val="17"/>
          <w:b w:val="1"/>
          <w:bCs w:val="1"/>
          <w:i w:val="1"/>
          <w:iCs w:val="1"/>
          <w:color w:val="auto"/>
        </w:rPr>
        <w:t>Class A Common Stock</w:t>
      </w:r>
      <w:r>
        <w:rPr>
          <w:rFonts w:ascii="Times New Roman" w:cs="Times New Roman" w:eastAsia="Times New Roman" w:hAnsi="Times New Roman"/>
          <w:sz w:val="17"/>
          <w:szCs w:val="17"/>
          <w:color w:val="auto"/>
        </w:rPr>
        <w:t>”) and (b) pre-funded warrants to purchase 746,373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Class A Common Stock at an exercise price of $0.0001 per share (the “</w:t>
      </w:r>
      <w:r>
        <w:rPr>
          <w:rFonts w:ascii="Times New Roman" w:cs="Times New Roman" w:eastAsia="Times New Roman" w:hAnsi="Times New Roman"/>
          <w:sz w:val="17"/>
          <w:szCs w:val="17"/>
          <w:b w:val="1"/>
          <w:bCs w:val="1"/>
          <w:i w:val="1"/>
          <w:iCs w:val="1"/>
          <w:color w:val="auto"/>
        </w:rPr>
        <w:t>Firm Pre-Funded Warrants</w:t>
      </w:r>
      <w:r>
        <w:rPr>
          <w:rFonts w:ascii="Times New Roman" w:cs="Times New Roman" w:eastAsia="Times New Roman" w:hAnsi="Times New Roman"/>
          <w:sz w:val="17"/>
          <w:szCs w:val="17"/>
          <w:color w:val="auto"/>
        </w:rPr>
        <w:t>” and, together with the Firm Shares, the “</w:t>
      </w:r>
      <w:r>
        <w:rPr>
          <w:rFonts w:ascii="Times New Roman" w:cs="Times New Roman" w:eastAsia="Times New Roman" w:hAnsi="Times New Roman"/>
          <w:sz w:val="17"/>
          <w:szCs w:val="17"/>
          <w:b w:val="1"/>
          <w:bCs w:val="1"/>
          <w:i w:val="1"/>
          <w:iCs w:val="1"/>
          <w:color w:val="auto"/>
        </w:rPr>
        <w:t>Firm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The Company also proposes to sell to the Underwriters, upon the terms and conditions set forth herein, up to an additional 1,125,000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Class A Common Stock (the “</w:t>
      </w:r>
      <w:r>
        <w:rPr>
          <w:rFonts w:ascii="Times New Roman" w:cs="Times New Roman" w:eastAsia="Times New Roman" w:hAnsi="Times New Roman"/>
          <w:sz w:val="17"/>
          <w:szCs w:val="17"/>
          <w:b w:val="1"/>
          <w:bCs w:val="1"/>
          <w:i w:val="1"/>
          <w:iCs w:val="1"/>
          <w:color w:val="auto"/>
        </w:rPr>
        <w:t>Option Shares</w:t>
      </w:r>
      <w:r>
        <w:rPr>
          <w:rFonts w:ascii="Times New Roman" w:cs="Times New Roman" w:eastAsia="Times New Roman" w:hAnsi="Times New Roman"/>
          <w:sz w:val="17"/>
          <w:szCs w:val="17"/>
          <w:color w:val="auto"/>
        </w:rPr>
        <w:t>”) and/or pre-funded warrants to purchase additional shares of Class A Common Stock at an exercise price of $0.0001 per share (the “</w:t>
      </w:r>
      <w:r>
        <w:rPr>
          <w:rFonts w:ascii="Times New Roman" w:cs="Times New Roman" w:eastAsia="Times New Roman" w:hAnsi="Times New Roman"/>
          <w:sz w:val="17"/>
          <w:szCs w:val="17"/>
          <w:b w:val="1"/>
          <w:bCs w:val="1"/>
          <w:i w:val="1"/>
          <w:iCs w:val="1"/>
          <w:color w:val="auto"/>
        </w:rPr>
        <w:t>Option Pre-Funded Warrants</w:t>
      </w:r>
      <w:r>
        <w:rPr>
          <w:rFonts w:ascii="Times New Roman" w:cs="Times New Roman" w:eastAsia="Times New Roman" w:hAnsi="Times New Roman"/>
          <w:sz w:val="17"/>
          <w:szCs w:val="17"/>
          <w:color w:val="auto"/>
        </w:rPr>
        <w:t>” and, together with the Option Shares, the “</w:t>
      </w:r>
      <w:r>
        <w:rPr>
          <w:rFonts w:ascii="Times New Roman" w:cs="Times New Roman" w:eastAsia="Times New Roman" w:hAnsi="Times New Roman"/>
          <w:sz w:val="17"/>
          <w:szCs w:val="17"/>
          <w:b w:val="1"/>
          <w:bCs w:val="1"/>
          <w:i w:val="1"/>
          <w:iCs w:val="1"/>
          <w:color w:val="auto"/>
        </w:rPr>
        <w:t>Option Securities</w:t>
      </w:r>
      <w:r>
        <w:rPr>
          <w:rFonts w:ascii="Times New Roman" w:cs="Times New Roman" w:eastAsia="Times New Roman" w:hAnsi="Times New Roman"/>
          <w:sz w:val="17"/>
          <w:szCs w:val="17"/>
          <w:color w:val="auto"/>
        </w:rPr>
        <w:t>”). The Firm Shares and to the extent such option is exercised, the Option Shares are hereinafter collectively referred to as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The Firm Pre-Funded Warrants and to the extent such option is exercised, the Option Pre-Funded Warrants are hereinafter collectively referred to as the “</w:t>
      </w:r>
      <w:r>
        <w:rPr>
          <w:rFonts w:ascii="Times New Roman" w:cs="Times New Roman" w:eastAsia="Times New Roman" w:hAnsi="Times New Roman"/>
          <w:sz w:val="17"/>
          <w:szCs w:val="17"/>
          <w:b w:val="1"/>
          <w:bCs w:val="1"/>
          <w:i w:val="1"/>
          <w:iCs w:val="1"/>
          <w:color w:val="auto"/>
        </w:rPr>
        <w:t>Pre-Funded Warrants</w:t>
      </w:r>
      <w:r>
        <w:rPr>
          <w:rFonts w:ascii="Times New Roman" w:cs="Times New Roman" w:eastAsia="Times New Roman" w:hAnsi="Times New Roman"/>
          <w:sz w:val="17"/>
          <w:szCs w:val="17"/>
          <w:color w:val="auto"/>
        </w:rPr>
        <w:t>” and, together with the Shares, the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The shares of Class A Common Stock issuable upon exercise of the Pre-Funded Warrants are herein referred to as the “</w:t>
      </w:r>
      <w:r>
        <w:rPr>
          <w:rFonts w:ascii="Times New Roman" w:cs="Times New Roman" w:eastAsia="Times New Roman" w:hAnsi="Times New Roman"/>
          <w:sz w:val="17"/>
          <w:szCs w:val="17"/>
          <w:b w:val="1"/>
          <w:bCs w:val="1"/>
          <w:i w:val="1"/>
          <w:iCs w:val="1"/>
          <w:color w:val="auto"/>
        </w:rPr>
        <w:t>Warrant Shares</w:t>
      </w:r>
      <w:r>
        <w:rPr>
          <w:rFonts w:ascii="Times New Roman" w:cs="Times New Roman" w:eastAsia="Times New Roman" w:hAnsi="Times New Roman"/>
          <w:sz w:val="17"/>
          <w:szCs w:val="17"/>
          <w:color w:val="auto"/>
        </w:rPr>
        <w:t>.” Clear Street LLC (“</w:t>
      </w:r>
      <w:r>
        <w:rPr>
          <w:rFonts w:ascii="Times New Roman" w:cs="Times New Roman" w:eastAsia="Times New Roman" w:hAnsi="Times New Roman"/>
          <w:sz w:val="17"/>
          <w:szCs w:val="17"/>
          <w:b w:val="1"/>
          <w:bCs w:val="1"/>
          <w:i w:val="1"/>
          <w:iCs w:val="1"/>
          <w:color w:val="auto"/>
        </w:rPr>
        <w:t>Clear Street</w:t>
      </w:r>
      <w:r>
        <w:rPr>
          <w:rFonts w:ascii="Times New Roman" w:cs="Times New Roman" w:eastAsia="Times New Roman" w:hAnsi="Times New Roman"/>
          <w:sz w:val="17"/>
          <w:szCs w:val="17"/>
          <w:color w:val="auto"/>
        </w:rPr>
        <w:t>”) and Cohen &amp; Company Capital Markets, a division of Cohen &amp; Company Securities, LLC (“</w:t>
      </w:r>
      <w:r>
        <w:rPr>
          <w:rFonts w:ascii="Times New Roman" w:cs="Times New Roman" w:eastAsia="Times New Roman" w:hAnsi="Times New Roman"/>
          <w:sz w:val="17"/>
          <w:szCs w:val="17"/>
          <w:b w:val="1"/>
          <w:bCs w:val="1"/>
          <w:i w:val="1"/>
          <w:iCs w:val="1"/>
          <w:color w:val="auto"/>
        </w:rPr>
        <w:t>Cohen &amp; Co.</w:t>
      </w:r>
      <w:r>
        <w:rPr>
          <w:rFonts w:ascii="Times New Roman" w:cs="Times New Roman" w:eastAsia="Times New Roman" w:hAnsi="Times New Roman"/>
          <w:sz w:val="17"/>
          <w:szCs w:val="17"/>
          <w:color w:val="auto"/>
        </w:rPr>
        <w:t>”) are acting as representatives of the several Underwriters and in such capacity are hereinafter referred to as the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w:t>
      </w:r>
    </w:p>
    <w:p>
      <w:pPr>
        <w:sectPr>
          <w:pgSz w:w="11900" w:h="16838" w:orient="portrait"/>
          <w:cols w:equalWidth="0" w:num="1">
            <w:col w:w="11024"/>
          </w:cols>
          <w:pgMar w:left="436" w:top="117" w:right="439" w:bottom="1440" w:gutter="0" w:footer="0" w:header="0"/>
        </w:sectPr>
      </w:pPr>
    </w:p>
    <w:bookmarkStart w:id="8" w:name="page9"/>
    <w:bookmarkEnd w:id="8"/>
    <w:p>
      <w:pPr>
        <w:ind w:left="4" w:right="280" w:hanging="4"/>
        <w:spacing w:after="0" w:line="284" w:lineRule="auto"/>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Warranties of the Company. </w:t>
      </w:r>
      <w:r>
        <w:rPr>
          <w:rFonts w:ascii="Times New Roman" w:cs="Times New Roman" w:eastAsia="Times New Roman" w:hAnsi="Times New Roman"/>
          <w:sz w:val="18"/>
          <w:szCs w:val="18"/>
          <w:color w:val="auto"/>
        </w:rPr>
        <w:t>The Company represents and warrants to the several Underwriters, as of the Applicable Time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below) and as of each Closing Date (as defined below) that:</w:t>
      </w:r>
    </w:p>
    <w:p>
      <w:pPr>
        <w:spacing w:after="0" w:line="52" w:lineRule="exact"/>
        <w:rPr>
          <w:rFonts w:ascii="Times New Roman" w:cs="Times New Roman" w:eastAsia="Times New Roman" w:hAnsi="Times New Roman"/>
          <w:sz w:val="18"/>
          <w:szCs w:val="18"/>
          <w:color w:val="auto"/>
        </w:rPr>
      </w:pPr>
    </w:p>
    <w:p>
      <w:pPr>
        <w:ind w:left="444" w:right="20" w:firstLine="419"/>
        <w:spacing w:after="0" w:line="251" w:lineRule="auto"/>
        <w:tabs>
          <w:tab w:leader="none" w:pos="108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 registration statement of the Company on Form S-3 (File No. 333-288361) (including all amendments thereto, the “</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in respect of securities, including the Securities, has been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Rule 415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Company meets the requirements for use of Form S-3 under the Securities Act, and the rules and regulations of the Commission thereunder, as amended (the “</w:t>
      </w:r>
      <w:r>
        <w:rPr>
          <w:rFonts w:ascii="Times New Roman" w:cs="Times New Roman" w:eastAsia="Times New Roman" w:hAnsi="Times New Roman"/>
          <w:sz w:val="18"/>
          <w:szCs w:val="18"/>
          <w:b w:val="1"/>
          <w:bCs w:val="1"/>
          <w:i w:val="1"/>
          <w:iCs w:val="1"/>
          <w:color w:val="auto"/>
        </w:rPr>
        <w:t>Rules and Regulations</w:t>
      </w:r>
      <w:r>
        <w:rPr>
          <w:rFonts w:ascii="Times New Roman" w:cs="Times New Roman" w:eastAsia="Times New Roman" w:hAnsi="Times New Roman"/>
          <w:sz w:val="18"/>
          <w:szCs w:val="18"/>
          <w:color w:val="auto"/>
        </w:rPr>
        <w:t>”). The Initial Registration Statement and any post-effective amendment thereto have been declared effective by the Commission and meet the requirements of the Securities Act and the Rules and Regulations. The proposed offering of the Securities may be made pursuant to General Instruction I.B.1 of Form S-3. Other than (a) the Initial Registration Statement, (b) a registration statement, if any, increasing the size of the offering filed pursuant to Rule 462(b) of the Rules and Regulations (a “</w:t>
      </w: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(c) any Preliminary Prospectus (as defined below), (d) the Prospectus (as defined below) contemplated by this Agreement to be filed pursuant to Rule 424(b) of the Rules and Regulations in accordance with the terms and conditions hereof and (e) any filed Issuer Free Writing Prospectus (as defined below), no other document in connection with the offer or sale of the Securities has heretofore been filed with the Commission. The Initial Registration Statement including all exhibits thereto and including the information contained in the Prospectus filed with the Commission pursuant to Rule 424(b) of the Rules and Regulations and deemed by virtue of Rules 430A, 430B and 430C of the Rules and Regulations to be part of the Initial Registration Statement at the time it became effective is hereinafter collectively called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If the Company has filed a Rule 462(b) Registration Statement, then any reference herein to the term “Registration Statement” shall be deemed to include such Rule 462 Registration Statement. The final prospectus included (or deemed to be included) in the Initial Registration Statement at the time of effectiveness thereof, as supplemented by a prospectus supplement relating to the offer and sale of the Securities in preliminary form, filed pursuant to Rule 424 of the Rules and Regulations, is hereinafter called a “</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The base prospectus included in the Initial Registration Statement at the time of effectiveness thereof, as supplemented by the final prospectus supplement relating to the offer and sale of the Securities, in the form filed pursuant to and within the time limits described in Rule 424(b) of the Rules and Regulations, is hereinafter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Any reference herein to the Registration Statement, Preliminary Prospectus or the Prospectus shall be deemed to refer to and include the documents incorporated by reference therein. Any reference to any amendment or supplement to any Preliminary Prospectus or the Prospectus shall be deemed to refer to and include any documents filed after the date of such Preliminary Prospectus or the Prospectus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date of this Agreement that is incorporated by reference in the Registration Statement.</w:t>
      </w:r>
    </w:p>
    <w:p>
      <w:pPr>
        <w:spacing w:after="0" w:line="95" w:lineRule="exact"/>
        <w:rPr>
          <w:rFonts w:ascii="Times New Roman" w:cs="Times New Roman" w:eastAsia="Times New Roman" w:hAnsi="Times New Roman"/>
          <w:sz w:val="18"/>
          <w:szCs w:val="18"/>
          <w:color w:val="auto"/>
        </w:rPr>
      </w:pPr>
    </w:p>
    <w:p>
      <w:pPr>
        <w:ind w:left="444" w:right="260" w:firstLine="419"/>
        <w:spacing w:after="0" w:line="272" w:lineRule="auto"/>
        <w:tabs>
          <w:tab w:leader="none" w:pos="1132"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Disclosure Package</w:t>
      </w:r>
      <w:r>
        <w:rPr>
          <w:rFonts w:ascii="Times New Roman" w:cs="Times New Roman" w:eastAsia="Times New Roman" w:hAnsi="Times New Roman"/>
          <w:sz w:val="17"/>
          <w:szCs w:val="17"/>
          <w:color w:val="auto"/>
        </w:rPr>
        <w:t xml:space="preserve">. Neither (a) the General Use Free Writing Prospectus(es) (as defined below) issued at or prior to the Applicable Time, the Pricing Prospectus (as defined below) and the information included on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hereto, all considered together (collectively, the “</w:t>
      </w:r>
      <w:r>
        <w:rPr>
          <w:rFonts w:ascii="Times New Roman" w:cs="Times New Roman" w:eastAsia="Times New Roman" w:hAnsi="Times New Roman"/>
          <w:sz w:val="17"/>
          <w:szCs w:val="17"/>
          <w:b w:val="1"/>
          <w:bCs w:val="1"/>
          <w:i w:val="1"/>
          <w:iCs w:val="1"/>
          <w:color w:val="auto"/>
        </w:rPr>
        <w:t>General Disclosure Package</w:t>
      </w:r>
      <w:r>
        <w:rPr>
          <w:rFonts w:ascii="Times New Roman" w:cs="Times New Roman" w:eastAsia="Times New Roman" w:hAnsi="Times New Roman"/>
          <w:sz w:val="17"/>
          <w:szCs w:val="17"/>
          <w:color w:val="auto"/>
        </w:rPr>
        <w:t>”), (b) any other Issuer Free Writing Prospectus, all considered together (as defined below), nor</w:t>
      </w:r>
    </w:p>
    <w:p>
      <w:pPr>
        <w:spacing w:after="0" w:line="1" w:lineRule="exact"/>
        <w:rPr>
          <w:rFonts w:ascii="Times New Roman" w:cs="Times New Roman" w:eastAsia="Times New Roman" w:hAnsi="Times New Roman"/>
          <w:sz w:val="17"/>
          <w:szCs w:val="17"/>
          <w:color w:val="auto"/>
        </w:rPr>
      </w:pPr>
    </w:p>
    <w:p>
      <w:pPr>
        <w:ind w:left="444" w:hanging="4"/>
        <w:spacing w:after="0" w:line="252" w:lineRule="auto"/>
        <w:tabs>
          <w:tab w:leader="none" w:pos="68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bona fide electronic roadshow (as defined in Rule 433(h)(5) of the Rules and Regulations) with respect to the Securities, if any,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makes no representations or warranties as to information contained in or omitted from the Pricing Prospectus or any Issuer Free Writing Prospectus (as defined below),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 As used in this Agreement: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8" w:right="459" w:bottom="1440" w:gutter="0" w:footer="0" w:header="0"/>
        </w:sectPr>
      </w:pPr>
    </w:p>
    <w:bookmarkStart w:id="9" w:name="page10"/>
    <w:bookmarkEnd w:id="9"/>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5:00 P.M., New York time, on the date of this Agreement or such other time as agreed to by the Company and the Representatives in writing.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Pricing Prospectus</w:t>
      </w:r>
      <w:r>
        <w:rPr>
          <w:rFonts w:ascii="Times New Roman" w:cs="Times New Roman" w:eastAsia="Times New Roman" w:hAnsi="Times New Roman"/>
          <w:sz w:val="18"/>
          <w:szCs w:val="18"/>
          <w:color w:val="auto"/>
        </w:rPr>
        <w:t>” means the most recent Preliminary Prospectus that is distributed to investors prior to the Applicable Time.</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Rules and Regulations relating to the Securities in the form filed or required to be filed with the Commission or, if not required to be filed, in the form retained in the Company’s records pursuant to Rule 433(g) of the Rules and Regulations.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Use Free Writing Prospectus</w:t>
      </w:r>
      <w:r>
        <w:rPr>
          <w:rFonts w:ascii="Times New Roman" w:cs="Times New Roman" w:eastAsia="Times New Roman" w:hAnsi="Times New Roman"/>
          <w:sz w:val="18"/>
          <w:szCs w:val="18"/>
          <w:color w:val="auto"/>
        </w:rPr>
        <w:t xml:space="preserve">” means any Issuer Free Writing Prospectus that is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Agreement.</w:t>
      </w:r>
    </w:p>
    <w:p>
      <w:pPr>
        <w:spacing w:after="0" w:line="121" w:lineRule="exact"/>
        <w:rPr>
          <w:sz w:val="20"/>
          <w:szCs w:val="20"/>
          <w:color w:val="auto"/>
        </w:rPr>
      </w:pPr>
    </w:p>
    <w:p>
      <w:pPr>
        <w:ind w:left="440" w:firstLine="419"/>
        <w:spacing w:after="0" w:line="289" w:lineRule="auto"/>
        <w:tabs>
          <w:tab w:leader="none" w:pos="10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Stop Orders</w:t>
      </w:r>
      <w:r>
        <w:rPr>
          <w:rFonts w:ascii="Times New Roman" w:cs="Times New Roman" w:eastAsia="Times New Roman" w:hAnsi="Times New Roman"/>
          <w:sz w:val="17"/>
          <w:szCs w:val="17"/>
          <w:color w:val="auto"/>
        </w:rPr>
        <w:t>. No stop order suspending the effectiveness of the Registration Statement, nor any order preventing or suspending the use of any Preliminary Prospectus, Issuer Free Writing Prospectus or the Prospectus, has been issued and no proceeding for that purpose or pursuant to Section 8A of the Securities Act has, to the Company’s Knowledge (as defined below), been initiated or threatened by the Commission.</w:t>
      </w:r>
    </w:p>
    <w:p>
      <w:pPr>
        <w:spacing w:after="0" w:line="49" w:lineRule="exact"/>
        <w:rPr>
          <w:rFonts w:ascii="Times New Roman" w:cs="Times New Roman" w:eastAsia="Times New Roman" w:hAnsi="Times New Roman"/>
          <w:sz w:val="17"/>
          <w:szCs w:val="17"/>
          <w:color w:val="auto"/>
        </w:rPr>
      </w:pPr>
    </w:p>
    <w:p>
      <w:pPr>
        <w:ind w:left="440" w:firstLine="419"/>
        <w:spacing w:after="0" w:line="253" w:lineRule="auto"/>
        <w:tabs>
          <w:tab w:leader="none" w:pos="11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Preliminary Prospectus and Prospectus Contents</w:t>
      </w:r>
      <w:r>
        <w:rPr>
          <w:rFonts w:ascii="Times New Roman" w:cs="Times New Roman" w:eastAsia="Times New Roman" w:hAnsi="Times New Roman"/>
          <w:sz w:val="18"/>
          <w:szCs w:val="18"/>
          <w:color w:val="auto"/>
        </w:rPr>
        <w:t>. At the respective times the Registration Statement and any amendments thereto became or become effective as to the Underwriters and at each Closing Date, the Registration Statement and any amendments thereto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Each Preliminary Prospectus, at the time it was issued, conformed in all material respects to the requirements of the Securities Act and the Rules and Regulations, and did not contain an untrue statement of a material fact or omit to state a material fact required to be stated therein or necessary to make the statements therein, in the light of the circumstances under which they were made, not misleading. The Prospectus and any amendments or supplements thereto, at the time the Prospectus or any amendment or supplement thereto was issued and at each Closing Date,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the light of the circumstances under which they were made, not misleading. The foregoing representations and warranties in this paragraph (iv) shall not apply to information contained in or omitted from the Registration Statement, any Preliminary Prospectus or the Prospectus, or any amendment or supplement thereto, in reliance upon, and in conformity with, the Underwriters’ Information.</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54" w:lineRule="auto"/>
        <w:tabs>
          <w:tab w:leader="none" w:pos="11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Each Issuer Free Writing Prospectus, as of its issue date and at all subsequent times through the completion of the public offer and sale of the Securities or until any earlier date that the Company notified or notifies the Representatives as described in Section 4(v), did not, does not and will not include any information that conflicted, conflicts or will conflict with the information contained in the Registration Statement, the General Disclosure Package or the Prospectus or included or would include an untrue statement of a material fact or omitted or would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representations and warranties in this paragraph (v) shall not apply to information contained in or omitted from any Issuer Free Writing Prospectus in reliance upon, and in conformity with, the Underwriters’ Information.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0" w:name="page11"/>
    <w:bookmarkEnd w:id="10"/>
    <w:p>
      <w:pPr>
        <w:ind w:left="4" w:right="80" w:firstLine="419"/>
        <w:spacing w:after="0" w:line="254"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Incorporated by Reference</w:t>
      </w:r>
      <w:r>
        <w:rPr>
          <w:rFonts w:ascii="Times New Roman" w:cs="Times New Roman" w:eastAsia="Times New Roman" w:hAnsi="Times New Roman"/>
          <w:sz w:val="18"/>
          <w:szCs w:val="18"/>
          <w:color w:val="auto"/>
        </w:rPr>
        <w:t>. The documents incorporated by reference in the Registration Statement, the General Disclosure Package and the Prospectus, when they were filed with the Commission, conformed in all material respects to the requirements of the Exchange Act and the rules and regulations of the Commission thereunder (the “</w:t>
      </w:r>
      <w:r>
        <w:rPr>
          <w:rFonts w:ascii="Times New Roman" w:cs="Times New Roman" w:eastAsia="Times New Roman" w:hAnsi="Times New Roman"/>
          <w:sz w:val="18"/>
          <w:szCs w:val="18"/>
          <w:b w:val="1"/>
          <w:bCs w:val="1"/>
          <w:i w:val="1"/>
          <w:iCs w:val="1"/>
          <w:color w:val="auto"/>
        </w:rPr>
        <w:t>Exchange Act Rules and Regulations</w:t>
      </w:r>
      <w:r>
        <w:rPr>
          <w:rFonts w:ascii="Times New Roman" w:cs="Times New Roman" w:eastAsia="Times New Roman" w:hAnsi="Times New Roman"/>
          <w:sz w:val="18"/>
          <w:szCs w:val="18"/>
          <w:color w:val="auto"/>
        </w:rPr>
        <w:t>”) and none of such documents contained any untrue statement of a material fact or omitted to state any material fact required to be stated therein, or necessary to make the statements therein, in the light of the circumstances under which they were made, not misleading; and any further documents so filed and incorporated by reference in the Registration Statement, the General Disclosure Package or the Prospectus, when such documents are filed with Commission, will conform in all material respects to the requirements of the Exchange Act and the Exchange Act Rules and Regulations and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80"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Materials</w:t>
      </w:r>
      <w:r>
        <w:rPr>
          <w:rFonts w:ascii="Times New Roman" w:cs="Times New Roman" w:eastAsia="Times New Roman" w:hAnsi="Times New Roman"/>
          <w:sz w:val="18"/>
          <w:szCs w:val="18"/>
          <w:color w:val="auto"/>
        </w:rPr>
        <w:t>. The Company has not, directly or indirectly, distributed and will not distribute any offering material in connection with the offering and sale of the Securities other than any Preliminary Prospectus, the Prospectus and other materials, if any, permitted under the Securities Act and consistent with Section 4(i) below. The Company will file with the Commission all Issuer Free Writing Prospectuses (other than a “road show” as described in Rule 433(d)(8) of the Rules and Regulations) in the time and manner required under Rules 163(b)(2) and 433(d) of the Rules and Regulations.</w:t>
      </w:r>
    </w:p>
    <w:p>
      <w:pPr>
        <w:spacing w:after="0" w:line="75"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Testing-the-Waters</w:t>
      </w:r>
      <w:r>
        <w:rPr>
          <w:rFonts w:ascii="Times New Roman" w:cs="Times New Roman" w:eastAsia="Times New Roman" w:hAnsi="Times New Roman"/>
          <w:sz w:val="18"/>
          <w:szCs w:val="18"/>
          <w:color w:val="auto"/>
        </w:rPr>
        <w:t>. The Company (a) has not alone engaged in any Testing-the-Waters Communication and (b) has not authorized anyone to engage in Testing-the-Waters Communications. “</w:t>
      </w:r>
      <w:r>
        <w:rPr>
          <w:rFonts w:ascii="Times New Roman" w:cs="Times New Roman" w:eastAsia="Times New Roman" w:hAnsi="Times New Roman"/>
          <w:sz w:val="18"/>
          <w:szCs w:val="18"/>
          <w:b w:val="1"/>
          <w:bCs w:val="1"/>
          <w:i w:val="1"/>
          <w:i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 or Rule 163B of the Rules and Regulations.</w:t>
      </w:r>
    </w:p>
    <w:p>
      <w:pPr>
        <w:spacing w:after="0" w:line="67"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7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Ineligible Issuer</w:t>
      </w:r>
      <w:r>
        <w:rPr>
          <w:rFonts w:ascii="Times New Roman" w:cs="Times New Roman" w:eastAsia="Times New Roman" w:hAnsi="Times New Roman"/>
          <w:sz w:val="18"/>
          <w:szCs w:val="18"/>
          <w:color w:val="auto"/>
        </w:rPr>
        <w:t>. At the time of filing the Registration Statement, any Rule 462(b) Registration Statement and any post-effective amendments thereto the Company was not, and the Company currently is not, an “ineligible issuer,” as defined in Rule 405 of the Rules and Regulations.</w:t>
      </w:r>
    </w:p>
    <w:p>
      <w:pPr>
        <w:spacing w:after="0" w:line="67" w:lineRule="exact"/>
        <w:rPr>
          <w:rFonts w:ascii="Times New Roman" w:cs="Times New Roman" w:eastAsia="Times New Roman" w:hAnsi="Times New Roman"/>
          <w:sz w:val="18"/>
          <w:szCs w:val="18"/>
          <w:color w:val="auto"/>
        </w:rPr>
      </w:pPr>
    </w:p>
    <w:p>
      <w:pPr>
        <w:ind w:left="4" w:firstLine="419"/>
        <w:spacing w:after="0" w:line="252" w:lineRule="auto"/>
        <w:tabs>
          <w:tab w:leader="none" w:pos="8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The Company and each of its subsidiaries (as defined in Section 0) have been duly organized and are validly existing as corporations or other legal entities in good standing (or the foreign equivalent thereof) under the laws of their respective jurisdictions of organization, in each case, to the extent the concept of good standing is applicable in such jurisdiction, except with respect to the Company’s subsidiaries where the failure to be in good standing would not have a Material Adverse Effect (as defined below). The Company and each of its subsidiaries are duly qualified to do business and (to the extent applicable) are in good standing as foreign corporations or other legal entities in each jurisdiction in which such qualification is required and have all corporate or similar power and authority necessary to own or hold their respective properties and to conduct the businesses in which they are engaged, except where the failure to so qualify or have such corporate or similar power or authority would not (a) have, individually or in the aggregate, a material adverse effect on the business, properties, management, financial position, stockholders’ equity, results of operations or prospects of the Company and its subsidiaries, taken as a whole, or</w:t>
      </w:r>
    </w:p>
    <w:p>
      <w:pPr>
        <w:spacing w:after="0" w:line="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in any material respect the ability of</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70" w:right="45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to perform its obligations under this Agreement or to consummate any transactions contemplated by this Agreement, the General Disclosure Package or the Prospectus (any such effect as described in clauses (a) or (b),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The Company does not own or control, directly or indirectly, any corporation, association or other entity other than the subsidiaries listed in Exhibit 21 to its most recently filed annual report on Form 10-K.</w:t>
      </w:r>
    </w:p>
    <w:p>
      <w:pPr>
        <w:spacing w:after="0" w:line="72" w:lineRule="exact"/>
        <w:rPr>
          <w:sz w:val="20"/>
          <w:szCs w:val="20"/>
          <w:color w:val="auto"/>
        </w:rPr>
      </w:pPr>
    </w:p>
    <w:p>
      <w:pPr>
        <w:ind w:left="720" w:hanging="301"/>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60" w:firstLine="419"/>
        <w:spacing w:after="0" w:line="258"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Shares</w:t>
      </w:r>
      <w:r>
        <w:rPr>
          <w:rFonts w:ascii="Times New Roman" w:cs="Times New Roman" w:eastAsia="Times New Roman" w:hAnsi="Times New Roman"/>
          <w:sz w:val="18"/>
          <w:szCs w:val="18"/>
          <w:color w:val="auto"/>
        </w:rPr>
        <w:t>. The Shares to be issued and sold by the Company to the Underwriters hereunder have been duly and validly authorized and, when issued and delivered against payment therefor as provided in this Agreement, (i) will be duly and validly issued, fully paid and non-assessable, (ii) will be free and clear of any pledge, lien, encumbrance, security interest or other claim, and (iii) will conform, in all material respects, to the descriptions thereof in the Registration Statement, the General Disclosure Package and the Prospectus. The issuance of the Securities is not subject to any preemptive or similar rights.</w:t>
      </w:r>
    </w:p>
    <w:p>
      <w:pPr>
        <w:spacing w:after="0" w:line="75" w:lineRule="exact"/>
        <w:rPr>
          <w:rFonts w:ascii="Times New Roman" w:cs="Times New Roman" w:eastAsia="Times New Roman" w:hAnsi="Times New Roman"/>
          <w:sz w:val="18"/>
          <w:szCs w:val="18"/>
          <w:color w:val="auto"/>
        </w:rPr>
      </w:pPr>
    </w:p>
    <w:p>
      <w:pPr>
        <w:ind w:right="100" w:firstLine="419"/>
        <w:spacing w:after="0" w:line="254" w:lineRule="auto"/>
        <w:tabs>
          <w:tab w:leader="none" w:pos="7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The Pre-Funded Warrants have been duly authorized and, when executed and delivered by the Company in accordance with this Agreement, will be valid and legally binding agreements of the Company, enforceable against the Company in accordance with their terms except as the enforcement thereof may be limited by applicable bankruptcy, insolvency, reorganization, moratorium or other similar laws relating to or affecting the rights and remedies of creditors or by general equitable principles. The maximum number of Warrant Shares to be issued by the Company upon exercise of the Pre-Funded Warrants in accordance therewith have been duly authorized and have been or will be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similar rights not otherwise validly waived or satisfied.</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7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capitalization as set forth under the heading “Capitalization” in the Pricing Prospectus and the Prospectus, and all of the issued shares of capital stock of the Company, have been duly and validly authorized and issued, are fully paid and non-assessable, have been issued in compliance with federal and state securities laws, and conform to the description thereof contained in the Registration Statement, the General Disclosure Package and the Prospectus. None of the outstanding shares of Class A Common Stock or Class V Common Stock were issued in violation of any preemptive rights, rights of first refusal or other similar rights to subscribe for or purchase securities of the Company. As of the date set forth in the General Disclosure Package and the Prospectus, there were no authorized or outstanding shares of capital stock, options, warrants, preemptive rights, rights of first refusal or other rights to purchase, or equity or debt securities convertible into or exchangeable or exercisable for, any capital stock of the Company or any of its subsidiaries other than those described above or accurately described in the General Disclosure Package and the Prospectus. Since such date, the Company has not issued any securities other than shares of Class A Common Stock issued pursuant to the conversion of the Company’s $25 million convertible debenture, dated June 18, 2025 (“</w:t>
      </w:r>
      <w:r>
        <w:rPr>
          <w:rFonts w:ascii="Times New Roman" w:cs="Times New Roman" w:eastAsia="Times New Roman" w:hAnsi="Times New Roman"/>
          <w:sz w:val="18"/>
          <w:szCs w:val="18"/>
          <w:b w:val="1"/>
          <w:bCs w:val="1"/>
          <w:i w:val="1"/>
          <w:iCs w:val="1"/>
          <w:color w:val="auto"/>
        </w:rPr>
        <w:t>Convertible Debenture</w:t>
      </w:r>
      <w:r>
        <w:rPr>
          <w:rFonts w:ascii="Times New Roman" w:cs="Times New Roman" w:eastAsia="Times New Roman" w:hAnsi="Times New Roman"/>
          <w:sz w:val="18"/>
          <w:szCs w:val="18"/>
          <w:color w:val="auto"/>
        </w:rPr>
        <w:t>”), sold to YA II PN, LTD (“</w:t>
      </w:r>
      <w:r>
        <w:rPr>
          <w:rFonts w:ascii="Times New Roman" w:cs="Times New Roman" w:eastAsia="Times New Roman" w:hAnsi="Times New Roman"/>
          <w:sz w:val="18"/>
          <w:szCs w:val="18"/>
          <w:b w:val="1"/>
          <w:bCs w:val="1"/>
          <w:i w:val="1"/>
          <w:iCs w:val="1"/>
          <w:color w:val="auto"/>
        </w:rPr>
        <w:t>YA</w:t>
      </w:r>
      <w:r>
        <w:rPr>
          <w:rFonts w:ascii="Times New Roman" w:cs="Times New Roman" w:eastAsia="Times New Roman" w:hAnsi="Times New Roman"/>
          <w:sz w:val="18"/>
          <w:szCs w:val="18"/>
          <w:color w:val="auto"/>
        </w:rPr>
        <w:t>”) in a private placement or the exercise of warrants or upon the exercise of stock options or other awards outstanding under the Company’s stock option plans, options or other securities granted or issued pursuant to the Company’s existing equity compensation plans or other plans, and the issuance of shares of Class A Common Stock pursuant to employee stock purchase plans, in each case as accurately described in the General Disclosure Package and the Prospectus (collectively, an “</w:t>
      </w:r>
      <w:r>
        <w:rPr>
          <w:rFonts w:ascii="Times New Roman" w:cs="Times New Roman" w:eastAsia="Times New Roman" w:hAnsi="Times New Roman"/>
          <w:sz w:val="18"/>
          <w:szCs w:val="18"/>
          <w:b w:val="1"/>
          <w:bCs w:val="1"/>
          <w:i w:val="1"/>
          <w:iCs w:val="1"/>
          <w:color w:val="auto"/>
        </w:rPr>
        <w:t>Exempt Plan</w:t>
      </w:r>
      <w:r>
        <w:rPr>
          <w:rFonts w:ascii="Times New Roman" w:cs="Times New Roman" w:eastAsia="Times New Roman" w:hAnsi="Times New Roman"/>
          <w:sz w:val="18"/>
          <w:szCs w:val="18"/>
          <w:color w:val="auto"/>
        </w:rPr>
        <w:t>”). The description of the Company’s stock option, stock bonus and other stock plans or arrangements, and the options or other rights granted thereunder, as described in the General Disclosure Package and the Prospectus, accurately and fairly present the information required to be shown with respect to such plans, arrangements, options and rights in all material respects.</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12" w:name="page13"/>
    <w:bookmarkEnd w:id="12"/>
    <w:p>
      <w:pPr>
        <w:ind w:right="120" w:firstLine="419"/>
        <w:spacing w:after="0" w:line="258"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 of Subsidiaries</w:t>
      </w:r>
      <w:r>
        <w:rPr>
          <w:rFonts w:ascii="Times New Roman" w:cs="Times New Roman" w:eastAsia="Times New Roman" w:hAnsi="Times New Roman"/>
          <w:sz w:val="18"/>
          <w:szCs w:val="18"/>
          <w:color w:val="auto"/>
        </w:rPr>
        <w:t>. All the outstanding shares of capital stock (if any) or other equity securities of each subsidiary of the Company have been duly authorized and validly issued, are fully paid and (where applicable) nonassessable and, except to the extent set forth in the General Disclosure Package or the Prospectus, are owned by the Company directly or indirectly through one or more wholly owned subsidiaries, free and clear of any claim, lien, encumbrance, security interest, restriction upon voting or transfer or any other claim of any third party.</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8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 on Subsidiaries</w:t>
      </w:r>
      <w:r>
        <w:rPr>
          <w:rFonts w:ascii="Times New Roman" w:cs="Times New Roman" w:eastAsia="Times New Roman" w:hAnsi="Times New Roman"/>
          <w:sz w:val="18"/>
          <w:szCs w:val="18"/>
          <w:color w:val="auto"/>
        </w:rPr>
        <w:t>. Except as described in the General Disclosure Package and the Prospectus and for restrictions under law for any regulated subsidiary,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75" w:lineRule="exact"/>
        <w:rPr>
          <w:rFonts w:ascii="Times New Roman" w:cs="Times New Roman" w:eastAsia="Times New Roman" w:hAnsi="Times New Roman"/>
          <w:sz w:val="18"/>
          <w:szCs w:val="18"/>
          <w:color w:val="auto"/>
        </w:rPr>
      </w:pPr>
    </w:p>
    <w:p>
      <w:pPr>
        <w:ind w:firstLine="419"/>
        <w:spacing w:after="0" w:line="268" w:lineRule="auto"/>
        <w:tabs>
          <w:tab w:leader="none" w:pos="76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of this Agreement by the Company, the issue and sale of the Securities by the Company and the consummation of the transactions contemplated hereby will not (with or without notice or lapse of time or both) (a) conflict with or result in a breach or violation of any of the terms or provisions of, constitute a default or a Debt Repayment Triggering Event (as defined below) under, or result in the creation or imposition of any lien, encumbrance, security interest, claim or charge upon any property or assets of the Company or any subsidiary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charter or by-laws (or analogous governing instruments, as applicable) of the Company or any of its subsidiaries or (c) result in the violation of any law, statute, rule, regulation, judgment, order or decree of any court or governmental or regulatory agency or body, domestic or foreign, having jurisdiction over the Company or any of its subsidiaries or any of their properties or assets except, in the case of clauses (a), (b) (with respect to the Company’s subsidiaries that are not “significant subsidiaries”, as such term is defined in Rule 1-02 of Regulation S-X under the Securities Act (each a “</w:t>
      </w:r>
      <w:r>
        <w:rPr>
          <w:rFonts w:ascii="Times New Roman" w:cs="Times New Roman" w:eastAsia="Times New Roman" w:hAnsi="Times New Roman"/>
          <w:sz w:val="17"/>
          <w:szCs w:val="17"/>
          <w:b w:val="1"/>
          <w:bCs w:val="1"/>
          <w:i w:val="1"/>
          <w:iCs w:val="1"/>
          <w:color w:val="auto"/>
        </w:rPr>
        <w:t>Significant Subsidiary</w:t>
      </w:r>
      <w:r>
        <w:rPr>
          <w:rFonts w:ascii="Times New Roman" w:cs="Times New Roman" w:eastAsia="Times New Roman" w:hAnsi="Times New Roman"/>
          <w:sz w:val="17"/>
          <w:szCs w:val="17"/>
          <w:color w:val="auto"/>
        </w:rPr>
        <w:t>”), only) and (c) above, for any such conflict, breach, violation or default that would not reasonably be expected, individually or in the aggregate, to have a Material Adverse Effect. A “</w:t>
      </w:r>
      <w:r>
        <w:rPr>
          <w:rFonts w:ascii="Times New Roman" w:cs="Times New Roman" w:eastAsia="Times New Roman" w:hAnsi="Times New Roman"/>
          <w:sz w:val="17"/>
          <w:szCs w:val="17"/>
          <w:b w:val="1"/>
          <w:bCs w:val="1"/>
          <w:i w:val="1"/>
          <w:iCs w:val="1"/>
          <w:color w:val="auto"/>
        </w:rPr>
        <w:t>Debt Repayment Triggering Event</w:t>
      </w:r>
      <w:r>
        <w:rPr>
          <w:rFonts w:ascii="Times New Roman" w:cs="Times New Roman" w:eastAsia="Times New Roman" w:hAnsi="Times New Roman"/>
          <w:sz w:val="17"/>
          <w:szCs w:val="17"/>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of any of its subsidiaries.</w:t>
      </w:r>
    </w:p>
    <w:p>
      <w:pPr>
        <w:spacing w:after="0" w:line="73" w:lineRule="exact"/>
        <w:rPr>
          <w:rFonts w:ascii="Times New Roman" w:cs="Times New Roman" w:eastAsia="Times New Roman" w:hAnsi="Times New Roman"/>
          <w:sz w:val="17"/>
          <w:szCs w:val="17"/>
          <w:color w:val="auto"/>
        </w:rPr>
      </w:pPr>
    </w:p>
    <w:p>
      <w:pPr>
        <w:ind w:right="20" w:firstLine="419"/>
        <w:spacing w:after="0" w:line="274" w:lineRule="auto"/>
        <w:tabs>
          <w:tab w:leader="none" w:pos="81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Consents Required</w:t>
      </w:r>
      <w:r>
        <w:rPr>
          <w:rFonts w:ascii="Times New Roman" w:cs="Times New Roman" w:eastAsia="Times New Roman" w:hAnsi="Times New Roman"/>
          <w:sz w:val="17"/>
          <w:szCs w:val="17"/>
          <w:color w:val="auto"/>
        </w:rPr>
        <w:t>. Assuming after each Closing Date no holder of Class A Common Stock or holder of Pre-Funded Warrants (or any of such holder’s affiliates or any other person who would be a beneficial owner of Class A Common Stock beneficially owned by the holder for purposes of Section 13(d) or Section 16 of the Exchange Act and the applicable rules and regulations of the Commission, including any “group” as defined thereunder of which the holder is a member) would beneficially own (as determined in accordance with Section 13(d) of the Exchange Act and the rules promulgated thereunder) in excess of 9.99% of the number of shares of Class A Common Stock and except for the registration of the Securities under the Securities Act and applicable state securities laws, and such consents, approvals, authorizations, orders and</w:t>
      </w:r>
    </w:p>
    <w:p>
      <w:pPr>
        <w:spacing w:after="0" w:line="10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20"/>
          </w:cols>
          <w:pgMar w:left="880" w:top="270" w:right="499" w:bottom="1440" w:gutter="0" w:footer="0" w:header="0"/>
        </w:sectPr>
      </w:pPr>
    </w:p>
    <w:bookmarkStart w:id="13" w:name="page14"/>
    <w:bookmarkEnd w:id="13"/>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registrations or qualifications as may be required by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and the New York Stock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in connection with the purchase and distribution of the Securities by the Underwriters and the listing of the Shares and the Warrant Shares on the Exchange, no consent, approval, authorization or order of, or filing, qualification or registration (each an “</w:t>
      </w:r>
      <w:r>
        <w:rPr>
          <w:rFonts w:ascii="Times New Roman" w:cs="Times New Roman" w:eastAsia="Times New Roman" w:hAnsi="Times New Roman"/>
          <w:sz w:val="18"/>
          <w:szCs w:val="18"/>
          <w:b w:val="1"/>
          <w:bCs w:val="1"/>
          <w:i w:val="1"/>
          <w:iCs w:val="1"/>
          <w:color w:val="auto"/>
        </w:rPr>
        <w:t>Authorization</w:t>
      </w:r>
      <w:r>
        <w:rPr>
          <w:rFonts w:ascii="Times New Roman" w:cs="Times New Roman" w:eastAsia="Times New Roman" w:hAnsi="Times New Roman"/>
          <w:sz w:val="18"/>
          <w:szCs w:val="18"/>
          <w:color w:val="auto"/>
        </w:rPr>
        <w:t>”) with, any court, governmental or regulatory agency or body, foreign or domestic, which has not been made, obtained or taken and is not in full force and effect, is required for the execution, delivery and performance of this Agreement by the Company, the issuance and sale of the Shares, the Warrant Shares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w:t>
      </w:r>
    </w:p>
    <w:p>
      <w:pPr>
        <w:spacing w:after="0" w:line="77" w:lineRule="exact"/>
        <w:rPr>
          <w:sz w:val="20"/>
          <w:szCs w:val="20"/>
          <w:color w:val="auto"/>
        </w:rPr>
      </w:pPr>
    </w:p>
    <w:p>
      <w:pPr>
        <w:ind w:left="4" w:right="20" w:firstLine="419"/>
        <w:spacing w:after="0" w:line="257" w:lineRule="auto"/>
        <w:tabs>
          <w:tab w:leader="none" w:pos="8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Auditors</w:t>
      </w:r>
      <w:r>
        <w:rPr>
          <w:rFonts w:ascii="Times New Roman" w:cs="Times New Roman" w:eastAsia="Times New Roman" w:hAnsi="Times New Roman"/>
          <w:sz w:val="18"/>
          <w:szCs w:val="18"/>
          <w:color w:val="auto"/>
        </w:rPr>
        <w:t>. KPMG LLP (“</w:t>
      </w:r>
      <w:r>
        <w:rPr>
          <w:rFonts w:ascii="Times New Roman" w:cs="Times New Roman" w:eastAsia="Times New Roman" w:hAnsi="Times New Roman"/>
          <w:sz w:val="18"/>
          <w:szCs w:val="18"/>
          <w:b w:val="1"/>
          <w:bCs w:val="1"/>
          <w:i w:val="1"/>
          <w:iCs w:val="1"/>
          <w:color w:val="auto"/>
        </w:rPr>
        <w:t>KPMG</w:t>
      </w:r>
      <w:r>
        <w:rPr>
          <w:rFonts w:ascii="Times New Roman" w:cs="Times New Roman" w:eastAsia="Times New Roman" w:hAnsi="Times New Roman"/>
          <w:sz w:val="18"/>
          <w:szCs w:val="18"/>
          <w:color w:val="auto"/>
        </w:rPr>
        <w:t>”) and Ernst &amp; Young LLP (“</w:t>
      </w:r>
      <w:r>
        <w:rPr>
          <w:rFonts w:ascii="Times New Roman" w:cs="Times New Roman" w:eastAsia="Times New Roman" w:hAnsi="Times New Roman"/>
          <w:sz w:val="18"/>
          <w:szCs w:val="18"/>
          <w:b w:val="1"/>
          <w:bCs w:val="1"/>
          <w:i w:val="1"/>
          <w:iCs w:val="1"/>
          <w:color w:val="auto"/>
        </w:rPr>
        <w:t>E&amp;Y</w:t>
      </w:r>
      <w:r>
        <w:rPr>
          <w:rFonts w:ascii="Times New Roman" w:cs="Times New Roman" w:eastAsia="Times New Roman" w:hAnsi="Times New Roman"/>
          <w:sz w:val="18"/>
          <w:szCs w:val="18"/>
          <w:color w:val="auto"/>
        </w:rPr>
        <w:t>” and, together with KPMG, the “</w:t>
      </w:r>
      <w:r>
        <w:rPr>
          <w:rFonts w:ascii="Times New Roman" w:cs="Times New Roman" w:eastAsia="Times New Roman" w:hAnsi="Times New Roman"/>
          <w:sz w:val="18"/>
          <w:szCs w:val="18"/>
          <w:b w:val="1"/>
          <w:bCs w:val="1"/>
          <w:i w:val="1"/>
          <w:iCs w:val="1"/>
          <w:color w:val="auto"/>
        </w:rPr>
        <w:t>Prior Auditors</w:t>
      </w:r>
      <w:r>
        <w:rPr>
          <w:rFonts w:ascii="Times New Roman" w:cs="Times New Roman" w:eastAsia="Times New Roman" w:hAnsi="Times New Roman"/>
          <w:sz w:val="18"/>
          <w:szCs w:val="18"/>
          <w:color w:val="auto"/>
        </w:rPr>
        <w:t>”), who have each certified certain financial statements and related schedules of the Company and its subsidiaries included or incorporated by reference in the Registration Statement, the General Disclosure Package and the Prospectus, and have each audited the Company’s internal control over financial reporting and management’s assessment thereof, and Grant Thornton LLP (“</w:t>
      </w:r>
      <w:r>
        <w:rPr>
          <w:rFonts w:ascii="Times New Roman" w:cs="Times New Roman" w:eastAsia="Times New Roman" w:hAnsi="Times New Roman"/>
          <w:sz w:val="18"/>
          <w:szCs w:val="18"/>
          <w:b w:val="1"/>
          <w:bCs w:val="1"/>
          <w:i w:val="1"/>
          <w:iCs w:val="1"/>
          <w:color w:val="auto"/>
        </w:rPr>
        <w:t>Current Auditor</w:t>
      </w:r>
      <w:r>
        <w:rPr>
          <w:rFonts w:ascii="Times New Roman" w:cs="Times New Roman" w:eastAsia="Times New Roman" w:hAnsi="Times New Roman"/>
          <w:sz w:val="18"/>
          <w:szCs w:val="18"/>
          <w:color w:val="auto"/>
        </w:rPr>
        <w:t>”), are each an independent registered public accounting firm with respect to the Company and its subsidiaries within the meaning of Article 2-01 of Regulation S-X and the rules of the Public Company Accounting Oversight Board (United States)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4" w:firstLine="419"/>
        <w:spacing w:after="0" w:line="253" w:lineRule="auto"/>
        <w:tabs>
          <w:tab w:leader="none" w:pos="92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together with the related notes and schedules, included or incorporated by reference in the Registration Statement, the General Disclosure Package and the Prospectus fairly present in all material respects the financial position and the results of operations and changes in financial position of the Company and its consolidated subsidiaries at the respective dates or for the respective periods therein specified. Such statements and related notes and schedules have been prepared in accordance with the generally accepted accounting principles in the United States (in effect as of the applicable date or period of time,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involved except as may be set forth in the related notes included or incorporated by reference in the Registration Statement, the General Disclosure Package and the Prospectus. The financial statements, together with the related notes and schedules, included or incorporated by reference in the Registration Statement, the General Disclosure Package and the Prospectus comply in all material respects with Regulation S-X. No other financial statements or supporting schedules or exhibits are required by Regulation S-X to be described or included or incorporated by reference in the Registration Statement, the General Disclosure Package or the Prospectus. All information contained in the Registration Statement, the General Disclosure Package and the Prospectus regarding “non-GAAP financial measures” (as defined in Regulation G) complies with Regulation G and Item 10 of Regulation S-K, to the extent applicable.</w:t>
      </w:r>
    </w:p>
    <w:p>
      <w:pPr>
        <w:spacing w:after="0" w:line="81"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82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left="4" w:right="420" w:firstLine="419"/>
        <w:spacing w:after="0" w:line="276" w:lineRule="auto"/>
        <w:tabs>
          <w:tab w:leader="none" w:pos="77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Change</w:t>
      </w:r>
      <w:r>
        <w:rPr>
          <w:rFonts w:ascii="Times New Roman" w:cs="Times New Roman" w:eastAsia="Times New Roman" w:hAnsi="Times New Roman"/>
          <w:sz w:val="17"/>
          <w:szCs w:val="17"/>
          <w:color w:val="auto"/>
        </w:rPr>
        <w:t>. Neither the Company nor any of its subsidiaries has sustained, since the date of the latest audited financial statements included or incorporated by reference in the Registration Statement, the General Disclosure Package and the Prospectus,</w:t>
      </w:r>
    </w:p>
    <w:p>
      <w:pPr>
        <w:ind w:left="4" w:right="200" w:hanging="4"/>
        <w:spacing w:after="0" w:line="260" w:lineRule="auto"/>
        <w:tabs>
          <w:tab w:leader="none" w:pos="2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loss or interference with its business from fire, explosion, flood or other calamity, whether or not covered by insurance, or from any labor dispute or action, order or decree of any</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66" w:right="459" w:bottom="1440" w:gutter="0" w:footer="0" w:header="0"/>
        </w:sectPr>
      </w:pPr>
    </w:p>
    <w:bookmarkStart w:id="14" w:name="page15"/>
    <w:bookmarkEnd w:id="1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court or governmental or regulatory authority, other than as set forth or contemplated in the General Disclosure Package; (b) any change in the capital stock (other than the issuance of shares of Class A Common Stock upon exercise of stock options and warrants described as outstanding in the Registration Statement, the General Disclosure Package and the Prospectus or any award under any Exempt Plan and the grant of options and other awards under any Exempt Plan or the issuance of shares of Common Stock upon conversion of the Convertible Debenture by YA) or long-term debt of the Company or any of its subsidiaries, or any dividend or distribution of any kind declared, set aside for payment, paid or made by the Company on any class of capital stock, or (c) any material adverse changes, or any development involving a prospective material adverse change, in or affecting the business, properties, assets, general affairs, management, financial position, prospects, stockholders’ equity or results of operations of the Company and its subsidiaries taken as a whole, other than as set forth or contemplated in the General Disclosure Package.</w:t>
      </w:r>
    </w:p>
    <w:p>
      <w:pPr>
        <w:spacing w:after="0" w:line="84" w:lineRule="exact"/>
        <w:rPr>
          <w:sz w:val="20"/>
          <w:szCs w:val="20"/>
          <w:color w:val="auto"/>
        </w:rPr>
      </w:pPr>
    </w:p>
    <w:p>
      <w:pPr>
        <w:ind w:right="60" w:firstLine="419"/>
        <w:spacing w:after="0" w:line="254" w:lineRule="auto"/>
        <w:tabs>
          <w:tab w:leader="none" w:pos="8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set forth in the General Disclosure Package, there is no legal or governmental proceeding pending to which the Company or any of its subsidiaries is a party or of which any property or assets of the Company or any of its subsidiaries is the subject that is required to be described in the Registration Statement, the General Disclosure Package or the Prospectus, or which, if determined adversely to the Company or any of its subsidiaries, would reasonably be expected, individually or in the aggregate, to have a Material Adverse Effect and no such proceedings are, to the actual knowledge of any of (1) the Company’s Chief Executive Officer, (2) the Company’s Chief Financial Officer and (3) the Company’s General Counsel and Secretary, in each case after reasonable inquiry of all officers, directors and employees of the Company under such Person’s direct supervision who would reasonably be expected to have knowledge or information with respect to the matter in question (“</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threatened by governmental or regulatory authorities or threatened by others.</w:t>
      </w:r>
    </w:p>
    <w:p>
      <w:pPr>
        <w:spacing w:after="0" w:line="83" w:lineRule="exact"/>
        <w:rPr>
          <w:rFonts w:ascii="Times New Roman" w:cs="Times New Roman" w:eastAsia="Times New Roman" w:hAnsi="Times New Roman"/>
          <w:sz w:val="18"/>
          <w:szCs w:val="18"/>
          <w:color w:val="auto"/>
        </w:rPr>
      </w:pPr>
    </w:p>
    <w:p>
      <w:pPr>
        <w:ind w:firstLine="419"/>
        <w:spacing w:after="0" w:line="255" w:lineRule="auto"/>
        <w:tabs>
          <w:tab w:leader="none" w:pos="8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(a) in violation of its charter or by-laws (or analogous governing instrument, as applicable), (b) in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or (c) in violation in any respect of any law, ordinance, governmental rule, regulation or court order, decree or judgment to which it or its property or assets may be subject except, in the case of clauses (b) and (c) above, for any such violation or default that would not reasonably be expected, individually or in the aggregate, to have a Material Adverse Effect.</w:t>
      </w:r>
    </w:p>
    <w:p>
      <w:pPr>
        <w:spacing w:after="0" w:line="80" w:lineRule="exact"/>
        <w:rPr>
          <w:rFonts w:ascii="Times New Roman" w:cs="Times New Roman" w:eastAsia="Times New Roman" w:hAnsi="Times New Roman"/>
          <w:sz w:val="18"/>
          <w:szCs w:val="18"/>
          <w:color w:val="auto"/>
        </w:rPr>
      </w:pPr>
    </w:p>
    <w:p>
      <w:pPr>
        <w:ind w:right="20" w:firstLine="419"/>
        <w:spacing w:after="0" w:line="253" w:lineRule="auto"/>
        <w:tabs>
          <w:tab w:leader="none" w:pos="9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or Permits</w:t>
      </w:r>
      <w:r>
        <w:rPr>
          <w:rFonts w:ascii="Times New Roman" w:cs="Times New Roman" w:eastAsia="Times New Roman" w:hAnsi="Times New Roman"/>
          <w:sz w:val="18"/>
          <w:szCs w:val="18"/>
          <w:color w:val="auto"/>
        </w:rPr>
        <w:t>. The Company and each of its subsidiaries possess all licenses, certificates, authorizations and permits issued by, and have made all declarations and filings with, the appropriate local, state, federal or foreign governmental or regulatory agencies or bodies that are necessary for the ownership or lease of their respective properties or the conduct of their respective businesses as described in the General Disclosure Package and the Prospectus, including but not limited to their BitLicense issued by the New York Department of Financial Services (“</w:t>
      </w:r>
      <w:r>
        <w:rPr>
          <w:rFonts w:ascii="Times New Roman" w:cs="Times New Roman" w:eastAsia="Times New Roman" w:hAnsi="Times New Roman"/>
          <w:sz w:val="18"/>
          <w:szCs w:val="18"/>
          <w:b w:val="1"/>
          <w:bCs w:val="1"/>
          <w:i w:val="1"/>
          <w:iCs w:val="1"/>
          <w:color w:val="auto"/>
        </w:rPr>
        <w:t>NYDFS</w:t>
      </w:r>
      <w:r>
        <w:rPr>
          <w:rFonts w:ascii="Times New Roman" w:cs="Times New Roman" w:eastAsia="Times New Roman" w:hAnsi="Times New Roman"/>
          <w:sz w:val="18"/>
          <w:szCs w:val="18"/>
          <w:color w:val="auto"/>
        </w:rPr>
        <w:t>”), licensure as a money transmitter, and registration with the U.S. Department of the Treasury as a “money services business” under 31 C.F.R. § 1022.380 (collectively, the “</w:t>
      </w:r>
      <w:r>
        <w:rPr>
          <w:rFonts w:ascii="Times New Roman" w:cs="Times New Roman" w:eastAsia="Times New Roman" w:hAnsi="Times New Roman"/>
          <w:sz w:val="18"/>
          <w:szCs w:val="18"/>
          <w:b w:val="1"/>
          <w:bCs w:val="1"/>
          <w:i w:val="1"/>
          <w:iCs w:val="1"/>
          <w:color w:val="auto"/>
        </w:rPr>
        <w:t>Governmental Permits</w:t>
      </w:r>
      <w:r>
        <w:rPr>
          <w:rFonts w:ascii="Times New Roman" w:cs="Times New Roman" w:eastAsia="Times New Roman" w:hAnsi="Times New Roman"/>
          <w:sz w:val="18"/>
          <w:szCs w:val="18"/>
          <w:color w:val="auto"/>
        </w:rPr>
        <w:t>”), except where any failures to possess or make the same would not reasonably be expected, individually or in the aggregate, to have a Material Adverse Effect. The Company and its subsidiaries are in compliance with all such Governmental Permits, except where any failures to comply would not, individually or in the aggregate, reasonably be expected to have a Material Adverse Effect. All such Governmental Permits are valid and in full force and effect, except where the validity or failure to be in full force and effect would not reasonably be expected, individually or in the aggregate, to have a Material Adverse Effect. Neither the Company nor any subsidiary has received any written notification of any revocation, modification, suspension, termination or invalidation of any such Governmental Permit.</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70" w:right="439" w:bottom="1440" w:gutter="0" w:footer="0" w:header="0"/>
        </w:sectPr>
      </w:pPr>
    </w:p>
    <w:bookmarkStart w:id="15" w:name="page16"/>
    <w:bookmarkEnd w:id="15"/>
    <w:p>
      <w:pPr>
        <w:ind w:firstLine="419"/>
        <w:spacing w:after="0" w:line="261" w:lineRule="auto"/>
        <w:tabs>
          <w:tab w:leader="none" w:pos="9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Neither the Company nor any of its subsidiaries is or, after giving effect to the offer and sale of the Securities and the application of the proceeds thereof as described in the General Disclosure Package and the Prospectus, will be required to register as an “investment company” or an entity “controlled” by an “investment company” within the meaning of the Investment Company Act of 1940, as amended, and the rules and regulations of the Commission thereunder.</w:t>
      </w:r>
    </w:p>
    <w:p>
      <w:pPr>
        <w:spacing w:after="0" w:line="71" w:lineRule="exact"/>
        <w:rPr>
          <w:rFonts w:ascii="Times New Roman" w:cs="Times New Roman" w:eastAsia="Times New Roman" w:hAnsi="Times New Roman"/>
          <w:sz w:val="18"/>
          <w:szCs w:val="18"/>
          <w:color w:val="auto"/>
        </w:rPr>
      </w:pPr>
    </w:p>
    <w:p>
      <w:pPr>
        <w:ind w:right="80" w:firstLine="419"/>
        <w:spacing w:after="0" w:line="261" w:lineRule="auto"/>
        <w:tabs>
          <w:tab w:leader="none" w:pos="8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Stabilization</w:t>
      </w:r>
      <w:r>
        <w:rPr>
          <w:rFonts w:ascii="Times New Roman" w:cs="Times New Roman" w:eastAsia="Times New Roman" w:hAnsi="Times New Roman"/>
          <w:sz w:val="18"/>
          <w:szCs w:val="18"/>
          <w:color w:val="auto"/>
        </w:rPr>
        <w:t>. Neither the Company nor, to the Company’s Knowledge, any of its officers, directors or its controlled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 in violation of applicable law.</w:t>
      </w:r>
    </w:p>
    <w:p>
      <w:pPr>
        <w:spacing w:after="0" w:line="71" w:lineRule="exact"/>
        <w:rPr>
          <w:rFonts w:ascii="Times New Roman" w:cs="Times New Roman" w:eastAsia="Times New Roman" w:hAnsi="Times New Roman"/>
          <w:sz w:val="18"/>
          <w:szCs w:val="18"/>
          <w:color w:val="auto"/>
        </w:rPr>
      </w:pPr>
    </w:p>
    <w:p>
      <w:pPr>
        <w:ind w:firstLine="419"/>
        <w:spacing w:after="0" w:line="251" w:lineRule="auto"/>
        <w:tabs>
          <w:tab w:leader="none" w:pos="9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possess the valid right to use all (a) valid and enforceable patents, patent applications, trademarks, trademark registrations, service marks, service mark registrations, Internet domain name registrations, copyrights, copyright registrations, licenses, trade secret rights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and (b)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cs="Times New Roman" w:eastAsia="Times New Roman" w:hAnsi="Times New Roman"/>
          <w:sz w:val="18"/>
          <w:szCs w:val="18"/>
          <w:b w:val="1"/>
          <w:bCs w:val="1"/>
          <w:i w:val="1"/>
          <w:i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Property Assets</w:t>
      </w:r>
      <w:r>
        <w:rPr>
          <w:rFonts w:ascii="Times New Roman" w:cs="Times New Roman" w:eastAsia="Times New Roman" w:hAnsi="Times New Roman"/>
          <w:sz w:val="18"/>
          <w:szCs w:val="18"/>
          <w:color w:val="auto"/>
        </w:rPr>
        <w:t>”) necessary to conduct their respective businesses as currently conducted, and as proposed to be conducted and described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Disclosure Package and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the Company’s Knowledge,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General Disclosure Package and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To the Company’s Knowledge,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spacing w:after="0" w:line="97" w:lineRule="exact"/>
        <w:rPr>
          <w:rFonts w:ascii="Times New Roman" w:cs="Times New Roman" w:eastAsia="Times New Roman" w:hAnsi="Times New Roman"/>
          <w:sz w:val="18"/>
          <w:szCs w:val="18"/>
          <w:color w:val="auto"/>
        </w:rPr>
      </w:pPr>
    </w:p>
    <w:p>
      <w:pPr>
        <w:ind w:left="960" w:hanging="541"/>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6" w:name="page17"/>
    <w:bookmarkEnd w:id="16"/>
    <w:p>
      <w:pPr>
        <w:ind w:left="4" w:firstLine="419"/>
        <w:spacing w:after="0" w:line="266" w:lineRule="auto"/>
        <w:tabs>
          <w:tab w:leader="none" w:pos="101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Transmitter Laws</w:t>
      </w:r>
      <w:r>
        <w:rPr>
          <w:rFonts w:ascii="Times New Roman" w:cs="Times New Roman" w:eastAsia="Times New Roman" w:hAnsi="Times New Roman"/>
          <w:sz w:val="17"/>
          <w:szCs w:val="17"/>
          <w:color w:val="auto"/>
        </w:rPr>
        <w:t>. The Company and its subsidiaries, as applicable, are duly registered to the extent required with all applicable state, federal and other governmental authorities with competent jurisdiction under applicable Money Transmitter Laws and Virtual Currency Business Laws in the United States and any other applicable non-U.S. jurisdictions relating to licensing or registration for their activities, except in each case as would not, individually or in the aggregate, reasonably be expected to have a Material Adverse Effect. The operations of the Company and its subsidiaries have been conducted in material compliance with all requirements under applicable Money Transmitter Laws and Virtual Currency Business Laws, except in each case as would not, individually or in the aggregate, reasonably be expected to have a Material Adverse Effect. To the Company’s Knowledge, the Company and its subsidiaries are not subject to any enforcement actions, regulatory inquiries and investigations, threatened, ongoing, or settled enforcement, cautionary or other disciplinary matters, complaints or correspondence discussing actual or potential liabilities, requests for information, citations or notices of violation, and any significant proceedings before any governmental authority regarding its money transmitter or virtual currency business, except in each case as would not, individually or in the aggregate, reasonably be expected to have a Material Adverse Effect. For purposes of this paragraph, (1) “</w:t>
      </w:r>
      <w:r>
        <w:rPr>
          <w:rFonts w:ascii="Times New Roman" w:cs="Times New Roman" w:eastAsia="Times New Roman" w:hAnsi="Times New Roman"/>
          <w:sz w:val="17"/>
          <w:szCs w:val="17"/>
          <w:b w:val="1"/>
          <w:bCs w:val="1"/>
          <w:i w:val="1"/>
          <w:iCs w:val="1"/>
          <w:color w:val="auto"/>
        </w:rPr>
        <w:t>Money Transmitter Laws</w:t>
      </w:r>
      <w:r>
        <w:rPr>
          <w:rFonts w:ascii="Times New Roman" w:cs="Times New Roman" w:eastAsia="Times New Roman" w:hAnsi="Times New Roman"/>
          <w:sz w:val="17"/>
          <w:szCs w:val="17"/>
          <w:color w:val="auto"/>
        </w:rPr>
        <w:t>” means all legal or regulatory requirements relating to the licensing or registration of a person that provides services relating to the acceptance of currency, funds, or other value that substitutes for currency from one person and the transmission of currency, funds, or other value that substitutes for currency to another location or person by any means, including through a financial agency or institution, a Federal Reserve Bank or other facility of one or more Federal Reserve Banks, the Board of Governors of the Federal Reserve System, or both, an electronic funds transfer network or an informal value transfer system, or any other person engaged in the transfer of funds and (2) “</w:t>
      </w:r>
      <w:r>
        <w:rPr>
          <w:rFonts w:ascii="Times New Roman" w:cs="Times New Roman" w:eastAsia="Times New Roman" w:hAnsi="Times New Roman"/>
          <w:sz w:val="17"/>
          <w:szCs w:val="17"/>
          <w:b w:val="1"/>
          <w:bCs w:val="1"/>
          <w:i w:val="1"/>
          <w:iCs w:val="1"/>
          <w:color w:val="auto"/>
        </w:rPr>
        <w:t>Virtual Currency Business Laws</w:t>
      </w:r>
      <w:r>
        <w:rPr>
          <w:rFonts w:ascii="Times New Roman" w:cs="Times New Roman" w:eastAsia="Times New Roman" w:hAnsi="Times New Roman"/>
          <w:sz w:val="17"/>
          <w:szCs w:val="17"/>
          <w:color w:val="auto"/>
        </w:rPr>
        <w:t>” means all legal or regulatory requirements that may be enforced by any governmental authority for activities involving virtual currency, including, but not limited to,</w:t>
      </w:r>
    </w:p>
    <w:p>
      <w:pPr>
        <w:spacing w:after="0" w:line="7" w:lineRule="exact"/>
        <w:rPr>
          <w:rFonts w:ascii="Times New Roman" w:cs="Times New Roman" w:eastAsia="Times New Roman" w:hAnsi="Times New Roman"/>
          <w:sz w:val="17"/>
          <w:szCs w:val="17"/>
          <w:color w:val="auto"/>
        </w:rPr>
      </w:pPr>
    </w:p>
    <w:p>
      <w:pPr>
        <w:ind w:left="4" w:right="300" w:hanging="4"/>
        <w:spacing w:after="0" w:line="255" w:lineRule="auto"/>
        <w:tabs>
          <w:tab w:leader="none" w:pos="2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virtual currency for transmission or transmitting virtual currency, (ii) storing, holding, or maintaining custody or control of virtual currency on behalf of others, (iii) buying and selling virtual currency, (iv) performing exchange services or (v) controlling, administering or issuing a virtual currency.</w:t>
      </w:r>
    </w:p>
    <w:p>
      <w:pPr>
        <w:spacing w:after="0" w:line="77" w:lineRule="exact"/>
        <w:rPr>
          <w:rFonts w:ascii="Times New Roman" w:cs="Times New Roman" w:eastAsia="Times New Roman" w:hAnsi="Times New Roman"/>
          <w:sz w:val="18"/>
          <w:szCs w:val="18"/>
          <w:color w:val="auto"/>
        </w:rPr>
      </w:pPr>
    </w:p>
    <w:p>
      <w:pPr>
        <w:ind w:left="4" w:firstLine="419"/>
        <w:spacing w:after="0" w:line="253" w:lineRule="auto"/>
        <w:tabs>
          <w:tab w:leader="none" w:pos="9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The Company and its subsidiaries have implemented and maintained commercially reasonable controls, policies, procedures, and safeguards to maintain and protect their material confidential information and the integrity, operation, redundancy and security of all IT Systems and data (including Personal Data) used in connection with their businesses, and to the Company’s Knowledge there have been no breaches, violations, outages or unauthorized uses of or accesses to same, except for those that have been remedied without material cost or liability. The Company and its subsidiaries are presently in material compliance with all applicable laws or statutes and all judgments, orders, rules and regulations of any court or arbitrator or governmental or regulatory authority with competent jurisdiction and internal policies relating to the privacy and security of IT Systems and to the protection of such IT Systems from unauthorized use, access, misappropriation or modification.</w:t>
      </w:r>
    </w:p>
    <w:p>
      <w:pPr>
        <w:spacing w:after="0" w:line="86"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8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each of its subsidiaries have sufficient title in and (in the case of real property) to, or have valid and sufficient rights to lease or otherwise use, all items of real or personal property which are material to the business of the Company and its subsidiaries taken as a whole, in each case free and clear of all liens, encumbrances, security interests, claims and defects except any that (a) do not, individually or in the aggregate, materially affect the value of such property and do not materially interfere with the use made and proposed to be made of such property by the Company or any of its subsidiaries or (b) would not reasonably be expected, individually or in the aggregate, to have a Material Adverse Effect.</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17" w:name="page18"/>
    <w:bookmarkEnd w:id="17"/>
    <w:p>
      <w:pPr>
        <w:ind w:right="60" w:firstLine="419"/>
        <w:spacing w:after="0" w:line="254" w:lineRule="auto"/>
        <w:tabs>
          <w:tab w:leader="none" w:pos="9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Labor Dispute</w:t>
      </w:r>
      <w:r>
        <w:rPr>
          <w:rFonts w:ascii="Times New Roman" w:cs="Times New Roman" w:eastAsia="Times New Roman" w:hAnsi="Times New Roman"/>
          <w:sz w:val="18"/>
          <w:szCs w:val="18"/>
          <w:color w:val="auto"/>
        </w:rPr>
        <w:t>. There is (a) no significant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any of its subsidiaries, or, to the Company’s Knowledge, threatened against it or them and (b) no labor disturbance by or dispute with employees of the Company or any of its subsidiaries exists or, to the Company’s Knowledge, is contemplated or threatened, and the Company is not aware of any existing or imminent labor disturbance by the employees of any of its or its subsidiaries’ principal suppliers, manufacturers, customers or contractors, in each of the cases contemplated by clauses (a) or (b) that would reasonably be expected, individually or in the aggregate, to have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9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No “prohibited transaction” (as defined in Section 406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or Section 4975 of the Internal Revenue Code of 1986, as amended from time to time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would reasonably be expected to occur with respect to any employee benefit plan of the Company or any of its subsidiaries which would reasonably be expected, individually or in the aggregate, to have a Material Adverse Effect. Each employee benefit plan of the Company or any of its subsidiaries is in compliance in all material respects with applicable law, including ERISA and the Code. The Company and its subsidiaries have not incurred, and would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nothing has occurred, whether by action or by failure to act, which would, individually or in the aggregate, cause the loss of such qualification.</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10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 and Hazardous Materials</w:t>
      </w:r>
      <w:r>
        <w:rPr>
          <w:rFonts w:ascii="Times New Roman" w:cs="Times New Roman" w:eastAsia="Times New Roman" w:hAnsi="Times New Roman"/>
          <w:sz w:val="18"/>
          <w:szCs w:val="18"/>
          <w:color w:val="auto"/>
        </w:rPr>
        <w:t>. The Company and its subsidiaries are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other than any lack of compliance that would not reasonably be expected, individually or in the aggregate, to have a Material Adverse Effect. Except as would not reasonably be expected, individually or in the aggregate, to have a Material Adverse Effect,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Environmental Laws; and there has been no disposal, discharge, emission or other release of any kind onto such property or into the environment surrounding such property of any toxic or other wastes or other hazardous substances in violation of Environmental Laws with respect to which the Company or any of its subsidiaries has Knowledge.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8" w:name="page19"/>
    <w:bookmarkEnd w:id="18"/>
    <w:p>
      <w:pPr>
        <w:ind w:left="4" w:right="120" w:firstLine="419"/>
        <w:spacing w:after="0" w:line="256" w:lineRule="auto"/>
        <w:tabs>
          <w:tab w:leader="none" w:pos="10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w:t>
      </w:r>
      <w:r>
        <w:rPr>
          <w:rFonts w:ascii="Times New Roman" w:cs="Times New Roman" w:eastAsia="Times New Roman" w:hAnsi="Times New Roman"/>
          <w:sz w:val="18"/>
          <w:szCs w:val="18"/>
          <w:color w:val="auto"/>
        </w:rPr>
        <w:t>. The Company and its subsidiaries each (a) have timely filed all necessary federal, state, local and foreign tax returns, and all such returns were true, complete and correct, (b) have paid all federal, state, local and foreign taxes, for which it is liable, including, without limitation, all sales and use taxes and all taxes which the Company or any of its subsidiaries is obligated to withhold from amounts owing to employees, creditors and third parties, and (c) do not have any tax deficiency or claims outstanding or assessed or, to their Knowledge, proposed against any of them, except those, in each of the cases described in clauses (a), (b) and (c) above, that would not reasonably be expected, individually or in the aggregate, to have a Material Adverse Effect.</w:t>
      </w:r>
    </w:p>
    <w:p>
      <w:pPr>
        <w:spacing w:after="0" w:line="79" w:lineRule="exact"/>
        <w:rPr>
          <w:rFonts w:ascii="Times New Roman" w:cs="Times New Roman" w:eastAsia="Times New Roman" w:hAnsi="Times New Roman"/>
          <w:sz w:val="18"/>
          <w:szCs w:val="18"/>
          <w:color w:val="auto"/>
        </w:rPr>
      </w:pPr>
    </w:p>
    <w:p>
      <w:pPr>
        <w:ind w:left="4" w:firstLine="419"/>
        <w:spacing w:after="0" w:line="255" w:lineRule="auto"/>
        <w:tabs>
          <w:tab w:leader="none" w:pos="9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 the Company reasonably believes is adequate for the conduct of their respective businesses and the value of their respective properties. Neither the Company nor any of its subsidiaries has any reason to believe that it will not be able to renew its existing insurance coverage as and when such coverage expires or obtain similar coverage from similar insurers as may be necessary to continue its business at a cost that would not reasonably be expected to have a Material 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w:t>
      </w:r>
    </w:p>
    <w:p>
      <w:pPr>
        <w:spacing w:after="0" w:line="80" w:lineRule="exact"/>
        <w:rPr>
          <w:rFonts w:ascii="Times New Roman" w:cs="Times New Roman" w:eastAsia="Times New Roman" w:hAnsi="Times New Roman"/>
          <w:sz w:val="18"/>
          <w:szCs w:val="18"/>
          <w:color w:val="auto"/>
        </w:rPr>
      </w:pPr>
    </w:p>
    <w:p>
      <w:pPr>
        <w:jc w:val="both"/>
        <w:ind w:left="4" w:right="40" w:firstLine="419"/>
        <w:spacing w:after="0" w:line="270" w:lineRule="auto"/>
        <w:tabs>
          <w:tab w:leader="none" w:pos="100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w:t>
      </w:r>
      <w:r>
        <w:rPr>
          <w:rFonts w:ascii="Times New Roman" w:cs="Times New Roman" w:eastAsia="Times New Roman" w:hAnsi="Times New Roman"/>
          <w:sz w:val="17"/>
          <w:szCs w:val="17"/>
          <w:color w:val="auto"/>
        </w:rPr>
        <w:t>. The Company and each of its subsidiaries maintains a system of “internal control over financial reporting” (as such term is defined in Rule 13a-15(f) of the Exchange Act Rules and Regulations) that complies in all material respects with the requirements of the Exchange Act and has been designed by their respective principal executive and principal financial officers, or under their supervision, to provide reasonable assurances that: (a) transactions are executed in accordance with management’s general or specific authorizations;</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existing assets at reasonable intervals and appropriate action is taken with respect to any differences and (e) interactive data in eXtensible Business Reporting Language included in the Registration Statement, the General Disclosure Package and the Prospectus has been prepared in accordance with the Commission’s rules and guidelines applicable thereto. The Company’s internal control over financial reporting is effective at the reasonable assurance level. Except as described in the General Disclosure Package,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w:t>
      </w:r>
    </w:p>
    <w:p>
      <w:pPr>
        <w:spacing w:after="0" w:line="85" w:lineRule="exact"/>
        <w:rPr>
          <w:rFonts w:ascii="Times New Roman" w:cs="Times New Roman" w:eastAsia="Times New Roman" w:hAnsi="Times New Roman"/>
          <w:sz w:val="18"/>
          <w:szCs w:val="18"/>
          <w:color w:val="auto"/>
        </w:rPr>
      </w:pPr>
    </w:p>
    <w:p>
      <w:pPr>
        <w:ind w:left="1044" w:hanging="621"/>
        <w:spacing w:after="0"/>
        <w:tabs>
          <w:tab w:leader="none" w:pos="104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its subsidiaries maintain disclosure controls and procedures (as such is defined in Rule</w:t>
      </w:r>
    </w:p>
    <w:p>
      <w:pPr>
        <w:spacing w:after="0" w:line="27"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13a-15(e) of the Exchange Act Rules and Regulations) that comply in all material respects with the requirements of the Exchange Act; such disclosure controls and procedures have been designed to ensure that information required to be disclosed by the Company and its subsidiaries in reports that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and its subsidiaries have conducted evaluations of the effectiveness of their disclosure controls as required by Rule 13a-15 of the Exchange Act.</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9" w:name="page20"/>
    <w:bookmarkEnd w:id="19"/>
    <w:p>
      <w:pPr>
        <w:ind w:left="4" w:firstLine="419"/>
        <w:spacing w:after="0" w:line="256" w:lineRule="auto"/>
        <w:tabs>
          <w:tab w:leader="none" w:pos="11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Registration Rights</w:t>
      </w:r>
      <w:r>
        <w:rPr>
          <w:rFonts w:ascii="Times New Roman" w:cs="Times New Roman" w:eastAsia="Times New Roman" w:hAnsi="Times New Roman"/>
          <w:sz w:val="18"/>
          <w:szCs w:val="18"/>
          <w:color w:val="auto"/>
        </w:rPr>
        <w:t>. No person or entity has the right to require registration of shares of Class A Common Stock or Class V Common Stock or other securities of the Company or any of its subsidiaries because of the filing or effectiveness of the Registration Statement or otherwise, except for persons and entities who have expressly waived such right in writing (including via email) or who have been given timely and proper written notice and have failed to exercise such right within the time or times required under the terms and conditions of such right. Except as described in the General Disclosure Package, there are no persons with registration rights or similar rights to have any securities registered by the Company or any of its subsidiaries under the Securities Act.</w:t>
      </w:r>
    </w:p>
    <w:p>
      <w:pPr>
        <w:spacing w:after="0" w:line="79" w:lineRule="exact"/>
        <w:rPr>
          <w:rFonts w:ascii="Times New Roman" w:cs="Times New Roman" w:eastAsia="Times New Roman" w:hAnsi="Times New Roman"/>
          <w:sz w:val="18"/>
          <w:szCs w:val="18"/>
          <w:color w:val="auto"/>
        </w:rPr>
      </w:pPr>
    </w:p>
    <w:p>
      <w:pPr>
        <w:jc w:val="both"/>
        <w:ind w:left="4" w:right="100" w:firstLine="419"/>
        <w:spacing w:after="0" w:line="261" w:lineRule="auto"/>
        <w:tabs>
          <w:tab w:leader="none" w:pos="10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this Agreement) that would give rise to a valid claim against the Company or any of its subsidiaries or the Underwriters for a brokerage commission, finder’s fee or like payment in connection with the offering and sale of the Securities or any transaction contemplated by this Agreement.</w:t>
      </w:r>
    </w:p>
    <w:p>
      <w:pPr>
        <w:spacing w:after="0" w:line="72" w:lineRule="exact"/>
        <w:rPr>
          <w:sz w:val="20"/>
          <w:szCs w:val="20"/>
          <w:color w:val="auto"/>
        </w:rPr>
      </w:pPr>
    </w:p>
    <w:p>
      <w:pPr>
        <w:ind w:left="4" w:right="20" w:firstLine="423"/>
        <w:spacing w:after="0" w:line="266"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w:t>
      </w:r>
    </w:p>
    <w:p>
      <w:pPr>
        <w:spacing w:after="0" w:line="68" w:lineRule="exact"/>
        <w:rPr>
          <w:sz w:val="20"/>
          <w:szCs w:val="20"/>
          <w:color w:val="auto"/>
        </w:rPr>
      </w:pPr>
    </w:p>
    <w:p>
      <w:pPr>
        <w:ind w:left="4"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is subject to and in compliance in all material respects with the reporting requirements of Section 13 or Section 15(d) of the Exchange Act. The Class A Common Stock is registered pursuant to Section 12(b) or 12(g) of the Exchange Act and is listed on the Exchange, and the Company has taken no action designed to, or reasonably likely to have the effect of, terminating the registration of the Class A Common Stock under the Exchange Act or delisting the Class A Common Stock from the Exchange, nor has the Company received any notification that the Commission or Exchange is contemplating terminating such registration or listing.</w:t>
      </w:r>
    </w:p>
    <w:p>
      <w:pPr>
        <w:spacing w:after="0" w:line="75" w:lineRule="exact"/>
        <w:rPr>
          <w:sz w:val="20"/>
          <w:szCs w:val="20"/>
          <w:color w:val="auto"/>
        </w:rPr>
      </w:pPr>
    </w:p>
    <w:p>
      <w:pPr>
        <w:ind w:left="4" w:right="80" w:firstLine="423"/>
        <w:spacing w:after="0" w:line="282"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The Company has furnished to the Underwriters a letter agreement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xml:space="preserve">”) from each of the persons listed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right="100" w:firstLine="423"/>
        <w:spacing w:after="0" w:line="261"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There is and has been no failure on the part of the Company or, to the Company’s Knowledge, any of the Company’s officers or directors,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72" w:lineRule="exact"/>
        <w:rPr>
          <w:sz w:val="20"/>
          <w:szCs w:val="20"/>
          <w:color w:val="auto"/>
        </w:rPr>
      </w:pPr>
    </w:p>
    <w:p>
      <w:pPr>
        <w:ind w:left="4" w:right="80" w:firstLine="423"/>
        <w:spacing w:after="0" w:line="276" w:lineRule="auto"/>
        <w:rPr>
          <w:sz w:val="20"/>
          <w:szCs w:val="20"/>
          <w:color w:val="auto"/>
        </w:rPr>
      </w:pPr>
      <w:r>
        <w:rPr>
          <w:rFonts w:ascii="Times New Roman" w:cs="Times New Roman" w:eastAsia="Times New Roman" w:hAnsi="Times New Roman"/>
          <w:sz w:val="17"/>
          <w:szCs w:val="17"/>
          <w:color w:val="auto"/>
        </w:rPr>
        <w:t xml:space="preserve">(xliv) </w:t>
      </w:r>
      <w:r>
        <w:rPr>
          <w:rFonts w:ascii="Times New Roman" w:cs="Times New Roman" w:eastAsia="Times New Roman" w:hAnsi="Times New Roman"/>
          <w:sz w:val="17"/>
          <w:szCs w:val="17"/>
          <w:u w:val="single" w:color="auto"/>
          <w:color w:val="auto"/>
        </w:rPr>
        <w:t>No Unlawful Payments</w:t>
      </w:r>
      <w:r>
        <w:rPr>
          <w:rFonts w:ascii="Times New Roman" w:cs="Times New Roman" w:eastAsia="Times New Roman" w:hAnsi="Times New Roman"/>
          <w:sz w:val="17"/>
          <w:szCs w:val="17"/>
          <w:color w:val="auto"/>
        </w:rPr>
        <w:t>. Neither the Company nor any of its subsidiaries nor, to the Company’s Knowledge, any of their respective directors, officers, employees, , any authorized agents, affiliate or other person authorized to act on behalf of the Company or any subsidiary, has</w:t>
      </w:r>
    </w:p>
    <w:p>
      <w:pPr>
        <w:spacing w:after="0" w:line="1" w:lineRule="exact"/>
        <w:rPr>
          <w:sz w:val="20"/>
          <w:szCs w:val="20"/>
          <w:color w:val="auto"/>
        </w:rPr>
      </w:pPr>
    </w:p>
    <w:p>
      <w:pPr>
        <w:ind w:left="4" w:right="20" w:hanging="4"/>
        <w:spacing w:after="0" w:line="252" w:lineRule="auto"/>
        <w:tabs>
          <w:tab w:leader="none" w:pos="2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any corporate funds for unlawful contributions, gifts, entertainment or other unlawful expenses relating to political activity, (b) made any direct or indirect unlawful payment to foreign or domestic government officials or employees, political parties or campaigns, political party officials, or candidates for political office from corporate funds, (c) violated or is in violation of any provision of the U.S. Foreign Corrupt Practices Act of 1977, as amended, or any applicable anti-corruption laws, rules, or regulation of any other jurisdiction in which the Company or any subsidiary conducts business (collectively, the “</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or (d) made any other unlawful bribe, rebate, payoff, influence payment, kickback, or other unlawful payment to any person. The Company and its subsidiaries have instituted and maintain policies and procedures designed to ensure, and which are reasonably expected to continue to ensure, continued compliance with all Anti-Corruption Laws.</w:t>
      </w:r>
    </w:p>
    <w:p>
      <w:pPr>
        <w:spacing w:after="0" w:line="121"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04"/>
          </w:cols>
          <w:pgMar w:left="876" w:top="270" w:right="519" w:bottom="1440" w:gutter="0" w:footer="0" w:header="0"/>
        </w:sectPr>
      </w:pPr>
    </w:p>
    <w:bookmarkStart w:id="20" w:name="page21"/>
    <w:bookmarkEnd w:id="20"/>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(xlv) </w:t>
      </w:r>
      <w:r>
        <w:rPr>
          <w:rFonts w:ascii="Times New Roman" w:cs="Times New Roman" w:eastAsia="Times New Roman" w:hAnsi="Times New Roman"/>
          <w:sz w:val="18"/>
          <w:szCs w:val="18"/>
          <w:u w:val="single" w:color="auto"/>
          <w:color w:val="auto"/>
        </w:rPr>
        <w:t>Statistical and Market Data</w:t>
      </w:r>
      <w:r>
        <w:rPr>
          <w:rFonts w:ascii="Times New Roman" w:cs="Times New Roman" w:eastAsia="Times New Roman" w:hAnsi="Times New Roman"/>
          <w:sz w:val="18"/>
          <w:szCs w:val="18"/>
          <w:color w:val="auto"/>
        </w:rPr>
        <w:t>. The statistical and market related data included in the Registration Statement, the General Disclosure Package and the Prospectus are based on or derived from sources that the Company believes to be reliable and accurate, and such data agree in all material respects with the sources from which they are derived.</w:t>
      </w:r>
    </w:p>
    <w:p>
      <w:pPr>
        <w:spacing w:after="0" w:line="68" w:lineRule="exact"/>
        <w:rPr>
          <w:sz w:val="20"/>
          <w:szCs w:val="20"/>
          <w:color w:val="auto"/>
        </w:rPr>
      </w:pPr>
    </w:p>
    <w:p>
      <w:pPr>
        <w:ind w:right="80" w:firstLine="423"/>
        <w:spacing w:after="0" w:line="254"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i w:val="1"/>
          <w:i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with competent jurisdiction or any arbitrator involving the Company or any of its subsidiaries with respect to the Anti-Money Laundering Laws is pending or, to the Company’s Knowledge, threatened.</w:t>
      </w:r>
    </w:p>
    <w:p>
      <w:pPr>
        <w:spacing w:after="0" w:line="84"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nor any of its subsidiaries, directors, officers, or employees, nor, to the Company’s Knowledge , any authorized agent, affiliate or other person authorized to act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Cuba, Iran, North Korea and Syria (each, a “</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(a) to fund or facilitate any activities of or business with any person that, at the time of such funding or facilitation, is the subject or target of Sanctions, (b) to fund or facilitate any activities of or business in any Sanctioned Country or (c)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88" w:lineRule="exact"/>
        <w:rPr>
          <w:sz w:val="20"/>
          <w:szCs w:val="20"/>
          <w:color w:val="auto"/>
        </w:rPr>
      </w:pPr>
    </w:p>
    <w:p>
      <w:pPr>
        <w:jc w:val="both"/>
        <w:ind w:right="1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u w:val="single" w:color="auto"/>
          <w:color w:val="auto"/>
        </w:rPr>
        <w:t>No Associated Persons; FINRA Matters</w:t>
      </w:r>
      <w:r>
        <w:rPr>
          <w:rFonts w:ascii="Times New Roman" w:cs="Times New Roman" w:eastAsia="Times New Roman" w:hAnsi="Times New Roman"/>
          <w:sz w:val="18"/>
          <w:szCs w:val="18"/>
          <w:color w:val="auto"/>
        </w:rPr>
        <w:t>. Neither the Company nor any of its affiliates (within the meaning of FINRA Rule 5121(f) (1)) directly or indirectly controls, is controlled by, or is under common control with, or is an associated person (within the meaning of Article I, Section 1(ee) of the By-laws of FINRA) of, any member firm of FINRA.</w:t>
      </w:r>
    </w:p>
    <w:p>
      <w:pPr>
        <w:spacing w:after="0" w:line="68"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u w:val="single" w:color="auto"/>
          <w:color w:val="auto"/>
        </w:rPr>
        <w:t>No Acquisitions or Dispositions</w:t>
      </w:r>
      <w:r>
        <w:rPr>
          <w:rFonts w:ascii="Times New Roman" w:cs="Times New Roman" w:eastAsia="Times New Roman" w:hAnsi="Times New Roman"/>
          <w:sz w:val="18"/>
          <w:szCs w:val="18"/>
          <w:color w:val="auto"/>
        </w:rPr>
        <w:t>. Except as are described in the General Disclosure Package and the Prospectus, there are no contracts, letters of intent, term sheets, agreement, arrangements or understandings with respect to the direct or indirect acquisition or disposition by the Company of material interests in real or personal property.</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21" w:name="page22"/>
    <w:bookmarkEnd w:id="21"/>
    <w:p>
      <w:pPr>
        <w:ind w:left="444" w:firstLine="419"/>
        <w:spacing w:after="0" w:line="253" w:lineRule="auto"/>
        <w:tabs>
          <w:tab w:leader="none" w:pos="10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Export and Import Laws</w:t>
      </w:r>
      <w:r>
        <w:rPr>
          <w:rFonts w:ascii="Times New Roman" w:cs="Times New Roman" w:eastAsia="Times New Roman" w:hAnsi="Times New Roman"/>
          <w:sz w:val="18"/>
          <w:szCs w:val="18"/>
          <w:color w:val="auto"/>
        </w:rPr>
        <w:t>. Each of the Company and the subsidiaries, and, to the Company’s Knowledge, each of their affiliates and any director, officer, authorized agent or employee of, or other person authorized to act on behalf of, the Company has acted at all times in compliance in all material respects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cs="Times New Roman" w:eastAsia="Times New Roman" w:hAnsi="Times New Roman"/>
          <w:sz w:val="18"/>
          <w:szCs w:val="18"/>
          <w:b w:val="1"/>
          <w:bCs w:val="1"/>
          <w:i w:val="1"/>
          <w:iCs w:val="1"/>
          <w:color w:val="auto"/>
        </w:rPr>
        <w:t>Export and Import Laws</w:t>
      </w:r>
      <w:r>
        <w:rPr>
          <w:rFonts w:ascii="Times New Roman" w:cs="Times New Roman" w:eastAsia="Times New Roman" w:hAnsi="Times New Roman"/>
          <w:sz w:val="18"/>
          <w:szCs w:val="18"/>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94"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or on behalf of the Company and delivered to the Representatives or to counsel for the Underwriters shall be deemed to be a representation and warranty by the Company to each Underwriter as to the matters covered thereby.</w:t>
      </w:r>
    </w:p>
    <w:p>
      <w:pPr>
        <w:spacing w:after="0" w:line="160" w:lineRule="exact"/>
        <w:rPr>
          <w:sz w:val="20"/>
          <w:szCs w:val="20"/>
          <w:color w:val="auto"/>
        </w:rPr>
      </w:pPr>
    </w:p>
    <w:p>
      <w:pPr>
        <w:jc w:val="both"/>
        <w:ind w:left="4" w:right="60" w:hanging="4"/>
        <w:spacing w:after="0" w:line="267"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Sale and Delivery of Offered Securities</w:t>
      </w:r>
      <w:r>
        <w:rPr>
          <w:rFonts w:ascii="Times New Roman" w:cs="Times New Roman" w:eastAsia="Times New Roman" w:hAnsi="Times New Roman"/>
          <w:sz w:val="18"/>
          <w:szCs w:val="18"/>
          <w:color w:val="auto"/>
        </w:rPr>
        <w:t>. On the basis of the representations, warranties and agreements herein contained, but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and conditions herein set forth, the Company agrees to sell to the Underwriters, and the Underwriters agree, severally and not jointly, to purchase from the Company the respective numbers of Firm Securities set forth opposite the names of the Underwriters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71"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The purchase price per Firm Share to be paid by the Underwriters to the Company will be $9.40 (the “</w:t>
      </w:r>
      <w:r>
        <w:rPr>
          <w:rFonts w:ascii="Times New Roman" w:cs="Times New Roman" w:eastAsia="Times New Roman" w:hAnsi="Times New Roman"/>
          <w:sz w:val="18"/>
          <w:szCs w:val="18"/>
          <w:b w:val="1"/>
          <w:bCs w:val="1"/>
          <w:i w:val="1"/>
          <w:iCs w:val="1"/>
          <w:color w:val="auto"/>
        </w:rPr>
        <w:t>Share Purchase Price</w:t>
      </w:r>
      <w:r>
        <w:rPr>
          <w:rFonts w:ascii="Times New Roman" w:cs="Times New Roman" w:eastAsia="Times New Roman" w:hAnsi="Times New Roman"/>
          <w:sz w:val="18"/>
          <w:szCs w:val="18"/>
          <w:color w:val="auto"/>
        </w:rPr>
        <w:t>”). The purchase price per Firm Pre-Funded Warrant to be paid by the Underwriters to the Company will be $9.399906 (the “</w:t>
      </w:r>
      <w:r>
        <w:rPr>
          <w:rFonts w:ascii="Times New Roman" w:cs="Times New Roman" w:eastAsia="Times New Roman" w:hAnsi="Times New Roman"/>
          <w:sz w:val="18"/>
          <w:szCs w:val="18"/>
          <w:b w:val="1"/>
          <w:bCs w:val="1"/>
          <w:i w:val="1"/>
          <w:iCs w:val="1"/>
          <w:color w:val="auto"/>
        </w:rPr>
        <w:t>Warrant Purchase Price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 w:right="20" w:firstLine="440"/>
        <w:spacing w:after="0" w:line="271" w:lineRule="auto"/>
        <w:rPr>
          <w:sz w:val="20"/>
          <w:szCs w:val="20"/>
          <w:color w:val="auto"/>
        </w:rPr>
      </w:pPr>
      <w:r>
        <w:rPr>
          <w:rFonts w:ascii="Times New Roman" w:cs="Times New Roman" w:eastAsia="Times New Roman" w:hAnsi="Times New Roman"/>
          <w:sz w:val="17"/>
          <w:szCs w:val="17"/>
          <w:color w:val="auto"/>
        </w:rPr>
        <w:t>The Company will deliver the Firm Securities to Clear Street for the respective accounts of the several Underwriters, through the facilities of The Depository Trust Company (in the case of the Firm Shares) or in certificated form (in the case of the Firm Pre-Funded Warrants), issued in such names and in such denominations as Clear Street may direct by notice in writing to the Company given at or prior to 12:00 Noon, New York time, on the business day preceding the Closing Date against payment of the aggregate Share Purchase Price and the aggregate Warrant Purchase Price therefor by wire transfer in federal (same day) funds to an account at a bank specified by the Company in writing payable to the order of the Company. Time shall be of the essence, and delivery at the time and by the means specified pursuant to this Agreement is a further condition of the obligations of each Underwriter hereunder. The time and date of the delivery and closing shall be at 10:00 A.M., New York time, on July 30, 2025, in accordance with Rule 15c6-1 of the Exchange Act. The time and date of such payment and delivery are herein referred to as the “</w:t>
      </w:r>
      <w:r>
        <w:rPr>
          <w:rFonts w:ascii="Times New Roman" w:cs="Times New Roman" w:eastAsia="Times New Roman" w:hAnsi="Times New Roman"/>
          <w:sz w:val="17"/>
          <w:szCs w:val="17"/>
          <w:b w:val="1"/>
          <w:bCs w:val="1"/>
          <w:i w:val="1"/>
          <w:iCs w:val="1"/>
          <w:color w:val="auto"/>
        </w:rPr>
        <w:t>Closing Date</w:t>
      </w:r>
      <w:r>
        <w:rPr>
          <w:rFonts w:ascii="Times New Roman" w:cs="Times New Roman" w:eastAsia="Times New Roman" w:hAnsi="Times New Roman"/>
          <w:sz w:val="17"/>
          <w:szCs w:val="17"/>
          <w:color w:val="auto"/>
        </w:rPr>
        <w:t>.” The Closing Date and the location of delivery of, and the form of payment for, the Firm Securities may be varied by agreement between the Company and the Representatives.</w:t>
      </w:r>
    </w:p>
    <w:p>
      <w:pPr>
        <w:spacing w:after="0" w:line="173"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may purchase all or less than all of the Option Securities. The price per Option Share paid by the Underwriters shall be the Share Purchase Price. The price per Option Pre-Funded Warrant paid by the Underwriters shall be the Warrant Purchase Price. The Company agrees to sell to the Underwriters the number of Option Shares specified in the written notice delivered by the Representatives to the Company described below and the Underwriters agree, severally and not jointly, to purchase such Option Shares. Such Option Securities shall be purchased from the Company for the account of each</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22" w:name="page23"/>
    <w:bookmarkEnd w:id="22"/>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Underwriter in the same proportion as the number of Firm Securities set forth opposite such Underwriter’s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bears to the total number of Firm Securities (subject to adjustment by the Representatives to eliminate fractions). The option granted hereby may be exercised as to all or any part of the Option Securities at any time, and from time to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notice of such exercise must be delivered by no later than 5:00 p.m, New York time, on the date that is 30 days subsequent to the date of this Agreement. No Option Securities shall be sold and delivered unless the Firm Securities previously have been, or simultaneously are, sold and delivered. The right to purchase the Option Securities or any portion thereof may be surrendered and terminated at any time upon notice by the Representatives to the Company.</w:t>
      </w:r>
    </w:p>
    <w:p>
      <w:pPr>
        <w:spacing w:after="0" w:line="187"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option granted hereby shall be exercised by written notice being given to the Company by the Representatives setting forth the number of Option Securities to be purchased by the Underwriters and the date and time for delivery of and payment for such Option Securities. Each date and time for delivery of and payment for any Option Securities (which may be the Closing Date, but not earlier) is herein called the “</w:t>
      </w:r>
      <w:r>
        <w:rPr>
          <w:rFonts w:ascii="Times New Roman" w:cs="Times New Roman" w:eastAsia="Times New Roman" w:hAnsi="Times New Roman"/>
          <w:sz w:val="18"/>
          <w:szCs w:val="18"/>
          <w:b w:val="1"/>
          <w:bCs w:val="1"/>
          <w:i w:val="1"/>
          <w:iCs w:val="1"/>
          <w:color w:val="auto"/>
        </w:rPr>
        <w:t>Option Closing Date</w:t>
      </w:r>
      <w:r>
        <w:rPr>
          <w:rFonts w:ascii="Times New Roman" w:cs="Times New Roman" w:eastAsia="Times New Roman" w:hAnsi="Times New Roman"/>
          <w:sz w:val="18"/>
          <w:szCs w:val="18"/>
          <w:color w:val="auto"/>
        </w:rPr>
        <w:t>” and shall in no event be earlier than the next business day nor later than five business days after written notice is given. The Option Closing Date and the Closing Date are herein called the “</w:t>
      </w:r>
      <w:r>
        <w:rPr>
          <w:rFonts w:ascii="Times New Roman" w:cs="Times New Roman" w:eastAsia="Times New Roman" w:hAnsi="Times New Roman"/>
          <w:sz w:val="18"/>
          <w:szCs w:val="18"/>
          <w:b w:val="1"/>
          <w:bCs w:val="1"/>
          <w:i w:val="1"/>
          <w:iCs w:val="1"/>
          <w:color w:val="auto"/>
        </w:rPr>
        <w:t>Closing Dates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Company will deliver the Option Securities to Clear Street for the respective accounts of the several Underwriters through the facilities of The Depository Trust Company (in the case of the Option Shares) or in certificated form (in the case of the Option Pre-Funded Warrants), in each such case, issued in such names and in such denominations as Clear Street may direct by notice in writing to the Company given at or prior to 12:00 Noon, New York time, on the business day preceding the Option Closing Date against payment of the aggregate Share Purchase Price and the aggregate Warrant Purchase Price therefor by wire transfer in federal (same day) funds to an account at a bank acceptable to the Representatives payable to the order of the Company. Time shall be of the essence, and delivery at the time and by the means specified pursuant to this Agreement is a further condition of the obligations of each Underwriter hereunder. The Option Closing Date and the means of delivery of, and the form of payment for, the Option Shares may be varied by agreement between the Company and the Representatives.</w:t>
      </w:r>
    </w:p>
    <w:p>
      <w:pPr>
        <w:spacing w:after="0" w:line="192"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The several Underwriters propose to offer the Securities for sale upon the terms and conditions set forth in the Prospectus. The Company acknowledges and agrees that the Underwriters may offer and sell Securities to or through any affiliate of an Underwriter.</w:t>
      </w:r>
    </w:p>
    <w:p>
      <w:pPr>
        <w:spacing w:after="0" w:line="160" w:lineRule="exact"/>
        <w:rPr>
          <w:sz w:val="20"/>
          <w:szCs w:val="20"/>
          <w:color w:val="auto"/>
        </w:rPr>
      </w:pPr>
    </w:p>
    <w:p>
      <w:pPr>
        <w:ind w:left="184" w:hanging="184"/>
        <w:spacing w:after="0"/>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 Agreements of the Company. </w:t>
      </w:r>
      <w:r>
        <w:rPr>
          <w:rFonts w:ascii="Times New Roman" w:cs="Times New Roman" w:eastAsia="Times New Roman" w:hAnsi="Times New Roman"/>
          <w:sz w:val="18"/>
          <w:szCs w:val="18"/>
          <w:color w:val="auto"/>
        </w:rPr>
        <w:t>The Company agrees with the several Underwriters:</w:t>
      </w:r>
    </w:p>
    <w:p>
      <w:pPr>
        <w:spacing w:after="0" w:line="119" w:lineRule="exact"/>
        <w:rPr>
          <w:rFonts w:ascii="Times New Roman" w:cs="Times New Roman" w:eastAsia="Times New Roman" w:hAnsi="Times New Roman"/>
          <w:sz w:val="18"/>
          <w:szCs w:val="18"/>
          <w:color w:val="auto"/>
        </w:rPr>
      </w:pPr>
    </w:p>
    <w:p>
      <w:pPr>
        <w:ind w:left="444" w:right="20" w:firstLine="419"/>
        <w:spacing w:after="0" w:line="253" w:lineRule="auto"/>
        <w:tabs>
          <w:tab w:leader="none" w:pos="10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Amendments or Supplements; Notice to the Representative</w:t>
      </w:r>
      <w:r>
        <w:rPr>
          <w:rFonts w:ascii="Times New Roman" w:cs="Times New Roman" w:eastAsia="Times New Roman" w:hAnsi="Times New Roman"/>
          <w:sz w:val="18"/>
          <w:szCs w:val="18"/>
          <w:color w:val="auto"/>
        </w:rPr>
        <w:t>. To prepare the Rule 462(b) Registration Statement, if necessary, in a form approved by the Representatives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for such fee pursuant to Rule 111(b) under the Rules and Regulations; to prepare the Prospectus in a form approved by the Representatives (such approval not to be unreasonably withheld, conditioned or delayed) containing information previously omitted at the time of effectiveness of the Registration Statement in reliance on Rules 430A, 430B or 430C of the Rules and Regulations and to file such Prospectus pursuant to Rule 424(b) of the Rules and Regulations not later than the business day following the execution and delivery of this Agreement or, if applicable, such earlier time as may be required by the Securities Act; to notify the Representatives immediately of the Company’s intention to file or prepare any supplement or amendment to the Registration Statement or to the Prospectus and to make no amendment or supplement to the Registration Statement, the General Disclosure Package or to the Prospectus to which the Representatives shall reasonably object by notice to the Company after a reasonable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to review; to advise the Representatives, promptly after it receives notice thereof, of the time when any amendment to the Registration Statement has been filed or becomes effective or any supplement to the General Disclosure Package or the Prospectus, any amended Prospectus or any Issuer Free Writing Prospectus has been filed and to furnish the Underwriters with copies thereof; to file promptly all material required to be filed by the Company with the Commission pursuant to Rules 433(d) or 163(b)(2) of the Rules and Regulations, as the case may be; to file promptly all reports and any definitive proxy or information statements required to be filed by the Company with the Commission pursuant to Sections 13(a), 13(c), 14 or 15(d) of the Exchange Act subsequent to the date of the Prospectus and for so long as the delivery of a prospectus (or in lieu thereof, the notice referred to in Rule 173(a) of the Rules and Regulations) is required in connection with the offering or sale of the Securities; to advise the Representatives, promptly after it receives notice or obtains Knowledge thereof, of the issuance by the Commission of any stop order or of any order preventing or suspending the use of any Preliminary Prospectus, any Issuer Free Writing Prospectus or the Prospectus, of the suspension of the qualification of the Securities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Preliminary Prospectus, any Issuer Free Writing Prospectus or the Prospectus or suspending any such qualification, and promptly to use its best efforts to obtain the withdrawal of such order.</w:t>
      </w:r>
    </w:p>
    <w:p>
      <w:pPr>
        <w:spacing w:after="0" w:line="89" w:lineRule="exact"/>
        <w:rPr>
          <w:sz w:val="20"/>
          <w:szCs w:val="20"/>
          <w:color w:val="auto"/>
        </w:rPr>
      </w:pPr>
    </w:p>
    <w:p>
      <w:pPr>
        <w:ind w:firstLine="419"/>
        <w:spacing w:after="0" w:line="253" w:lineRule="auto"/>
        <w:tabs>
          <w:tab w:leader="none" w:pos="6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Securities that would constitute a “free writing prospectus” as defined in Rule 405 of the Rules and Regulations unless the prior written consent of the Representatives has been received (each, a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prior written consent of the Representatives hereto shall be deemed to have been given in respect of the Issuer Free Writing Prospectus included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The Company represents that it has treated and agrees that it will treat each Permitted Free Writing Prospectus as an Issuer Free Writing Prospectus, comply with the requirements of Rules 164 and 433 of the Rules and Regulations applicable to any Issuer Free Writing Prospectus, including the requirements relating to timely filing with the Commission, legending and record keeping, and will not take any action that would result in an Underwriter or the Company being required to file with the Commission pursuant to Rule 433(d) of the Rules and Regulations a free writing prospectus prepared by or on behalf of such Underwriter that such Underwriter otherwise would not have been required to file thereunder.</w:t>
      </w:r>
    </w:p>
    <w:p>
      <w:pPr>
        <w:spacing w:after="0" w:line="83" w:lineRule="exact"/>
        <w:rPr>
          <w:rFonts w:ascii="Times New Roman" w:cs="Times New Roman" w:eastAsia="Times New Roman" w:hAnsi="Times New Roman"/>
          <w:sz w:val="18"/>
          <w:szCs w:val="18"/>
          <w:color w:val="auto"/>
        </w:rPr>
      </w:pPr>
    </w:p>
    <w:p>
      <w:pPr>
        <w:ind w:right="100" w:firstLine="419"/>
        <w:spacing w:after="0" w:line="253" w:lineRule="auto"/>
        <w:tabs>
          <w:tab w:leader="none" w:pos="7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Ongoing Compliance</w:t>
      </w:r>
      <w:r>
        <w:rPr>
          <w:rFonts w:ascii="Times New Roman" w:cs="Times New Roman" w:eastAsia="Times New Roman" w:hAnsi="Times New Roman"/>
          <w:sz w:val="18"/>
          <w:szCs w:val="18"/>
          <w:color w:val="auto"/>
        </w:rPr>
        <w:t>. If at any time prior to the date when a prospectus relating to the Securities is required to be delivered (or in lieu thereof, the notice referred to in Rule 173(a) under the Securities Act) any event occurs or condition exists as a result of which the Prospectus as then amended or supplemented would include any untrue statement of a material fact, or omit to state any material fact necessary to make the statements therein, in the light of the circumstances under which they were made when the Prospectus is delivered (or in lieu thereof, the notice referred to in Rule 173(a) of the Rules and Regulations), not misleading, or if it is necessary at any time to amend or supplement the Registration Statement or the Prospectus or to file under the Exchange Act any document incorporated by reference in the Prospectus to comply with the Securities Act or the Exchange Act, that the Company will as promptly as practicable notify the Representatives thereof and upon their request will prepare an appropriate amendment or supplement or upon their request make an appropriate filing pursuant to Section 13 or 14 of the Exchange Act in form and substance reasonably satisfactory to the Representatives which will correct such statement or omission or effect such compliance and will use its reasonable best efforts to have any amendment</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24" w:name="page25"/>
    <w:bookmarkEnd w:id="24"/>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Registration Statement declared effective as soon as possible. In case any Underwriter is required to deliver a prospectus (or in lieu thereof, the notice referred to in Rule 173(a) of the Rules and Regulations) relating to the Securities, the Company upon the request of the Representatives and at the expense of such Underwriter will prepare promptly an amended or supplemented Prospectus as may be necessary to permit compliance with the requirements of Section 10(a)(3) of the Securities Act and deliver to such Underwriter as many copies as such Underwriter may request of such amended or supplemented Prospectus complying with Section 10(a)(3) of the Securities Act.</w:t>
      </w:r>
    </w:p>
    <w:p>
      <w:pPr>
        <w:spacing w:after="0" w:line="75" w:lineRule="exact"/>
        <w:rPr>
          <w:sz w:val="20"/>
          <w:szCs w:val="20"/>
          <w:color w:val="auto"/>
        </w:rPr>
      </w:pPr>
    </w:p>
    <w:p>
      <w:pPr>
        <w:ind w:left="4" w:firstLine="419"/>
        <w:spacing w:after="0" w:line="253" w:lineRule="auto"/>
        <w:tabs>
          <w:tab w:leader="none" w:pos="7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General Disclosure Package</w:t>
      </w:r>
      <w:r>
        <w:rPr>
          <w:rFonts w:ascii="Times New Roman" w:cs="Times New Roman" w:eastAsia="Times New Roman" w:hAnsi="Times New Roman"/>
          <w:sz w:val="18"/>
          <w:szCs w:val="18"/>
          <w:color w:val="auto"/>
        </w:rPr>
        <w:t>. If the General Disclosure Package is being used to solicit offers to buy the Securities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then prevailing, not misleading, or to make the statements therein not conflict with the information contained or incorporated by reference in the Registration Statement then on file and not superseded or modified, or if it is necessary at any time to amend or supplement the General Disclosure Package to comply with any law, the Company promptly will either</w:t>
      </w:r>
    </w:p>
    <w:p>
      <w:pPr>
        <w:spacing w:after="0" w:line="5" w:lineRule="exact"/>
        <w:rPr>
          <w:rFonts w:ascii="Times New Roman" w:cs="Times New Roman" w:eastAsia="Times New Roman" w:hAnsi="Times New Roman"/>
          <w:sz w:val="18"/>
          <w:szCs w:val="18"/>
          <w:color w:val="auto"/>
        </w:rPr>
      </w:pPr>
    </w:p>
    <w:p>
      <w:pPr>
        <w:ind w:left="4" w:hanging="4"/>
        <w:spacing w:after="0" w:line="253" w:lineRule="auto"/>
        <w:tabs>
          <w:tab w:leader="none" w:pos="2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file with the Commission (if required) and furnish to the Underwriters and any dealers an appropriate amendment or supplement to the General Disclosure Package or (b) prepare and file with the Commission an appropriate filing under the Exchange Act which shall be incorporated by reference in the General Disclosure Package so that the General Disclosure Package as so amended or supplemented will not, in the light of the circumstances then prevailing, be misleading or conflict with the Registration Statement then on file, or so that the General Disclosure Package will comply with law.</w:t>
      </w:r>
    </w:p>
    <w:p>
      <w:pPr>
        <w:spacing w:after="0" w:line="78"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Issuer Free Writing Prospectus</w:t>
      </w:r>
      <w:r>
        <w:rPr>
          <w:rFonts w:ascii="Times New Roman" w:cs="Times New Roman" w:eastAsia="Times New Roman" w:hAnsi="Times New Roman"/>
          <w:sz w:val="18"/>
          <w:szCs w:val="18"/>
          <w:color w:val="auto"/>
        </w:rPr>
        <w:t>. If at any time following issuance of an Issuer Free Writing Prospectus there occurred or occurs an event or development as a result of which such Issuer Free Writing Prospectus conflicted or will conflict with the information contained in the Registration Statement, the General Disclosure Package or the Prospectus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Representatives so that any use of the Issuer Free Writing Prospectus may cease until it is amended or supplemented and has promptly amended or will promptly amend or supplement, at its own expense, such Issuer Free Writing Prospectus to eliminate or correct such conflict, untrue statement or omission. The foregoing sentence does not apply to statements in or omissions from any Issuer Free Writing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86" w:lineRule="exact"/>
        <w:rPr>
          <w:rFonts w:ascii="Times New Roman" w:cs="Times New Roman" w:eastAsia="Times New Roman" w:hAnsi="Times New Roman"/>
          <w:sz w:val="18"/>
          <w:szCs w:val="18"/>
          <w:color w:val="auto"/>
        </w:rPr>
      </w:pPr>
    </w:p>
    <w:p>
      <w:pPr>
        <w:ind w:left="4" w:right="60" w:firstLine="419"/>
        <w:spacing w:after="0" w:line="255" w:lineRule="auto"/>
        <w:tabs>
          <w:tab w:leader="none" w:pos="73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Copies</w:t>
      </w:r>
      <w:r>
        <w:rPr>
          <w:rFonts w:ascii="Times New Roman" w:cs="Times New Roman" w:eastAsia="Times New Roman" w:hAnsi="Times New Roman"/>
          <w:sz w:val="18"/>
          <w:szCs w:val="18"/>
          <w:color w:val="auto"/>
        </w:rPr>
        <w:t>. Upon request of the Representatives, to the extent not available on the Commission’s Electronic Data Gathering, Analysis and Retrieval system or any successor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to deliver promptly to the Representatives in New York City such number of the following documents as the Representatives shall reasonably request: (a) conformed copies of the Registration Statement as originally filed with the Commission (in each case excluding exhibits), (b) each Preliminary Prospectus, (c) any Issuer Free Writing Prospectus, (d) the Prospectus (the delivery of the documents referred to in clauses (a), (b), (c) and (d) of this paragraph (vi) to be made not later than 10:00 A.M., New York time, on the business day following the execution and delivery of this Agreement), (e) conformed copies of any amendment to the Registration Statement (excluding exhibits), (f) any amendment or supplement to the General</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25" w:name="page26"/>
    <w:bookmarkEnd w:id="25"/>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Package or the Prospectus (the delivery of the documents referred to in clauses (e) and (f) of this paragraph (vi) to be made not later than 10:00 A.M., New York time, on the business day following the date of such amendment or supplement) and (g) any document incorporated by reference in the General Disclosure Package or the Prospectus (excluding exhibits thereto) (the delivery of the documents referred to in clause</w:t>
      </w:r>
    </w:p>
    <w:p>
      <w:pPr>
        <w:spacing w:after="0" w:line="2" w:lineRule="exact"/>
        <w:rPr>
          <w:sz w:val="20"/>
          <w:szCs w:val="20"/>
          <w:color w:val="auto"/>
        </w:rPr>
      </w:pP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(vi) to be made not later than 10:00 A.M., New York time, on the business day following the date of such document).</w:t>
      </w:r>
    </w:p>
    <w:p>
      <w:pPr>
        <w:spacing w:after="0" w:line="98" w:lineRule="exact"/>
        <w:rPr>
          <w:rFonts w:ascii="Times New Roman" w:cs="Times New Roman" w:eastAsia="Times New Roman" w:hAnsi="Times New Roman"/>
          <w:sz w:val="18"/>
          <w:szCs w:val="18"/>
          <w:color w:val="auto"/>
        </w:rPr>
      </w:pPr>
    </w:p>
    <w:p>
      <w:pPr>
        <w:ind w:left="4" w:right="240" w:firstLine="419"/>
        <w:spacing w:after="0" w:line="258" w:lineRule="auto"/>
        <w:tabs>
          <w:tab w:leader="none" w:pos="7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To make generally available to its stockholders as soon as practicable, but in any event not later than 16 months after the effective date of the Registration Statement (as defined in Rule 158(c) of the Rules and Regulations), an earnings statement of the Company and its subsidiaries (which need not be audited) complying with Section 11(a) of the Securities Act (including, at the option of the Company, Rule 158), provided that the Company will be deemed to have furnished such statement to its stockholders to the extent it is filed on EDGAR or furnished to the Commission and available on EDGAR.</w:t>
      </w:r>
    </w:p>
    <w:p>
      <w:pPr>
        <w:spacing w:after="0" w:line="75" w:lineRule="exact"/>
        <w:rPr>
          <w:rFonts w:ascii="Times New Roman" w:cs="Times New Roman" w:eastAsia="Times New Roman" w:hAnsi="Times New Roman"/>
          <w:sz w:val="18"/>
          <w:szCs w:val="18"/>
          <w:color w:val="auto"/>
        </w:rPr>
      </w:pPr>
    </w:p>
    <w:p>
      <w:pPr>
        <w:ind w:left="4" w:right="100" w:firstLine="419"/>
        <w:spacing w:after="0" w:line="256" w:lineRule="auto"/>
        <w:tabs>
          <w:tab w:leader="none" w:pos="83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xml:space="preserve">. To take promptly from time to time such actions as the Representatives may reasonably request to qualify the Securities for offering and sale under the securities or Blue Sky laws of such jurisdictions (domestic or foreign) as the Representatives may reasonably designate and to continue such qualifications in effect, and to comply with such laws, for so long as required to permit the offer and sale of Securities in such jurisdictions;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and its subsidiaries shall not be obligated to (a) qualify as foreign corporations in any jurisdiction in which they are not so qualified, (b) file a general consent to service of process in any jurisdiction or (c) subject itself to taxation in any such jurisdiction if it is not otherwise so subject.</w:t>
      </w:r>
    </w:p>
    <w:p>
      <w:pPr>
        <w:spacing w:after="0" w:line="79" w:lineRule="exact"/>
        <w:rPr>
          <w:rFonts w:ascii="Times New Roman" w:cs="Times New Roman" w:eastAsia="Times New Roman" w:hAnsi="Times New Roman"/>
          <w:sz w:val="18"/>
          <w:szCs w:val="18"/>
          <w:color w:val="auto"/>
        </w:rPr>
      </w:pPr>
    </w:p>
    <w:p>
      <w:pPr>
        <w:ind w:left="4" w:right="140" w:firstLine="419"/>
        <w:spacing w:after="0" w:line="256" w:lineRule="auto"/>
        <w:tabs>
          <w:tab w:leader="none" w:pos="73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Upon request, during the period of five years from the date hereof, to deliver to each of the Underwriters, (a) as soon as they are available, copies of all reports or other communications (financial or other) furnished to stockholders, and (b) as soon as they are available, copies of any reports and financial statements furnished or filed with the Commission or any national securities exchange on which the Class A Common Stock is listed. However, so long as the Company is subject to the reporting requirements of either Section 13 or Section 15(d) of the Exchange Act and is timely filing reports on EDGAR or furnishing reports to the Commission which are available on EDGAR, it is not required to furnish such reports or statements to the Underwriters.</w:t>
      </w:r>
    </w:p>
    <w:p>
      <w:pPr>
        <w:spacing w:after="0" w:line="79"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During the period commencing on and including the date hereof and ending on and including the (60th) day following the date of this Agreement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the Company will not, without the prior written consent of the Representatives (which consent may be withheld at the sole discretion of the Representatives),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shares of Class A Common Stock or Class V Common Stock, options, rights or warrants to acquire Class A Common Stock or Class V Common Stock or securities exchangeable or exercisable for or convertible into shares of Class A Common Stock or Class V Common Stock (collectively, “</w:t>
      </w:r>
      <w:r>
        <w:rPr>
          <w:rFonts w:ascii="Times New Roman" w:cs="Times New Roman" w:eastAsia="Times New Roman" w:hAnsi="Times New Roman"/>
          <w:sz w:val="18"/>
          <w:szCs w:val="18"/>
          <w:b w:val="1"/>
          <w:bCs w:val="1"/>
          <w:i w:val="1"/>
          <w:i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(other than is contemplated by this Agreement with respect to the Securities) or publicly announce any intention to do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foregoing;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(a) issue Covered Securities pursuant to any director or employee stock option or incentive plan, stock ownership plan or dividend reinvestment plan of the Company in effect on the date hereof and described in the General Disclosure Package; (b) issue shares of Class A Common Stock or Class V Common Stock pursuant to the conversion, exercise or exchange of any other Covered Securities, which Covered Securities are outstanding on</w:t>
      </w:r>
    </w:p>
    <w:p>
      <w:pPr>
        <w:spacing w:after="0" w:line="12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4"/>
          </w:cols>
          <w:pgMar w:left="876" w:top="270" w:right="47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date hereof and described in the General Disclosure Package (including any such securities issued pursuant to an Exempt Plan); (c) file a registration statement on Form S-8 or any successor form thereto; (d) issue Covered Securities, or enter into an agreement to issue Covered Securities, in connection with any merger, joint venture, strategic alliance, commercial or other collaborative transaction or the acquisition or license of the business, property, technology or other assets of another individual or entity;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Covered Securities (or the aggregate number of Class A Common Stock or Class V Common Stock issuable pursuant to such Covered Securities) that the Company may issue or agree to issue pursuant to this clause (d) shall not exceed 5% of the total outstanding share capital and voting power of the Company immediately following the issuance of such Covered Securities (or full exercise or conversion thereof, as applicable);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recipients thereof execute and deliver to the Representatives a Lock-up Agreement; and (e) upon exercise of the Options (as defined and described in the Pricing Prospectus and the Prospectus). The Company will direct its transfer agent to place stop transfer restrictions upon any securities of the Company that are bound by any Lock-Up Agreement. If any persons shall become directors or executive officers of the Company prior to the end of the Lock-Up Period, the Company shall cause each such person, prior to or contemporaneously with their appointment or election as a director or executive officer of the Company, to execute and deliver to the Representatives a Lock-Up Agreement.</w:t>
      </w:r>
    </w:p>
    <w:p>
      <w:pPr>
        <w:spacing w:after="0" w:line="82" w:lineRule="exact"/>
        <w:rPr>
          <w:sz w:val="20"/>
          <w:szCs w:val="20"/>
          <w:color w:val="auto"/>
        </w:rPr>
      </w:pPr>
    </w:p>
    <w:p>
      <w:pPr>
        <w:ind w:right="100" w:firstLine="419"/>
        <w:spacing w:after="0" w:line="266" w:lineRule="auto"/>
        <w:tabs>
          <w:tab w:leader="none" w:pos="7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SEC Correspondence</w:t>
      </w:r>
      <w:r>
        <w:rPr>
          <w:rFonts w:ascii="Times New Roman" w:cs="Times New Roman" w:eastAsia="Times New Roman" w:hAnsi="Times New Roman"/>
          <w:sz w:val="18"/>
          <w:szCs w:val="18"/>
          <w:color w:val="auto"/>
        </w:rPr>
        <w:t>. To supply the Underwriters with copies of all substantive correspondence to and from, and all documents issued to and by, the Commission in connection with the registration of the Securities under the Securities Act, including with respect to the Registration Statement, any Preliminary Prospectus or the Prospectus, or any amendment or supplement thereto.</w:t>
      </w:r>
    </w:p>
    <w:p>
      <w:pPr>
        <w:spacing w:after="0" w:line="67" w:lineRule="exact"/>
        <w:rPr>
          <w:rFonts w:ascii="Times New Roman" w:cs="Times New Roman" w:eastAsia="Times New Roman" w:hAnsi="Times New Roman"/>
          <w:sz w:val="18"/>
          <w:szCs w:val="18"/>
          <w:color w:val="auto"/>
        </w:rPr>
      </w:pPr>
    </w:p>
    <w:p>
      <w:pPr>
        <w:ind w:right="60" w:firstLine="419"/>
        <w:spacing w:after="0" w:line="256" w:lineRule="auto"/>
        <w:tabs>
          <w:tab w:leader="none" w:pos="7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Prior to the Closing Date, not to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Representatives is notified), without the prior consent of the Representatives (which consent shall not be unreasonably withheld, conditioned or delayed), unless in the judgment of the Company and its counsel, and after notification to the Representatives, such press release or communication is required by law.</w:t>
      </w:r>
    </w:p>
    <w:p>
      <w:pPr>
        <w:spacing w:after="0" w:line="79" w:lineRule="exact"/>
        <w:rPr>
          <w:rFonts w:ascii="Times New Roman" w:cs="Times New Roman" w:eastAsia="Times New Roman" w:hAnsi="Times New Roman"/>
          <w:sz w:val="18"/>
          <w:szCs w:val="18"/>
          <w:color w:val="auto"/>
        </w:rPr>
      </w:pPr>
    </w:p>
    <w:p>
      <w:pPr>
        <w:ind w:right="60" w:firstLine="419"/>
        <w:spacing w:after="0" w:line="256" w:lineRule="auto"/>
        <w:tabs>
          <w:tab w:leader="none" w:pos="8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Regulation M</w:t>
      </w:r>
      <w:r>
        <w:rPr>
          <w:rFonts w:ascii="Times New Roman" w:cs="Times New Roman" w:eastAsia="Times New Roman" w:hAnsi="Times New Roman"/>
          <w:sz w:val="18"/>
          <w:szCs w:val="18"/>
          <w:color w:val="auto"/>
        </w:rPr>
        <w:t>. Until the Underwriters shall have notified the Company of the completion of the resale of the Securities, that the Company will not, and will use its reasonable best efforts to cause its affiliated purchasers (as defined in Regulation M of the Exchange Act Rules and Regulations) not to, either alone or with one or more other persons, bid for or purchase, for any account in which it or any of its affiliated purchasers has a beneficial interest, any Securities, or attempt to induce any person to purchase any Securities; and not to, and to use its reasonable best efforts to cause its affiliated purchasers not to, make bids or purchase for the purpose of creating actual, or apparent, active trading in or of raising the price of the Securities.</w:t>
      </w:r>
    </w:p>
    <w:p>
      <w:pPr>
        <w:spacing w:after="0" w:line="79"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Registrar and Transfer Agent</w:t>
      </w:r>
      <w:r>
        <w:rPr>
          <w:rFonts w:ascii="Times New Roman" w:cs="Times New Roman" w:eastAsia="Times New Roman" w:hAnsi="Times New Roman"/>
          <w:sz w:val="18"/>
          <w:szCs w:val="18"/>
          <w:color w:val="auto"/>
        </w:rPr>
        <w:t>. To maintain, at its expense, a registrar and transfer agent for the Shares and the Warrant Shares.</w:t>
      </w:r>
    </w:p>
    <w:p>
      <w:pPr>
        <w:spacing w:after="0" w:line="117" w:lineRule="exact"/>
        <w:rPr>
          <w:rFonts w:ascii="Times New Roman" w:cs="Times New Roman" w:eastAsia="Times New Roman" w:hAnsi="Times New Roman"/>
          <w:sz w:val="18"/>
          <w:szCs w:val="18"/>
          <w:color w:val="auto"/>
        </w:rPr>
      </w:pPr>
    </w:p>
    <w:p>
      <w:pPr>
        <w:ind w:right="160" w:firstLine="419"/>
        <w:spacing w:after="0" w:line="266" w:lineRule="auto"/>
        <w:tabs>
          <w:tab w:leader="none" w:pos="7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To apply the net proceeds from the sale of the Securities as set forth in the Pricing Prospectus and the Prospectus under the heading “Use of Proceeds,” and except as disclosed in the General Disclosure Package, the Company does not intend to use any of the proceeds from the sale of the Securities hereunder to repay any outstanding debt owed to any affiliate of any Underwriter.</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70" w:right="479" w:bottom="1440" w:gutter="0" w:footer="0" w:header="0"/>
        </w:sectPr>
      </w:pPr>
    </w:p>
    <w:bookmarkStart w:id="27" w:name="page28"/>
    <w:bookmarkEnd w:id="27"/>
    <w:p>
      <w:pPr>
        <w:ind w:right="420" w:firstLine="419"/>
        <w:spacing w:after="0" w:line="282" w:lineRule="auto"/>
        <w:tabs>
          <w:tab w:leader="none" w:pos="8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Listing</w:t>
      </w:r>
      <w:r>
        <w:rPr>
          <w:rFonts w:ascii="Times New Roman" w:cs="Times New Roman" w:eastAsia="Times New Roman" w:hAnsi="Times New Roman"/>
          <w:sz w:val="18"/>
          <w:szCs w:val="18"/>
          <w:color w:val="auto"/>
        </w:rPr>
        <w:t>. To use its reasonable best efforts to list, subject, if applicable, to notice of issuance, the Shares and the Warrant Shares on the Exchange.</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8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 and Satisfaction of Conditions</w:t>
      </w:r>
      <w:r>
        <w:rPr>
          <w:rFonts w:ascii="Times New Roman" w:cs="Times New Roman" w:eastAsia="Times New Roman" w:hAnsi="Times New Roman"/>
          <w:sz w:val="18"/>
          <w:szCs w:val="18"/>
          <w:color w:val="auto"/>
        </w:rPr>
        <w:t>. To use its reasonable best efforts to do and perform all things required to be done or performed under this Agreement by the Company prior to each Closing Date and to satisfy all conditions precedent to the delivery of the Firm Securities and the Option Securities.</w:t>
      </w:r>
    </w:p>
    <w:p>
      <w:pPr>
        <w:spacing w:after="0" w:line="63" w:lineRule="exact"/>
        <w:rPr>
          <w:rFonts w:ascii="Times New Roman" w:cs="Times New Roman" w:eastAsia="Times New Roman" w:hAnsi="Times New Roman"/>
          <w:sz w:val="18"/>
          <w:szCs w:val="18"/>
          <w:color w:val="auto"/>
        </w:rPr>
      </w:pPr>
    </w:p>
    <w:p>
      <w:pPr>
        <w:ind w:firstLine="419"/>
        <w:spacing w:after="0" w:line="253" w:lineRule="auto"/>
        <w:tabs>
          <w:tab w:leader="none" w:pos="9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Participation</w:t>
      </w:r>
      <w:r>
        <w:rPr>
          <w:rFonts w:ascii="Times New Roman" w:cs="Times New Roman" w:eastAsia="Times New Roman" w:hAnsi="Times New Roman"/>
          <w:sz w:val="18"/>
          <w:szCs w:val="18"/>
          <w:color w:val="auto"/>
        </w:rPr>
        <w:t>. The Representatives shall have a right (the “</w:t>
      </w:r>
      <w:r>
        <w:rPr>
          <w:rFonts w:ascii="Times New Roman" w:cs="Times New Roman" w:eastAsia="Times New Roman" w:hAnsi="Times New Roman"/>
          <w:sz w:val="18"/>
          <w:szCs w:val="18"/>
          <w:b w:val="1"/>
          <w:bCs w:val="1"/>
          <w:i w:val="1"/>
          <w:iCs w:val="1"/>
          <w:color w:val="auto"/>
        </w:rPr>
        <w:t>Right of Participation</w:t>
      </w:r>
      <w:r>
        <w:rPr>
          <w:rFonts w:ascii="Times New Roman" w:cs="Times New Roman" w:eastAsia="Times New Roman" w:hAnsi="Times New Roman"/>
          <w:sz w:val="18"/>
          <w:szCs w:val="18"/>
          <w:color w:val="auto"/>
        </w:rPr>
        <w:t>”), from the date of this Agreement through the 12-month anniversary of the Closing Date (the “</w:t>
      </w:r>
      <w:r>
        <w:rPr>
          <w:rFonts w:ascii="Times New Roman" w:cs="Times New Roman" w:eastAsia="Times New Roman" w:hAnsi="Times New Roman"/>
          <w:sz w:val="18"/>
          <w:szCs w:val="18"/>
          <w:b w:val="1"/>
          <w:bCs w:val="1"/>
          <w:i w:val="1"/>
          <w:iCs w:val="1"/>
          <w:color w:val="auto"/>
        </w:rPr>
        <w:t>Participation Period</w:t>
      </w:r>
      <w:r>
        <w:rPr>
          <w:rFonts w:ascii="Times New Roman" w:cs="Times New Roman" w:eastAsia="Times New Roman" w:hAnsi="Times New Roman"/>
          <w:sz w:val="18"/>
          <w:szCs w:val="18"/>
          <w:color w:val="auto"/>
        </w:rPr>
        <w:t>”), to act as an underwriter, for every registered common stock offering or offering of stock convertible into common stock, excluding any at-the-market offerings (each, a “</w:t>
      </w:r>
      <w:r>
        <w:rPr>
          <w:rFonts w:ascii="Times New Roman" w:cs="Times New Roman" w:eastAsia="Times New Roman" w:hAnsi="Times New Roman"/>
          <w:sz w:val="18"/>
          <w:szCs w:val="18"/>
          <w:b w:val="1"/>
          <w:bCs w:val="1"/>
          <w:i w:val="1"/>
          <w:iCs w:val="1"/>
          <w:color w:val="auto"/>
        </w:rPr>
        <w:t>Covered Transaction</w:t>
      </w:r>
      <w:r>
        <w:rPr>
          <w:rFonts w:ascii="Times New Roman" w:cs="Times New Roman" w:eastAsia="Times New Roman" w:hAnsi="Times New Roman"/>
          <w:sz w:val="18"/>
          <w:szCs w:val="18"/>
          <w:color w:val="auto"/>
        </w:rPr>
        <w:t>”), of the Company, or any successor to the Company, on customary terms and conditions for such Covered Transactions. The Company shall have the right to determine the role of the Representatives and the economic terms of such participation (which the Representatives can accept or reject in their sole discretion). The Company shall notify the Representatives of their intention to pursue a Covered Transaction, including the material terms thereof, by providing written notice thereof by email to the Representatives. The Representatives may elect, in their sole and absolute discretion, not to exercise its Right of Participation with respect to any Covered Transaction; provided that any such election by a Representative shall not adversely affect such Representative’s Right of Participation with respect to any other Covered Transaction during the Participation Period. The terms and conditions of any engagement with respect to a Covered Transaction shall be set forth in one or more separate agreements and may be subject to, among other things, satisfactory completion of due diligence by the Representatives, market conditions, the absence of a material adverse change to the Company’s business, financial condition and prospects, approval of the Representatives’ internal committees and any other conditions that the Representatives may deem appropriate for transactions of such nature.</w:t>
      </w:r>
    </w:p>
    <w:p>
      <w:pPr>
        <w:spacing w:after="0" w:line="83" w:lineRule="exact"/>
        <w:rPr>
          <w:rFonts w:ascii="Times New Roman" w:cs="Times New Roman" w:eastAsia="Times New Roman" w:hAnsi="Times New Roman"/>
          <w:sz w:val="18"/>
          <w:szCs w:val="18"/>
          <w:color w:val="auto"/>
        </w:rPr>
      </w:pPr>
    </w:p>
    <w:p>
      <w:pPr>
        <w:ind w:firstLine="419"/>
        <w:spacing w:after="0" w:line="252" w:lineRule="auto"/>
        <w:tabs>
          <w:tab w:leader="none" w:pos="8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pay, or reimburse if paid by any Underwriter, whether or not the transactions contemplated hereby are consummated or this Agreement is terminated: (a) the costs incident to the authorization, issuance, sale, preparation and delivery of the Securities and any taxes payable in that connection; (b) the costs incident to the registration of the Securities under the Securities Act; (c) the costs incident to the preparation, printing and distribution of the Registration Statement, any Preliminary Prospectus, any Issuer Free Writing Prospectus, the General Disclosure Package, the Prospectus, any amendments, supplements and exhibits thereto or any document incorporated by reference therein; (d) third-party fees and expenses (including related reasonable and documented fees and expenses of outside counsel for the Underwriters) incurred in connection with securing any required review by FINRA of the terms of the sale of the Securities and any filings made with FINRA; (e) any applicable listing or other fees; (f) third-party fees and expenses (including related reasonable and documented fees and expenses of outside counsel to the Underwriters) of qualifying the Securities under the securities laws of the several jurisdictions as provided in Section 4(viii)) and of preparing, printing and distributing wrappers, Blue Sky Memoranda and Legal Investment Surveys; (g) all fees and expenses of the registrar and transfer agent of the Securities; (h) the fees of outside counsel to the Underwriters up to an aggregate of $75,000; (i)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and travel and lodging expenses of the officers of the Company and such consultants, and (j) all other third-party costs and expenses incident to the offering of the Securities or the performance of the obligations of the Company</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28" w:name="page29"/>
    <w:bookmarkEnd w:id="28"/>
    <w:p>
      <w:pPr>
        <w:ind w:left="44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this Agreement (including, without limitation, the fees and expenses of the Company’s outside counsel and the Company’s independent accountants);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to the extent otherwise provided in this Section 4(xix) and in Sections 8 and 9, the Underwriters shall pay their own costs and expenses, including the fees and expenses of their counsel not contemplated herein, any transfer taxes on the resale of any Securities by them and the expenses of advertising any offering of the Securities made by the Underwriters.</w:t>
      </w:r>
    </w:p>
    <w:p>
      <w:pPr>
        <w:spacing w:after="0" w:line="178" w:lineRule="exact"/>
        <w:rPr>
          <w:sz w:val="20"/>
          <w:szCs w:val="20"/>
          <w:color w:val="auto"/>
        </w:rPr>
      </w:pPr>
    </w:p>
    <w:p>
      <w:pPr>
        <w:ind w:left="4" w:right="20" w:hanging="4"/>
        <w:spacing w:after="0" w:line="261" w:lineRule="auto"/>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of Underwriters’ Obligations. </w:t>
      </w:r>
      <w:r>
        <w:rPr>
          <w:rFonts w:ascii="Times New Roman" w:cs="Times New Roman" w:eastAsia="Times New Roman" w:hAnsi="Times New Roman"/>
          <w:sz w:val="18"/>
          <w:szCs w:val="18"/>
          <w:color w:val="auto"/>
        </w:rPr>
        <w:t>The respective obligations of the several Underwriters hereunder are subject to the accuracy, when made,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Applicable Time and on each Closing Date, of the representations and warranties of the Company contained herein, to the accuracy of the statements of the Company made in any certificates pursuant to the provisions hereof, to the performance by the Company of its obligations hereunder, and to each of the following additional terms and conditions:</w:t>
      </w:r>
    </w:p>
    <w:p>
      <w:pPr>
        <w:spacing w:after="0" w:line="73" w:lineRule="exact"/>
        <w:rPr>
          <w:rFonts w:ascii="Times New Roman" w:cs="Times New Roman" w:eastAsia="Times New Roman" w:hAnsi="Times New Roman"/>
          <w:sz w:val="18"/>
          <w:szCs w:val="18"/>
          <w:color w:val="auto"/>
        </w:rPr>
      </w:pPr>
    </w:p>
    <w:p>
      <w:pPr>
        <w:ind w:left="444" w:firstLine="419"/>
        <w:spacing w:after="0" w:line="253" w:lineRule="auto"/>
        <w:tabs>
          <w:tab w:leader="none" w:pos="108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Compliance; No Stop Orders</w:t>
      </w:r>
      <w:r>
        <w:rPr>
          <w:rFonts w:ascii="Times New Roman" w:cs="Times New Roman" w:eastAsia="Times New Roman" w:hAnsi="Times New Roman"/>
          <w:sz w:val="18"/>
          <w:szCs w:val="18"/>
          <w:color w:val="auto"/>
        </w:rPr>
        <w:t>. The Registration Statement has become effective under the Securities Act, and no stop order suspending the effectiveness of the Registration Statement or any part thereof, preventing or suspending the use of the Base Prospectus, any Preliminary Prospectus, the Prospectus or any Permitted Free Writing Prospectus or any part thereof shall have been issued and no proceedings for that purpose or pursuant to Section 8A under the Securities Act shall have been initiated or threatened by the Commission, and all requests for additional information on the part of the Commission (to be included or incorporated by reference in the Registration Statement or the Prospectus or otherwise) shall have been complied with to the reasonable satisfaction of the Representatives;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(i), and the Rule 462(b) Registration Statement, if any shall have become effective immediately upon its filing with the Commission; and FINRA shall have raised no unresolved objection to the fairness and reasonableness of the terms of this Agreement or the transactions contemplated hereby.</w:t>
      </w:r>
    </w:p>
    <w:p>
      <w:pPr>
        <w:spacing w:after="0" w:line="86" w:lineRule="exact"/>
        <w:rPr>
          <w:rFonts w:ascii="Times New Roman" w:cs="Times New Roman" w:eastAsia="Times New Roman" w:hAnsi="Times New Roman"/>
          <w:sz w:val="18"/>
          <w:szCs w:val="18"/>
          <w:color w:val="auto"/>
        </w:rPr>
      </w:pPr>
    </w:p>
    <w:p>
      <w:pPr>
        <w:ind w:left="444" w:right="40" w:firstLine="419"/>
        <w:spacing w:after="0" w:line="255" w:lineRule="auto"/>
        <w:tabs>
          <w:tab w:leader="none" w:pos="113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Misstatements</w:t>
      </w:r>
      <w:r>
        <w:rPr>
          <w:rFonts w:ascii="Times New Roman" w:cs="Times New Roman" w:eastAsia="Times New Roman" w:hAnsi="Times New Roman"/>
          <w:sz w:val="18"/>
          <w:szCs w:val="18"/>
          <w:color w:val="auto"/>
        </w:rPr>
        <w:t>. None of the Underwriters shall have discovered and disclosed to the Company on or prior to the applicable Closing Date that the Registration Statement or any amendment or supplement thereto contains an untrue statement of a fact which, in the opinion of counsel for the Underwriters, is material or omits to state any fact which, in the opinion of such counsel, is material and is required to be stated therein or is necessary to make the statements therein not misleading, or that the General Disclosure Package, any Issuer Free Writing Prospectus or the Prospectus or any amendment or supplement thereto contains an untrue statement of fact which, in the opinion of such counsel, is material or omits to state any fact which, in the opinion of such counsel, is material and is necessary in order to make the statements therein, in the light of the circumstances in which they were made, not misleading.</w:t>
      </w:r>
    </w:p>
    <w:p>
      <w:pPr>
        <w:spacing w:after="0" w:line="78" w:lineRule="exact"/>
        <w:rPr>
          <w:rFonts w:ascii="Times New Roman" w:cs="Times New Roman" w:eastAsia="Times New Roman" w:hAnsi="Times New Roman"/>
          <w:sz w:val="18"/>
          <w:szCs w:val="18"/>
          <w:color w:val="auto"/>
        </w:rPr>
      </w:pPr>
    </w:p>
    <w:p>
      <w:pPr>
        <w:ind w:left="444" w:right="640" w:firstLine="419"/>
        <w:spacing w:after="0" w:line="284" w:lineRule="auto"/>
        <w:tabs>
          <w:tab w:leader="none" w:pos="118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General Counsel for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Marc D’Annunzio, General Counsel of the Company, shall have furnished to the Representatives such counsel’s written opinion addressed to the Underwriters and dated the applicable Closing Date.</w:t>
      </w:r>
    </w:p>
    <w:p>
      <w:pPr>
        <w:spacing w:after="0" w:line="50" w:lineRule="exact"/>
        <w:rPr>
          <w:rFonts w:ascii="Times New Roman" w:cs="Times New Roman" w:eastAsia="Times New Roman" w:hAnsi="Times New Roman"/>
          <w:sz w:val="18"/>
          <w:szCs w:val="18"/>
          <w:color w:val="auto"/>
        </w:rPr>
      </w:pPr>
    </w:p>
    <w:p>
      <w:pPr>
        <w:jc w:val="both"/>
        <w:ind w:left="444" w:right="40" w:firstLine="419"/>
        <w:spacing w:after="0" w:line="267" w:lineRule="auto"/>
        <w:tabs>
          <w:tab w:leader="none" w:pos="11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and Disclosure Letter of Counsel for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Sullivan &amp; Cromwell LLP shall have furnished to the Representatives such counsel’s written opinion and written disclosure letter, as counsel to the Company, addressed to the Underwriters and dated the applicable Closing Date.</w:t>
      </w:r>
    </w:p>
    <w:p>
      <w:pPr>
        <w:spacing w:after="0" w:line="67" w:lineRule="exact"/>
        <w:rPr>
          <w:rFonts w:ascii="Times New Roman" w:cs="Times New Roman" w:eastAsia="Times New Roman" w:hAnsi="Times New Roman"/>
          <w:sz w:val="18"/>
          <w:szCs w:val="18"/>
          <w:color w:val="auto"/>
        </w:rPr>
      </w:pPr>
    </w:p>
    <w:p>
      <w:pPr>
        <w:ind w:left="444" w:right="280" w:firstLine="419"/>
        <w:spacing w:after="0" w:line="261" w:lineRule="auto"/>
        <w:tabs>
          <w:tab w:leader="none" w:pos="112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and 10b-5 Statement of Counsel for the Underwriters</w:t>
      </w:r>
      <w:r>
        <w:rPr>
          <w:rFonts w:ascii="Times New Roman" w:cs="Times New Roman" w:eastAsia="Times New Roman" w:hAnsi="Times New Roman"/>
          <w:sz w:val="18"/>
          <w:szCs w:val="18"/>
          <w:color w:val="auto"/>
        </w:rPr>
        <w:t>. Reed Smith LLP shall have furnished to the Representatives such counsel’s written opinion, as Underwriters’ counsel, addressed to the Underwriters and dated the applicable Closing Date, with respect to such matters as the Underwriters may reasonably require, and the Company shall have furnished to such counsel such documents as they request for enabling them to pass upon such matters.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29" w:name="page30"/>
    <w:bookmarkEnd w:id="29"/>
    <w:p>
      <w:pPr>
        <w:ind w:left="4" w:right="540" w:firstLine="419"/>
        <w:spacing w:after="0" w:line="276" w:lineRule="auto"/>
        <w:tabs>
          <w:tab w:leader="none" w:pos="73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Comfort Letter</w:t>
      </w:r>
      <w:r>
        <w:rPr>
          <w:rFonts w:ascii="Times New Roman" w:cs="Times New Roman" w:eastAsia="Times New Roman" w:hAnsi="Times New Roman"/>
          <w:sz w:val="17"/>
          <w:szCs w:val="17"/>
          <w:color w:val="auto"/>
        </w:rPr>
        <w:t>. At the time of the execution of this Agreement, the Representatives shall have received from each of the Former Auditors a letter, addressed to the Underwriters, executed and dated such date, in form and substance satisfactory to the Representatives</w:t>
      </w:r>
    </w:p>
    <w:p>
      <w:pPr>
        <w:jc w:val="both"/>
        <w:ind w:left="4" w:right="20" w:hanging="4"/>
        <w:spacing w:after="0" w:line="253" w:lineRule="auto"/>
        <w:tabs>
          <w:tab w:leader="none" w:pos="2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they are an independent registered accounting firm with respect to the Company and its subsidiaries within the meaning of the Securities Act, the Rules and Regulations and PCAOB and (b) stating the conclusions and findings of such firm, of the type ordinarily included in accountants’ “comfort letters” to underwriters, with respect to the financial statements and certain financial information contained or incorporated by reference in the Registration Statement, the General Disclosure Package and the Prospectus.</w:t>
      </w:r>
    </w:p>
    <w:p>
      <w:pPr>
        <w:spacing w:after="0" w:line="80" w:lineRule="exact"/>
        <w:rPr>
          <w:rFonts w:ascii="Times New Roman" w:cs="Times New Roman" w:eastAsia="Times New Roman" w:hAnsi="Times New Roman"/>
          <w:sz w:val="18"/>
          <w:szCs w:val="18"/>
          <w:color w:val="auto"/>
        </w:rPr>
      </w:pPr>
    </w:p>
    <w:p>
      <w:pPr>
        <w:ind w:left="4" w:firstLine="419"/>
        <w:spacing w:after="0" w:line="254" w:lineRule="auto"/>
        <w:tabs>
          <w:tab w:leader="none" w:pos="7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 Down Comfort</w:t>
      </w:r>
      <w:r>
        <w:rPr>
          <w:rFonts w:ascii="Times New Roman" w:cs="Times New Roman" w:eastAsia="Times New Roman" w:hAnsi="Times New Roman"/>
          <w:sz w:val="18"/>
          <w:szCs w:val="18"/>
          <w:color w:val="auto"/>
        </w:rPr>
        <w:t>. On the effective date of any post-effective amendment to the Registration Statement and on the applicable Closing Date, the Representatives shall have received a letter (the “</w:t>
      </w:r>
      <w:r>
        <w:rPr>
          <w:rFonts w:ascii="Times New Roman" w:cs="Times New Roman" w:eastAsia="Times New Roman" w:hAnsi="Times New Roman"/>
          <w:sz w:val="18"/>
          <w:szCs w:val="18"/>
          <w:b w:val="1"/>
          <w:bCs w:val="1"/>
          <w:i w:val="1"/>
          <w:iCs w:val="1"/>
          <w:color w:val="auto"/>
        </w:rPr>
        <w:t>bring-down letter</w:t>
      </w:r>
      <w:r>
        <w:rPr>
          <w:rFonts w:ascii="Times New Roman" w:cs="Times New Roman" w:eastAsia="Times New Roman" w:hAnsi="Times New Roman"/>
          <w:sz w:val="18"/>
          <w:szCs w:val="18"/>
          <w:color w:val="auto"/>
        </w:rPr>
        <w:t>”) from each of the Former Auditors addressed to the Underwriters and dated the applicable Closing Date confirming, as of the date of the bring-down letter (or, with respect to matters involving changes or developments since the respective dates as of which specified financial information is given in the General Disclosure Package and the Prospectus, as the case may be, as of a date not more than three (3) business days prior to the date of the bring-down letter), the conclusions and findings of such firm, of the type ordinarily included in accountants’ “comfort letters” to underwriters, with respect to the financial information and other matters covered by its letter delivered to the Representatives concurrently with the execution of this Agreement pursuant to paragraph (vi) of this Section 5.</w:t>
      </w:r>
    </w:p>
    <w:p>
      <w:pPr>
        <w:spacing w:after="0" w:line="83" w:lineRule="exact"/>
        <w:rPr>
          <w:rFonts w:ascii="Times New Roman" w:cs="Times New Roman" w:eastAsia="Times New Roman" w:hAnsi="Times New Roman"/>
          <w:sz w:val="18"/>
          <w:szCs w:val="18"/>
          <w:color w:val="auto"/>
        </w:rPr>
      </w:pPr>
    </w:p>
    <w:p>
      <w:pPr>
        <w:ind w:left="4" w:firstLine="419"/>
        <w:spacing w:after="0" w:line="253" w:lineRule="auto"/>
        <w:tabs>
          <w:tab w:leader="none" w:pos="8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Company shall have furnished to the Representatives a certificate, dated the applicable Closing Date, of its Chief Executive Officer and its Chief Financial Officer stating in their respective capacities as officers of the Company on behalf of the Company, and not in their respective personal capacities, that (a) no stop order suspending the effectiveness of the Registration Statement (including, for avoidance of doubt, any Rule 462(b) Registration Statement), or any post-effective amendment thereto, shall be in effect and no proceedings for such purpose shall have been instituted or, to their knowledge, threatened by the Commission, (b) for the period from and including the date of this Agreement through and including such Closing Date, there has not occurred any Material Adverse Effect, (c) to their knowledge, after reasonable investigation, as of such Closing Date, the representations and warranties of the Company in this Agreement are true and correct and the Company has complied in all material respects with all agreements and satisfied all conditions on its part to be performed or satisfied hereunder at or prior to such Closing Date, and (d) there has not been, subsequent to the date of the most recent audited financial statements included or incorporated by reference in the General Disclosure Package, any Material Adverse Effect with respect to the financial position or results of operations of the Company, or any change or development that would reasonably be expected, individually or in the aggregate, to involve a Material Adverse Effect, except as set forth in the General Disclosure Package and the Prospectus.</w:t>
      </w:r>
    </w:p>
    <w:p>
      <w:pPr>
        <w:spacing w:after="0" w:line="81"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7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the latest audited financial statements included or incorporated by reference in the General Disclosure Package as of the date hereof, (a)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(b) there shall not have been any change in the capital stock or long-term debt of the Company or any of its subsidiaries (other than the issuance of shares of Class A Common Stock upon exercise of stock options and warrants described as</w:t>
      </w:r>
    </w:p>
    <w:p>
      <w:pPr>
        <w:spacing w:after="0" w:line="12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24"/>
          </w:cols>
          <w:pgMar w:left="876" w:top="270" w:right="499" w:bottom="1440" w:gutter="0" w:footer="0" w:header="0"/>
        </w:sectPr>
      </w:pPr>
    </w:p>
    <w:bookmarkStart w:id="30" w:name="page31"/>
    <w:bookmarkEnd w:id="30"/>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in the Registration Statement, the General Disclosure Package and the Prospectus or any award under any Exempt Plan and the grant of options and other awards under any Exempt Plan or the issuance of shares of Common Stock upon conversion of the Convertible Debenture by YA), or (c) any change, or any development involving a prospective change, in or affecting the business, general affairs, management, financial position, stockholders’ equity or results of operations of the Company and its subsidiaries, otherwise than as set forth in the General Disclosure Package, the effect of which on the Company and its subsidiaries taken as a whole, in any such case described in clause (a), (b) or (c) of this paragraph (xxiv), is, in the judgment of the Representatives, so material and adverse as to make it impracticable or inadvisable to proceed with the sale or delivery of the Securities on the terms and in the manner contemplated in the General Disclosure Package.</w:t>
      </w:r>
    </w:p>
    <w:p>
      <w:pPr>
        <w:spacing w:after="0" w:line="81" w:lineRule="exact"/>
        <w:rPr>
          <w:sz w:val="20"/>
          <w:szCs w:val="20"/>
          <w:color w:val="auto"/>
        </w:rPr>
      </w:pPr>
    </w:p>
    <w:p>
      <w:pPr>
        <w:jc w:val="both"/>
        <w:ind w:left="4" w:right="20" w:firstLine="419"/>
        <w:spacing w:after="0" w:line="258" w:lineRule="auto"/>
        <w:tabs>
          <w:tab w:leader="none" w:pos="68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Impediment to Issuance</w:t>
      </w:r>
      <w:r>
        <w:rPr>
          <w:rFonts w:ascii="Times New Roman" w:cs="Times New Roman" w:eastAsia="Times New Roman" w:hAnsi="Times New Roman"/>
          <w:sz w:val="18"/>
          <w:szCs w:val="18"/>
          <w:color w:val="auto"/>
        </w:rPr>
        <w:t>. No action shall have been taken and no law, statute, rule, regulation or order shall have been enacted, adopted or issued by any governmental or regulatory agency or body, with competent jurisdiction, which would prevent the issuance or sale of the Securities; and no injunction, restraining order or order of any other nature by any federal or state court of competent jurisdiction shall have been issued which would prevent the issuance or sale of the Securities or materially and adversely affect or potentially materially and adversely affect the business or operations of the Company.</w:t>
      </w:r>
    </w:p>
    <w:p>
      <w:pPr>
        <w:spacing w:after="0" w:line="75"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73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Downgrade</w:t>
      </w:r>
      <w:r>
        <w:rPr>
          <w:rFonts w:ascii="Times New Roman" w:cs="Times New Roman" w:eastAsia="Times New Roman" w:hAnsi="Times New Roman"/>
          <w:sz w:val="18"/>
          <w:szCs w:val="18"/>
          <w:color w:val="auto"/>
        </w:rPr>
        <w:t>. Subsequent to the execution and delivery of this Agreement (a) no downgrading shall have occurred in the Company’s corporate credit rating or the rating accorded the Company’s debt securities by any “nationally recognized statistical rating organization,” as that term is defined by the Commission for purposes of Rule 436(g)(2) of the Rules and Regulations and (b) no such organization shall have publicly announced that it has under surveillance or review (other than an announcement with positive implications of a possible upgrading), the Company’s corporate credit rating or the rating of any of the Company’s debt securities.</w:t>
      </w:r>
    </w:p>
    <w:p>
      <w:pPr>
        <w:spacing w:after="0" w:line="75"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Conditions</w:t>
      </w:r>
      <w:r>
        <w:rPr>
          <w:rFonts w:ascii="Times New Roman" w:cs="Times New Roman" w:eastAsia="Times New Roman" w:hAnsi="Times New Roman"/>
          <w:sz w:val="18"/>
          <w:szCs w:val="18"/>
          <w:color w:val="auto"/>
        </w:rPr>
        <w:t>. Subsequent to the execution and delivery of this Agreement there shall not have occurred any of the following:</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any of the Company’s securities shall have been suspended or materially limited by the Commission or the Exchange, or trading in securities generally on the New York Stock Exchange, Nasdaq Global Select Market, Nasdaq Global Market, Nasdaq Capital Market or the NYSE American LLC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(b) a banking moratorium shall have been declared by Federal or state authorities or a material disruption has occurred in commercial banking or securities settlement or clearance services in the United States, (c)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(d) there shall have occurred such a material adverse change in general economic, political or financial conditions (or the effect of international conditions on the financial markets in the United States shall be such) as to make it, in the judgment of the Representatives, impracticable or inadvisable to proceed with the sale or delivery of the Securities on the terms and in the manner contemplated in the General Disclosure Package and the Prospectus.</w:t>
      </w:r>
    </w:p>
    <w:p>
      <w:pPr>
        <w:spacing w:after="0" w:line="84" w:lineRule="exact"/>
        <w:rPr>
          <w:rFonts w:ascii="Times New Roman" w:cs="Times New Roman" w:eastAsia="Times New Roman" w:hAnsi="Times New Roman"/>
          <w:sz w:val="18"/>
          <w:szCs w:val="18"/>
          <w:color w:val="auto"/>
        </w:rPr>
      </w:pPr>
    </w:p>
    <w:p>
      <w:pPr>
        <w:ind w:left="4" w:right="300" w:firstLine="419"/>
        <w:spacing w:after="0" w:line="282" w:lineRule="auto"/>
        <w:tabs>
          <w:tab w:leader="none" w:pos="8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Exchange shall have approved the Shares and the Warrant Shares for listing thereon, subject only to official notice of issuance.</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4"/>
          </w:cols>
          <w:pgMar w:left="876" w:top="270" w:right="479" w:bottom="1440" w:gutter="0" w:footer="0" w:header="0"/>
        </w:sectPr>
      </w:pPr>
    </w:p>
    <w:bookmarkStart w:id="31" w:name="page32"/>
    <w:bookmarkEnd w:id="31"/>
    <w:p>
      <w:pPr>
        <w:ind w:left="444" w:right="440" w:firstLine="419"/>
        <w:spacing w:after="0" w:line="282" w:lineRule="auto"/>
        <w:tabs>
          <w:tab w:leader="none" w:pos="12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Representatives shall have received on and as of the date hereof and the applicable Closing Date satisfactory evidence of the good standing of the Company.</w:t>
      </w:r>
    </w:p>
    <w:p>
      <w:pPr>
        <w:spacing w:after="0" w:line="53" w:lineRule="exact"/>
        <w:rPr>
          <w:rFonts w:ascii="Times New Roman" w:cs="Times New Roman" w:eastAsia="Times New Roman" w:hAnsi="Times New Roman"/>
          <w:sz w:val="18"/>
          <w:szCs w:val="18"/>
          <w:color w:val="auto"/>
        </w:rPr>
      </w:pPr>
    </w:p>
    <w:p>
      <w:pPr>
        <w:ind w:left="444" w:right="620" w:firstLine="419"/>
        <w:spacing w:after="0" w:line="282" w:lineRule="auto"/>
        <w:tabs>
          <w:tab w:leader="none" w:pos="121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The Representatives shall have received Lock-Up Agreements from the officers and directors, as well as stockholders, optionholders and warrantholders, if any, of the Company listed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to this Agreement.</w:t>
      </w:r>
    </w:p>
    <w:p>
      <w:pPr>
        <w:spacing w:after="0" w:line="53" w:lineRule="exact"/>
        <w:rPr>
          <w:rFonts w:ascii="Times New Roman" w:cs="Times New Roman" w:eastAsia="Times New Roman" w:hAnsi="Times New Roman"/>
          <w:sz w:val="18"/>
          <w:szCs w:val="18"/>
          <w:color w:val="auto"/>
        </w:rPr>
      </w:pPr>
    </w:p>
    <w:p>
      <w:pPr>
        <w:ind w:left="444" w:right="180" w:firstLine="419"/>
        <w:spacing w:after="0" w:line="282" w:lineRule="auto"/>
        <w:tabs>
          <w:tab w:leader="none" w:pos="12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Company shall have furnished to the Representatives a Secretary’s Certificate of the Company, in a form customary for the type of offering contemplated by this Agreement.</w:t>
      </w:r>
    </w:p>
    <w:p>
      <w:pPr>
        <w:spacing w:after="0" w:line="53" w:lineRule="exact"/>
        <w:rPr>
          <w:rFonts w:ascii="Times New Roman" w:cs="Times New Roman" w:eastAsia="Times New Roman" w:hAnsi="Times New Roman"/>
          <w:sz w:val="18"/>
          <w:szCs w:val="18"/>
          <w:color w:val="auto"/>
        </w:rPr>
      </w:pPr>
    </w:p>
    <w:p>
      <w:pPr>
        <w:ind w:left="444" w:right="560" w:firstLine="419"/>
        <w:spacing w:after="0" w:line="312" w:lineRule="auto"/>
        <w:tabs>
          <w:tab w:leader="none" w:pos="131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Financial Officer Certificate</w:t>
      </w:r>
      <w:r>
        <w:rPr>
          <w:rFonts w:ascii="Times New Roman" w:cs="Times New Roman" w:eastAsia="Times New Roman" w:hAnsi="Times New Roman"/>
          <w:sz w:val="17"/>
          <w:szCs w:val="17"/>
          <w:color w:val="auto"/>
        </w:rPr>
        <w:t>. The Company shall have furnished to the Representatives a certificate, dated the applicable Closing Date, of its Chief Financial Officer in the Chief Financial Officer’s capacity as such and not in such person’s personal capacity.</w:t>
      </w:r>
    </w:p>
    <w:p>
      <w:pPr>
        <w:spacing w:after="0" w:line="31" w:lineRule="exact"/>
        <w:rPr>
          <w:rFonts w:ascii="Times New Roman" w:cs="Times New Roman" w:eastAsia="Times New Roman" w:hAnsi="Times New Roman"/>
          <w:sz w:val="17"/>
          <w:szCs w:val="17"/>
          <w:color w:val="auto"/>
        </w:rPr>
      </w:pPr>
    </w:p>
    <w:p>
      <w:pPr>
        <w:ind w:left="444" w:right="400" w:firstLine="419"/>
        <w:spacing w:after="0" w:line="282" w:lineRule="auto"/>
        <w:tabs>
          <w:tab w:leader="none" w:pos="13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w:t>
      </w:r>
      <w:r>
        <w:rPr>
          <w:rFonts w:ascii="Times New Roman" w:cs="Times New Roman" w:eastAsia="Times New Roman" w:hAnsi="Times New Roman"/>
          <w:sz w:val="18"/>
          <w:szCs w:val="18"/>
          <w:color w:val="auto"/>
        </w:rPr>
        <w:t>. On or prior to the applicable Closing Date, the Company shall have furnished to the Representatives such further certificates and documents as the Representatives may reasonably request.</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4" w:firstLine="419"/>
        <w:spacing w:after="0" w:line="251" w:lineRule="auto"/>
        <w:tabs>
          <w:tab w:leader="none" w:pos="10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Underwriters by the Company</w:t>
      </w:r>
      <w:r>
        <w:rPr>
          <w:rFonts w:ascii="Times New Roman" w:cs="Times New Roman" w:eastAsia="Times New Roman" w:hAnsi="Times New Roman"/>
          <w:sz w:val="18"/>
          <w:szCs w:val="18"/>
          <w:color w:val="auto"/>
        </w:rPr>
        <w:t>. The Company shall indemnify and hold harmless each Underwriter, its affiliates, directors, officers, managers, members, employees, representatives and agents and each person, if any, who controls any Underwriter within the meaning of Section 15 of the Securities Act or Section 20 of the Exchange Act (collectively the “</w:t>
      </w:r>
      <w:r>
        <w:rPr>
          <w:rFonts w:ascii="Times New Roman" w:cs="Times New Roman" w:eastAsia="Times New Roman" w:hAnsi="Times New Roman"/>
          <w:sz w:val="18"/>
          <w:szCs w:val="18"/>
          <w:b w:val="1"/>
          <w:bCs w:val="1"/>
          <w:i w:val="1"/>
          <w:iCs w:val="1"/>
          <w:color w:val="auto"/>
        </w:rPr>
        <w:t>Underwriter 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i w:val="1"/>
          <w:iCs w:val="1"/>
          <w:color w:val="auto"/>
        </w:rPr>
        <w:t>Underwriter Indemnified Party</w:t>
      </w:r>
      <w:r>
        <w:rPr>
          <w:rFonts w:ascii="Times New Roman" w:cs="Times New Roman" w:eastAsia="Times New Roman" w:hAnsi="Times New Roman"/>
          <w:sz w:val="18"/>
          <w:szCs w:val="18"/>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Preliminary Prospectus, any Issuer Free Writing Prospectus, the Registration Statement, the Prospectus, or in any amendment or supplement thereto or document incorporated by reference therein or in any materials or information provided to investors by, or with the approval of, the Company in connection with the marketing of the offering of the Securities, including any roadshow or investor presentations made to investors by the Company (whether in person or electronically) (“</w:t>
      </w:r>
      <w:r>
        <w:rPr>
          <w:rFonts w:ascii="Times New Roman" w:cs="Times New Roman" w:eastAsia="Times New Roman" w:hAnsi="Times New Roman"/>
          <w:sz w:val="18"/>
          <w:szCs w:val="18"/>
          <w:b w:val="1"/>
          <w:bCs w:val="1"/>
          <w:i w:val="1"/>
          <w:iCs w:val="1"/>
          <w:color w:val="auto"/>
        </w:rPr>
        <w:t>Marketing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Materials</w:t>
      </w:r>
      <w:r>
        <w:rPr>
          <w:rFonts w:ascii="Times New Roman" w:cs="Times New Roman" w:eastAsia="Times New Roman" w:hAnsi="Times New Roman"/>
          <w:sz w:val="18"/>
          <w:szCs w:val="18"/>
          <w:color w:val="auto"/>
        </w:rPr>
        <w:t>”) or (b) the omission or alleged omission to state in any Preliminary Prospectus, any Issuer Free Writing Prospectus, the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Statement or the Prospectus, or in any amendment or supplement thereto or document incorporated by reference therein, or in any Marketing Materials, a material fact required to be stated therein or necessary to make the statements therein, in light of the circumstances in which they were made, not misleading, and shall reimburse each Underwriter Indemnified Party promptly upon demand for any legal fees or other expenses reasonably incurred by that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expense or liability arises out of or is based upon an untrue statement or alleged untrue statement in, or omission or alleged omission from any Preliminary Prospectus, the Registration Statement or the Prospectus, or any such amendment or supplement thereto, any Issuer Free Writing Prospectus or any Marketing Materials made in reliance upon and in conformity with written information furnished to the Company through the Representatives by or on behalf of any Underwriter specifically for use therein, which information the parties hereto agree is limited to the Underwriters’ Information.</w:t>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32" w:name="page33"/>
    <w:bookmarkEnd w:id="32"/>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indemnity agreement in this Section 6(i) is not exclusive and is in addition to each other liability which the Company might have, and shall not limit any rights or remedies which may otherwise be available under this Agreement, at law or in equity to any Underwriter Indemnified Party.</w:t>
      </w:r>
    </w:p>
    <w:p>
      <w:pPr>
        <w:spacing w:after="0" w:line="68" w:lineRule="exact"/>
        <w:rPr>
          <w:sz w:val="20"/>
          <w:szCs w:val="20"/>
          <w:color w:val="auto"/>
        </w:rPr>
      </w:pPr>
    </w:p>
    <w:p>
      <w:pPr>
        <w:ind w:firstLine="419"/>
        <w:spacing w:after="0" w:line="252" w:lineRule="auto"/>
        <w:tabs>
          <w:tab w:leader="none" w:pos="6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Company by the Underwriters</w:t>
      </w:r>
      <w:r>
        <w:rPr>
          <w:rFonts w:ascii="Times New Roman" w:cs="Times New Roman" w:eastAsia="Times New Roman" w:hAnsi="Times New Roman"/>
          <w:sz w:val="18"/>
          <w:szCs w:val="18"/>
          <w:color w:val="auto"/>
        </w:rPr>
        <w:t>. Each Underwriter, severally and not jointly, shall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Times New Roman" w:cs="Times New Roman" w:eastAsia="Times New Roman" w:hAnsi="Times New Roman"/>
          <w:sz w:val="18"/>
          <w:szCs w:val="18"/>
          <w:b w:val="1"/>
          <w:bCs w:val="1"/>
          <w:i w:val="1"/>
          <w:iCs w:val="1"/>
          <w:color w:val="auto"/>
        </w:rPr>
        <w:t>Company Indemnified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Company Indemnified Party</w:t>
      </w:r>
      <w:r>
        <w:rPr>
          <w:rFonts w:ascii="Times New Roman" w:cs="Times New Roman" w:eastAsia="Times New Roman" w:hAnsi="Times New Roman"/>
          <w:sz w:val="18"/>
          <w:szCs w:val="18"/>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Preliminary Prospectus, any Issuer Free Writing Prospectus, the Registration Statement or the Prospectus, or in any amendment or supplement thereto, or (b) the omission or alleged omission to state in any Preliminary Prospectus, any Issuer Free Writing Prospectus, the Registration Statement or the Prospectus, or in any amendment or supplement thereto, a material fact required to be stated therein or necessary to make the statements therein, in light of the circumstances in which they were made, not misleading, but in each case only to the extent that the untrue statement or alleged untrue statement or omission or alleged omission was made in reliance upon and in conformity with written information furnished to the Company through the Representatives by or on behalf of that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w:t>
      </w:r>
    </w:p>
    <w:p>
      <w:pPr>
        <w:spacing w:after="0" w:line="87" w:lineRule="exact"/>
        <w:rPr>
          <w:sz w:val="20"/>
          <w:szCs w:val="20"/>
          <w:color w:val="auto"/>
        </w:rPr>
      </w:pPr>
    </w:p>
    <w:p>
      <w:pPr>
        <w:ind w:right="200" w:firstLine="423"/>
        <w:spacing w:after="0" w:line="266" w:lineRule="auto"/>
        <w:rPr>
          <w:sz w:val="20"/>
          <w:szCs w:val="20"/>
          <w:color w:val="auto"/>
        </w:rPr>
      </w:pPr>
      <w:r>
        <w:rPr>
          <w:rFonts w:ascii="Times New Roman" w:cs="Times New Roman" w:eastAsia="Times New Roman" w:hAnsi="Times New Roman"/>
          <w:sz w:val="18"/>
          <w:szCs w:val="18"/>
          <w:color w:val="auto"/>
        </w:rPr>
        <w:t>The indemnity agreement in this Section 6(ii) is not exclusive and is in addition to each other liability which the Underwriters might have, and shall not limit any rights or remedies which may otherwise be available under this Agreement, at law or in equity to any Company Indemnified Party.</w:t>
      </w:r>
    </w:p>
    <w:p>
      <w:pPr>
        <w:spacing w:after="0" w:line="68" w:lineRule="exact"/>
        <w:rPr>
          <w:sz w:val="20"/>
          <w:szCs w:val="20"/>
          <w:color w:val="auto"/>
        </w:rPr>
      </w:pPr>
    </w:p>
    <w:p>
      <w:pPr>
        <w:ind w:right="140" w:firstLine="419"/>
        <w:spacing w:after="0" w:line="270" w:lineRule="auto"/>
        <w:tabs>
          <w:tab w:leader="none" w:pos="73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Procedure</w:t>
      </w:r>
      <w:r>
        <w:rPr>
          <w:rFonts w:ascii="Times New Roman" w:cs="Times New Roman" w:eastAsia="Times New Roman" w:hAnsi="Times New Roman"/>
          <w:sz w:val="17"/>
          <w:szCs w:val="17"/>
          <w:color w:val="auto"/>
        </w:rPr>
        <w:t xml:space="preserve">. Promptly after receipt by an indemnified party under this Section 6 of notice of the commencement of any action, the indemnified party shall, if a claim in respect thereof is to be made against an indemnifying party under this Section 6, notify such indemnifying party in writing of the commencement of that action;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failure to notify the indemnifying party shall not relieve it from any liability which it may have under this Section 6 except to the extent it has been materially prejudiced by such failure; and, </w:t>
      </w:r>
      <w:r>
        <w:rPr>
          <w:rFonts w:ascii="Times New Roman" w:cs="Times New Roman" w:eastAsia="Times New Roman" w:hAnsi="Times New Roman"/>
          <w:sz w:val="17"/>
          <w:szCs w:val="17"/>
          <w:i w:val="1"/>
          <w:iCs w:val="1"/>
          <w:color w:val="auto"/>
        </w:rPr>
        <w:t xml:space="preserve">provided, further, </w:t>
      </w:r>
      <w:r>
        <w:rPr>
          <w:rFonts w:ascii="Times New Roman" w:cs="Times New Roman" w:eastAsia="Times New Roman" w:hAnsi="Times New Roman"/>
          <w:sz w:val="17"/>
          <w:szCs w:val="17"/>
          <w:color w:val="auto"/>
        </w:rPr>
        <w:t>that the failure to notify an indemnifying party shall not relieve it from any liability which it may have to an indemnified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than under this Section 6.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except as provided herein, the indemnifying party shall not be liable to the</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33" w:name="page34"/>
    <w:bookmarkEnd w:id="3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indemnified party under Section 6 for any legal or other expenses subsequently incurred by the indemnified party in connection with the defense of such action other than reasonable costs of investigation;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indemnified party shall have the right to employ separate counsel in any such action and to participate in the defense of such action but the fees and expenses of such counsel (other than reasonable costs of investigation) shall be at the expense of such indemnified party unless (a) the employment thereof has been specifically authorized in writing by the Company in the case of a claim for indemnification under Section 6(i) or the Representatives in the case of a claim for indemnification under Section 6(ii), (b) such indemnified party shall have been advised by its counsel that there may be one or more legal defenses available to it which are different from or additional to those available to the indemnifying party, or (c)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Representatives if the indemnified parties under this Section 6 consist of any Underwriter Indemnified Party or by the Company if the indemnified parties under this Section 6 consist of any Company Indemnified Parties. Subject to this Section 7(iii), the amount payable by an indemnifying party under Section 7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(which consent shall not be unreasonably withheld, conditioned or delayed), settle or compromise or consent to the entry of judgment with respect to any pending or threatened action or any claim whatsoever, in respect of which indemnification or contribution could be sought under this Section 6 (whether or not the indemnified parties are actual or potential parties thereto), unless such settlement, compromise or consent (a) includes an unconditional release of each indemnified party in form and substance reasonably satisfactory to such indemnified party from all liability arising out of such action or claim and (b)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fees and expenses of counsel, such indemnifying party agrees that it shall be liable for any settlement of the nature contemplated by Sections 6(i) or 6(ii) effected without its written consent if (a) such settlement is entered into more than 45 days after receipt by such indemnifying party of the request for reimbursement, (b) such indemnifying party shall have received notice of the terms of such settlement at least 30 days prior to such settlement being entered into and (c) such indemnifying party shall not have reimbursed such indemnified party in accordance with such request prior to the date of such settlement.</w:t>
      </w:r>
    </w:p>
    <w:p>
      <w:pPr>
        <w:spacing w:after="0" w:line="1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70" w:right="459" w:bottom="1440" w:gutter="0" w:footer="0" w:header="0"/>
        </w:sectPr>
      </w:pPr>
    </w:p>
    <w:bookmarkStart w:id="34" w:name="page35"/>
    <w:bookmarkEnd w:id="34"/>
    <w:p>
      <w:pPr>
        <w:ind w:firstLine="419"/>
        <w:spacing w:after="0" w:line="252" w:lineRule="auto"/>
        <w:tabs>
          <w:tab w:leader="none" w:pos="7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w:t>
      </w:r>
      <w:r>
        <w:rPr>
          <w:rFonts w:ascii="Times New Roman" w:cs="Times New Roman" w:eastAsia="Times New Roman" w:hAnsi="Times New Roman"/>
          <w:sz w:val="18"/>
          <w:szCs w:val="18"/>
          <w:color w:val="auto"/>
        </w:rPr>
        <w:t xml:space="preserve">. If the indemnification provided for in this Section 6 is unavailable or insufficient to hold harmless an indemnified party under Section 6(i) or 6(ii), then each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(a) in such proportion as shall be appropriate to reflect the relative benefits received by the Company on the one hand and the Underwriters on the other from the offering of the Securities, or (b) if the allocation provided by clause (a) of this Section 6(iv) is not permitted by applicable law, in such proportion as is appropriate to reflect not only the relative benefits referred to in clause (a) of this Section 6(iv) but also the relative fault of the Company, on the one hand, and the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Securities purchased under this Agreement (before deducting expenses) received by the Company bear to the total underwriting discounts and commissions received by the Underwriters with respect to the Securities purchased under this Agreement,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hereto agree that the written information furnished to the Company through the Representatives by or on behalf of the Underwriters for use in the Registration Statement, the Preliminary Prospectus or the Prospectus, or in any amendment or supplement thereto, consists solely of the Underwriters’ Information.</w:t>
      </w:r>
    </w:p>
    <w:p>
      <w:pPr>
        <w:spacing w:after="0" w:line="82"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Procedure</w:t>
      </w:r>
      <w:r>
        <w:rPr>
          <w:rFonts w:ascii="Times New Roman" w:cs="Times New Roman" w:eastAsia="Times New Roman" w:hAnsi="Times New Roman"/>
          <w:sz w:val="18"/>
          <w:szCs w:val="18"/>
          <w:color w:val="auto"/>
        </w:rPr>
        <w:t>. The Company and the Underwriters agree that it would not be just and equitable if contributions pursuant to Section 6(iv) above were to be determined by pro rata allocation or by any other method of allocation which does not take into account the equitable considerations referred to Section 6(iv) above. The amount paid or payable by an indemnified party as a result of the loss, claim, damage, expense, liability, action, investigation or proceeding referred to in Section 6(iv) above shall be deemed to include, subject to the limitations set forth above,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6, no Underwriters shall be required to contribute any amount in excess of the amount by which the total underwriting discounts and commissions received by such Underwriter with respect to the offering of the Securities exceeds the amount of any damages which the Underwriter has otherwise paid or become liable to pay by reason of any untrue or alleged untrue statement, omission or alleged omission, act or alleged act or failure to act or alleged failure to act.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in proportion to their respective underwriting obligations and not joint.</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0"/>
          </w:cols>
          <w:pgMar w:left="880" w:top="270" w:right="479" w:bottom="1440" w:gutter="0" w:footer="0" w:header="0"/>
        </w:sectPr>
      </w:pPr>
    </w:p>
    <w:bookmarkStart w:id="35" w:name="page36"/>
    <w:bookmarkEnd w:id="35"/>
    <w:p>
      <w:pPr>
        <w:ind w:left="4" w:hanging="4"/>
        <w:spacing w:after="0" w:line="258" w:lineRule="auto"/>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 obligations of the Underwriters hereunder may be terminated by the Representatives, in their absolute discretion by notice given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prior to delivery of and payment for the Firm Securities or, with respect to the purchase of any Option Securities, prior to the applicable Option Closing Date, if, prior to that time, in the Representatives’ absolute discretion, any of the events described in Sections (xxiv) (No Material Adverse Effect), (xxvi) (No Downgrades) or (xxvii) (Market Conditions) have occurred, any condition specified in Section 5 is not satisfied when and as required to be satisfied or if the Underwriters shall decline to purchase the Securities for any other reason permitted under this Agreement.</w:t>
      </w:r>
    </w:p>
    <w:p>
      <w:pPr>
        <w:spacing w:after="0" w:line="183" w:lineRule="exact"/>
        <w:rPr>
          <w:rFonts w:ascii="Times New Roman" w:cs="Times New Roman" w:eastAsia="Times New Roman" w:hAnsi="Times New Roman"/>
          <w:sz w:val="18"/>
          <w:szCs w:val="18"/>
          <w:color w:val="auto"/>
        </w:rPr>
      </w:pPr>
    </w:p>
    <w:p>
      <w:pPr>
        <w:ind w:left="4" w:right="20" w:hanging="4"/>
        <w:spacing w:after="0" w:line="253" w:lineRule="auto"/>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of Underwriters’ Expenses</w:t>
      </w:r>
      <w:r>
        <w:rPr>
          <w:rFonts w:ascii="Times New Roman" w:cs="Times New Roman" w:eastAsia="Times New Roman" w:hAnsi="Times New Roman"/>
          <w:sz w:val="18"/>
          <w:szCs w:val="18"/>
          <w:color w:val="auto"/>
        </w:rPr>
        <w:t>. Notwithstanding anything to the contrary in this Agreement, if (a) this Agreement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terminated pursuant to Section 7 or 9, (b) the Company shall fail to tender the Securities for delivery to the Underwriters for any reason not permitted under this Agreement, (c) the Underwriters shall decline to purchase the Securities for any reason permitted under this Agreement or (d) the sale of the Securities is not consummated because any condition to the obligations of the Underwriters set forth herein is not satisfied or because of the refusal, inability or failure on the part of the Company to perform any agreement herein or to satisfy any condition or to comply with the provisions hereof, then in addition to the payment of amounts in accordance with Section 4, the Company shall reimburse the Underwriters for the reasonable and documented fees and expenses of Underwriters’ counsel and for such other out-of-pocket expenses as shall have been reasonably incurred by them in connection with this Agreement and the proposed purchase of the Securities, including, without limitation, travel and lodging expenses of the Underwriters, and upon demand the Company shall pay the full amount thereof to the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this Agreement is terminated pursuant to Section 10 by reason of the default of one or more Underwriters, the Company shall not be obligated to reimburse any defaulting Underwriter on account of expenses to the extent incurred by such defaulting Underwriter,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foregoing shall not limit any reimbursement obligation of the Company to any non-defaulting Underwriter under this Section 8.</w:t>
      </w:r>
    </w:p>
    <w:p>
      <w:pPr>
        <w:spacing w:after="0" w:line="189" w:lineRule="exact"/>
        <w:rPr>
          <w:rFonts w:ascii="Times New Roman" w:cs="Times New Roman" w:eastAsia="Times New Roman" w:hAnsi="Times New Roman"/>
          <w:sz w:val="18"/>
          <w:szCs w:val="18"/>
          <w:color w:val="auto"/>
        </w:rPr>
      </w:pPr>
    </w:p>
    <w:p>
      <w:pPr>
        <w:ind w:left="4" w:hanging="4"/>
        <w:spacing w:after="0" w:line="255" w:lineRule="auto"/>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Substitution of Underwriters</w:t>
      </w:r>
      <w:r>
        <w:rPr>
          <w:rFonts w:ascii="Times New Roman" w:cs="Times New Roman" w:eastAsia="Times New Roman" w:hAnsi="Times New Roman"/>
          <w:sz w:val="18"/>
          <w:szCs w:val="18"/>
          <w:color w:val="auto"/>
        </w:rPr>
        <w:t>. If any Underwriter or Underwriters shall default in its or their obligations to purchase Securities hereunder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and the aggregate number of Securities which such defaulting Underwriter or Underwriters agreed but failed to purchase does not exceed 10% of the total number of Securities to be purchased by all Underwriters on such Closing Date, the other Underwriters shall be obligated severally, in proportion to their respective commitments hereunder, to purchase the Securities which such defaulting Underwriter or Underwriters agreed but failed to purchase on such Closing Date. If any Underwriter or Underwriters shall so default and the aggregate number of Securities with respect to which such default or defaults occur is more than 10% of the total number of Securities to be purchased by all Underwriters on such Closing Date and arrangements satisfactory to the Representatives and the Company for the purchase of such shares by other persons are not made within 48 hours after such default, this Agreement shall terminate.</w:t>
      </w:r>
    </w:p>
    <w:p>
      <w:pPr>
        <w:spacing w:after="0" w:line="187"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If the remaining Underwriters or substituted Underwriters are required hereby or agree to take up all or part of the Securities of a defaulting Underwriter or Underwriters on such Closing Date as provided in this Section 9, (i) the Company shall have the right to postpone such Closing Date for a period of not more than five full business days in order that the Company may effect whatever changes may thereby be made necessary in the Registration Statement or the Prospectus, or in any other documents or arrangements, and the Company agrees promptly to file any amendments to the Registration Statement or supplements to the Prospectus which may thereby be made necessary, and (ii) the respective numbers of Securities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9 shall be subject to Section 13 and without liability on the part of any non-defaulting Underwriter or the Company, except that the representations, warranties, covenants, indemnities, agreements and other statements set forth in Section 1, the obligations with respect to expenses to be paid or reimbursed pursuant to Sections 4 and 8 and the provisions of Section 6 and Sections 10 through 22, inclusive, shall not terminate and shall remain in full force and effect.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8" w:right="459" w:bottom="1440" w:gutter="0" w:footer="0" w:header="0"/>
        </w:sectPr>
      </w:pPr>
    </w:p>
    <w:bookmarkStart w:id="36" w:name="page37"/>
    <w:bookmarkEnd w:id="36"/>
    <w:p>
      <w:pPr>
        <w:ind w:left="264" w:hanging="264"/>
        <w:spacing w:after="0"/>
        <w:tabs>
          <w:tab w:leader="none" w:pos="2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Absence of Fiduciary Relationship. </w:t>
      </w:r>
      <w:r>
        <w:rPr>
          <w:rFonts w:ascii="Times New Roman" w:cs="Times New Roman" w:eastAsia="Times New Roman" w:hAnsi="Times New Roman"/>
          <w:sz w:val="18"/>
          <w:szCs w:val="18"/>
          <w:color w:val="auto"/>
        </w:rPr>
        <w:t>The Company acknowledges and agrees that:</w:t>
      </w:r>
    </w:p>
    <w:p>
      <w:pPr>
        <w:spacing w:after="0" w:line="119" w:lineRule="exact"/>
        <w:rPr>
          <w:rFonts w:ascii="Times New Roman" w:cs="Times New Roman" w:eastAsia="Times New Roman" w:hAnsi="Times New Roman"/>
          <w:sz w:val="18"/>
          <w:szCs w:val="18"/>
          <w:color w:val="auto"/>
        </w:rPr>
      </w:pPr>
    </w:p>
    <w:p>
      <w:pPr>
        <w:ind w:left="444" w:right="140" w:firstLine="419"/>
        <w:spacing w:after="0" w:line="261" w:lineRule="auto"/>
        <w:tabs>
          <w:tab w:leader="none" w:pos="108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Underwriter’s responsibility to the Company is solely contractual in nature, the Representatives have been retained solely to act as underwriters in connection with the sale of the Securities and no fiduciary, advisory or agency relationship between the Company and the Representatives have been created in respect of any of the transactions contemplated by this Agreement, irrespective of whether any of the Representatives has advised or is advising the Company on other matters;</w:t>
      </w:r>
    </w:p>
    <w:p>
      <w:pPr>
        <w:spacing w:after="0" w:line="71"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set forth in this Agreement was established by the Company following discussions and arm’s-length</w:t>
      </w:r>
    </w:p>
    <w:p>
      <w:pPr>
        <w:spacing w:after="0" w:line="27" w:lineRule="exact"/>
        <w:rPr>
          <w:rFonts w:ascii="Times New Roman" w:cs="Times New Roman" w:eastAsia="Times New Roman" w:hAnsi="Times New Roman"/>
          <w:sz w:val="18"/>
          <w:szCs w:val="18"/>
          <w:color w:val="auto"/>
        </w:rPr>
      </w:pPr>
    </w:p>
    <w:p>
      <w:pPr>
        <w:ind w:left="44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with the Representatives, and the Company is capable of evaluating and understanding, and understands and accepts, the terms, risks and conditions of the transactions contemplated by this Agreement;</w:t>
      </w:r>
    </w:p>
    <w:p>
      <w:pPr>
        <w:spacing w:after="0" w:line="73"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8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67" w:lineRule="exact"/>
        <w:rPr>
          <w:rFonts w:ascii="Times New Roman" w:cs="Times New Roman" w:eastAsia="Times New Roman" w:hAnsi="Times New Roman"/>
          <w:sz w:val="18"/>
          <w:szCs w:val="18"/>
          <w:color w:val="auto"/>
        </w:rPr>
      </w:pPr>
    </w:p>
    <w:p>
      <w:pPr>
        <w:ind w:left="444" w:right="160" w:firstLine="419"/>
        <w:spacing w:after="0" w:line="261" w:lineRule="auto"/>
        <w:tabs>
          <w:tab w:leader="none" w:pos="11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77" w:lineRule="exact"/>
        <w:rPr>
          <w:rFonts w:ascii="Times New Roman" w:cs="Times New Roman" w:eastAsia="Times New Roman" w:hAnsi="Times New Roman"/>
          <w:sz w:val="18"/>
          <w:szCs w:val="18"/>
          <w:color w:val="auto"/>
        </w:rPr>
      </w:pPr>
    </w:p>
    <w:p>
      <w:pPr>
        <w:ind w:left="4" w:right="120" w:hanging="4"/>
        <w:spacing w:after="0" w:line="271" w:lineRule="auto"/>
        <w:tabs>
          <w:tab w:leader="none" w:pos="26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Research Analyst Independence</w:t>
      </w:r>
      <w:r>
        <w:rPr>
          <w:rFonts w:ascii="Times New Roman" w:cs="Times New Roman" w:eastAsia="Times New Roman" w:hAnsi="Times New Roman"/>
          <w:sz w:val="17"/>
          <w:szCs w:val="17"/>
          <w:color w:val="auto"/>
        </w:rPr>
        <w:t>. The Company acknowledges that the Underwriters’ research analysts and research departments are required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contemplated by this Agreement that differ from the views of their respective investment banking divisions. The Company hereby waives and releases, to the fullest extent permitted by law, any claims that the Company may have against any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Company.</w:t>
      </w:r>
    </w:p>
    <w:p>
      <w:pPr>
        <w:spacing w:after="0" w:line="173" w:lineRule="exact"/>
        <w:rPr>
          <w:rFonts w:ascii="Times New Roman" w:cs="Times New Roman" w:eastAsia="Times New Roman" w:hAnsi="Times New Roman"/>
          <w:sz w:val="17"/>
          <w:szCs w:val="17"/>
          <w:color w:val="auto"/>
        </w:rPr>
      </w:pPr>
    </w:p>
    <w:p>
      <w:pPr>
        <w:ind w:left="4" w:hanging="4"/>
        <w:spacing w:after="0" w:line="255" w:lineRule="auto"/>
        <w:tabs>
          <w:tab w:leader="none" w:pos="2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Persons Entitled to Benefit of Agreement</w:t>
      </w:r>
      <w:r>
        <w:rPr>
          <w:rFonts w:ascii="Times New Roman" w:cs="Times New Roman" w:eastAsia="Times New Roman" w:hAnsi="Times New Roman"/>
          <w:sz w:val="18"/>
          <w:szCs w:val="18"/>
          <w:color w:val="auto"/>
        </w:rPr>
        <w:t>. This Agreement shall inure to the benefit of and be binding upon the several Underwriters,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their respective successors and permitted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indemnities of the several Underwriters shall be for the benefit of the Company Indemnified Parties. No purchaser of any of the Securities from any Underwriter shall be deemed to be a successor or assign by reason merely of such purchase.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68" w:right="479" w:bottom="1440" w:gutter="0" w:footer="0" w:header="0"/>
        </w:sectPr>
      </w:pPr>
    </w:p>
    <w:bookmarkStart w:id="37" w:name="page38"/>
    <w:bookmarkEnd w:id="37"/>
    <w:p>
      <w:pPr>
        <w:ind w:left="4" w:hanging="4"/>
        <w:spacing w:after="0" w:line="257" w:lineRule="auto"/>
        <w:tabs>
          <w:tab w:leader="none" w:pos="2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Survival of Indemnities, Representations, Warranties, etc. </w:t>
      </w:r>
      <w:r>
        <w:rPr>
          <w:rFonts w:ascii="Times New Roman" w:cs="Times New Roman" w:eastAsia="Times New Roman" w:hAnsi="Times New Roman"/>
          <w:sz w:val="18"/>
          <w:szCs w:val="18"/>
          <w:color w:val="auto"/>
        </w:rPr>
        <w:t>The respective indemnities, covenants, agreements, representations, warranties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the Company and the several Underwriters, as set forth in this Agreement or made by them respectively, pursuant to this Agreement, shall remain in full force and effect, regardless of any investigation made by or on behalf of any Underwriter, the Company or any person controlling any of them and shall survive delivery of and payment for the Securities. Notwithstanding any termination of this Agreement, including without limitation any termination pursuant to Section 7 or Section 9, the indemnities, covenants, agreements, representations, warranties and other statements forth in Sections 1, 4, 6, 8 and 10 through 22, inclusive, of this Agreement shall not terminate and shall remain in full force and effect at all times.</w:t>
      </w:r>
    </w:p>
    <w:p>
      <w:pPr>
        <w:spacing w:after="0" w:line="18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4" w:right="80" w:firstLine="419"/>
        <w:spacing w:after="0" w:line="261" w:lineRule="auto"/>
        <w:tabs>
          <w:tab w:leader="none" w:pos="108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4" w:right="60" w:firstLine="419"/>
        <w:spacing w:after="0" w:line="261" w:lineRule="auto"/>
        <w:tabs>
          <w:tab w:leader="none" w:pos="113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statements, requests, notices and agreements hereunder shall be in writing, and:</w:t>
      </w:r>
    </w:p>
    <w:p>
      <w:pPr>
        <w:spacing w:after="0" w:line="119"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Underwriters, shall be delivered or sent by mail or email to:</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4 World Trade Center</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Cohen &amp; Co., a division of Cohen &amp; Company Securities, LLC</w:t>
      </w:r>
    </w:p>
    <w:p>
      <w:pPr>
        <w:spacing w:after="0" w:line="2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3 Columbus Circle, 24th Floor</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with a copy (which copy shall not constitute notice) to:</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200 South Biscayne Boulevard, Suite 2600</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Southeast Financial Center</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Attention: Constantine Karides, Esq., Lynwood Reinhardt, Esq., Michael S. Lee, Esq.</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68" w:right="459" w:bottom="1440" w:gutter="0" w:footer="0" w:header="0"/>
        </w:sectPr>
      </w:pPr>
    </w:p>
    <w:bookmarkStart w:id="38" w:name="page39"/>
    <w:bookmarkEnd w:id="38"/>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if to the Company shall be delivered or sent by mail or email to:</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Alpharetta, GA 30009</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Attention: Marc D’Annunzio</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Attention: Jared Fishman, Matt Goodman, Mario Schollmeyer</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such statements, requests, notices or agreements shall take effect at the time of receipt thereof.</w:t>
      </w:r>
    </w:p>
    <w:p>
      <w:pPr>
        <w:spacing w:after="0" w:line="221" w:lineRule="exact"/>
        <w:rPr>
          <w:sz w:val="20"/>
          <w:szCs w:val="20"/>
          <w:color w:val="auto"/>
        </w:rPr>
      </w:pPr>
    </w:p>
    <w:p>
      <w:pPr>
        <w:ind w:left="4" w:hanging="4"/>
        <w:spacing w:after="0" w:line="254" w:lineRule="auto"/>
        <w:tabs>
          <w:tab w:leader="none" w:pos="2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Certain Terms</w:t>
      </w:r>
      <w:r>
        <w:rPr>
          <w:rFonts w:ascii="Times New Roman" w:cs="Times New Roman" w:eastAsia="Times New Roman" w:hAnsi="Times New Roman"/>
          <w:sz w:val="18"/>
          <w:szCs w:val="18"/>
          <w:color w:val="auto"/>
        </w:rPr>
        <w:t>. For purposes of this Agreement, (i)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has the meaning set forth in Rule 405 of the Rules and Regulations,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on which the Exchange is open for trading, (iii)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has the meaning set forth in Rule 405 of the Rules and Regulations; (iv) “</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(v) “</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(vi) “</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(vii) “</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(x) the Federal Deposit Insurance Act and the regulations promulgated thereunder and (y) Title II of the Dodd-Frank Wall Street Reform and Consumer Protection Act and the regulations promulgated thereunder.</w:t>
      </w:r>
    </w:p>
    <w:p>
      <w:pPr>
        <w:spacing w:after="0" w:line="190" w:lineRule="exact"/>
        <w:rPr>
          <w:rFonts w:ascii="Times New Roman" w:cs="Times New Roman" w:eastAsia="Times New Roman" w:hAnsi="Times New Roman"/>
          <w:sz w:val="18"/>
          <w:szCs w:val="18"/>
          <w:color w:val="auto"/>
        </w:rPr>
      </w:pPr>
    </w:p>
    <w:p>
      <w:pPr>
        <w:ind w:left="4" w:right="200" w:hanging="4"/>
        <w:spacing w:after="0" w:line="262" w:lineRule="auto"/>
        <w:tabs>
          <w:tab w:leader="none" w:pos="2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Jurisdiction, Waiver of Jury Trial. </w:t>
      </w:r>
      <w:r>
        <w:rPr>
          <w:rFonts w:ascii="Times New Roman" w:cs="Times New Roman" w:eastAsia="Times New Roman" w:hAnsi="Times New Roman"/>
          <w:sz w:val="18"/>
          <w:szCs w:val="18"/>
          <w:color w:val="auto"/>
        </w:rPr>
        <w:t>This Agreement shall be governed by and construed in accordance with the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including without limitation Section 5-1401 of the New York General Obligations. Each of the parties to this Agreement irrevocably</w:t>
      </w:r>
    </w:p>
    <w:p>
      <w:pPr>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submits to the exclusive jurisdiction of the Federal and state courts in the Borough of Manhattan in The City of New York for the purpose of any suit, action or other proceeding arising out of this Agreement or the transactions contemplated by this Agreement, the Registration Statement, any Preliminary Prospectus or the Prospectus, (b) agrees that all claims in respect of any such suit, action or proceeding may be heard and determined by any such court, (c) waives to the fullest extent permitted by applicable law, any immunity from the jurisdiction of any such court or from any legal process,</w:t>
      </w:r>
    </w:p>
    <w:p>
      <w:pPr>
        <w:ind w:left="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agrees not to commence any such suit, action or proceeding other than in such courts, and (e) waives, to the fullest extent permitted by applicable law, any claim that any such suit, action or proceeding is brought in an inconvenient forum. </w:t>
      </w:r>
      <w:r>
        <w:rPr>
          <w:rFonts w:ascii="Times New Roman" w:cs="Times New Roman" w:eastAsia="Times New Roman" w:hAnsi="Times New Roman"/>
          <w:sz w:val="18"/>
          <w:szCs w:val="18"/>
          <w:b w:val="1"/>
          <w:bCs w:val="1"/>
          <w:color w:val="auto"/>
        </w:rPr>
        <w:t>Each of the parties to this Agreement hereby waives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 to trial by jury in any suit or proceeding arising out of or relating to this Agreement.</w:t>
      </w:r>
    </w:p>
    <w:p>
      <w:pPr>
        <w:spacing w:after="0" w:line="183" w:lineRule="exact"/>
        <w:rPr>
          <w:rFonts w:ascii="Times New Roman" w:cs="Times New Roman" w:eastAsia="Times New Roman" w:hAnsi="Times New Roman"/>
          <w:sz w:val="18"/>
          <w:szCs w:val="18"/>
          <w:color w:val="auto"/>
        </w:rPr>
      </w:pPr>
    </w:p>
    <w:p>
      <w:pPr>
        <w:ind w:left="4" w:right="220" w:hanging="4"/>
        <w:spacing w:after="0" w:line="257" w:lineRule="auto"/>
        <w:tabs>
          <w:tab w:leader="none" w:pos="2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Underwriters’ Information. </w:t>
      </w:r>
      <w:r>
        <w:rPr>
          <w:rFonts w:ascii="Times New Roman" w:cs="Times New Roman" w:eastAsia="Times New Roman" w:hAnsi="Times New Roman"/>
          <w:sz w:val="18"/>
          <w:szCs w:val="18"/>
          <w:color w:val="auto"/>
        </w:rPr>
        <w:t>The parties hereto acknowledge and agree that, for all purposes of this Agreement, the Underwriters’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solely of the following information in the Pricing Prospectus and the Prospectus: the statements concerning the Underwriters contained in the first, second, fifth, sixth and eighth sentences in the first paragraph under the heading “Underwriting – Short Sales and Stabilizing Transactions”, the first sentence in the second paragraph under the heading “Underwriting – Short Sales and Stabilizing Transactions” , the second sentence in the first paragraph under the heading “Underwriting – Other Activities and Relationships” and the second paragraph under the heading “Underwriting – Other Activities and Relationships.”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9" w:name="page40"/>
    <w:bookmarkEnd w:id="39"/>
    <w:p>
      <w:pPr>
        <w:ind w:left="4" w:right="120" w:hanging="4"/>
        <w:spacing w:after="0" w:line="284" w:lineRule="auto"/>
        <w:tabs>
          <w:tab w:leader="none" w:pos="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Authority of the Representatives</w:t>
      </w:r>
      <w:r>
        <w:rPr>
          <w:rFonts w:ascii="Times New Roman" w:cs="Times New Roman" w:eastAsia="Times New Roman" w:hAnsi="Times New Roman"/>
          <w:sz w:val="18"/>
          <w:szCs w:val="18"/>
          <w:color w:val="auto"/>
        </w:rPr>
        <w:t>. In connection with this Agreement, the Representatives will act for and on behalf of the several Underwriters,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taken under this Agreement by the Representatives, will be binding on all the Underwriters.</w:t>
      </w:r>
    </w:p>
    <w:p>
      <w:pPr>
        <w:spacing w:after="0" w:line="15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Unenforceability</w:t>
      </w:r>
      <w:r>
        <w:rPr>
          <w:rFonts w:ascii="Times New Roman" w:cs="Times New Roman" w:eastAsia="Times New Roman" w:hAnsi="Times New Roman"/>
          <w:sz w:val="18"/>
          <w:szCs w:val="18"/>
          <w:color w:val="auto"/>
        </w:rPr>
        <w:t>. The invalidity or unenforceability of any section, paragraph, clause or provision of this Agreement shall not affect the</w:t>
      </w:r>
    </w:p>
    <w:p>
      <w:pPr>
        <w:spacing w:after="0" w:line="29" w:lineRule="exact"/>
        <w:rPr>
          <w:rFonts w:ascii="Times New Roman" w:cs="Times New Roman" w:eastAsia="Times New Roman" w:hAnsi="Times New Roman"/>
          <w:sz w:val="18"/>
          <w:szCs w:val="18"/>
          <w:color w:val="auto"/>
        </w:rPr>
      </w:pPr>
    </w:p>
    <w:p>
      <w:pPr>
        <w:ind w:left="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83" w:lineRule="exact"/>
        <w:rPr>
          <w:rFonts w:ascii="Times New Roman" w:cs="Times New Roman" w:eastAsia="Times New Roman" w:hAnsi="Times New Roman"/>
          <w:sz w:val="18"/>
          <w:szCs w:val="18"/>
          <w:color w:val="auto"/>
        </w:rPr>
      </w:pPr>
    </w:p>
    <w:p>
      <w:pPr>
        <w:ind w:left="4" w:hanging="4"/>
        <w:spacing w:after="0" w:line="258" w:lineRule="auto"/>
        <w:tabs>
          <w:tab w:leader="none" w:pos="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w:t>
      </w:r>
    </w:p>
    <w:p>
      <w:pPr>
        <w:spacing w:after="0" w:line="183" w:lineRule="exact"/>
        <w:rPr>
          <w:rFonts w:ascii="Times New Roman" w:cs="Times New Roman" w:eastAsia="Times New Roman" w:hAnsi="Times New Roman"/>
          <w:sz w:val="18"/>
          <w:szCs w:val="18"/>
          <w:color w:val="auto"/>
        </w:rPr>
      </w:pPr>
    </w:p>
    <w:p>
      <w:pPr>
        <w:ind w:left="4" w:hanging="4"/>
        <w:spacing w:after="0" w:line="261" w:lineRule="auto"/>
        <w:tabs>
          <w:tab w:leader="none" w:pos="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This Agreement may be delivered via email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8" w:right="459" w:bottom="1440" w:gutter="0" w:footer="0" w:header="0"/>
        </w:sectPr>
      </w:pPr>
    </w:p>
    <w:bookmarkStart w:id="40" w:name="page41"/>
    <w:bookmarkEnd w:id="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for that purpose below.</w:t>
      </w:r>
    </w:p>
    <w:p>
      <w:pPr>
        <w:sectPr>
          <w:pgSz w:w="11900" w:h="16838" w:orient="portrait"/>
          <w:cols w:equalWidth="0" w:num="1">
            <w:col w:w="10860"/>
          </w:cols>
          <w:pgMar w:left="440" w:top="27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above written:</w:t>
      </w:r>
    </w:p>
    <w:p>
      <w:pPr>
        <w:spacing w:after="0" w:line="11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CLEAR STREET LLC COHEN &amp; COMPANY CAPITAL MARKETS, A DIVISION OF COHEN &amp; COMPANY SECURITIES, LLC</w:t>
      </w:r>
    </w:p>
    <w:p>
      <w:pPr>
        <w:spacing w:after="0" w:line="176" w:lineRule="exact"/>
        <w:rPr>
          <w:sz w:val="20"/>
          <w:szCs w:val="20"/>
          <w:color w:val="auto"/>
        </w:rPr>
      </w:pPr>
    </w:p>
    <w:p>
      <w:pPr>
        <w:ind w:left="360" w:right="460"/>
        <w:spacing w:after="0" w:line="266" w:lineRule="auto"/>
        <w:rPr>
          <w:sz w:val="20"/>
          <w:szCs w:val="20"/>
          <w:color w:val="auto"/>
        </w:rPr>
      </w:pPr>
      <w:r>
        <w:rPr>
          <w:rFonts w:ascii="Times New Roman" w:cs="Times New Roman" w:eastAsia="Times New Roman" w:hAnsi="Times New Roman"/>
          <w:sz w:val="18"/>
          <w:szCs w:val="18"/>
          <w:color w:val="auto"/>
        </w:rPr>
        <w:t xml:space="preserve">Acting on their own behalf and as Representatives of several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Gerety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Name: Ryan Gerety</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COHEN &amp; COMPANY CAPITAL MARKETS, A DIVISION OF COHEN &amp; COMPANY SECURITIES, LLC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Jerry Serowik</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Jerry Serowik</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 Head of CCM</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Name: Karen Alexander</w:t>
      </w:r>
    </w:p>
    <w:p>
      <w:pPr>
        <w:spacing w:after="0" w:line="27"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2">
            <w:col w:w="4640" w:space="720"/>
            <w:col w:w="5500"/>
          </w:cols>
          <w:pgMar w:left="440" w:top="270" w:right="59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7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8"/>
              </w:rPr>
              <w:t>Number of Firm</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Number of Firm</w:t>
            </w:r>
          </w:p>
        </w:tc>
        <w:tc>
          <w:tcPr>
            <w:tcW w:w="480" w:type="dxa"/>
            <w:vAlign w:val="bottom"/>
          </w:tcPr>
          <w:p>
            <w:pPr>
              <w:spacing w:after="0"/>
              <w:rPr>
                <w:sz w:val="18"/>
                <w:szCs w:val="18"/>
                <w:color w:val="auto"/>
              </w:rPr>
            </w:pPr>
          </w:p>
        </w:tc>
        <w:tc>
          <w:tcPr>
            <w:tcW w:w="18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Pre-Funded</w:t>
            </w: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Number of</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Number of Option</w:t>
            </w:r>
          </w:p>
        </w:tc>
        <w:tc>
          <w:tcPr>
            <w:tcW w:w="0" w:type="dxa"/>
            <w:vAlign w:val="bottom"/>
          </w:tcPr>
          <w:p>
            <w:pPr>
              <w:spacing w:after="0"/>
              <w:rPr>
                <w:sz w:val="1"/>
                <w:szCs w:val="1"/>
                <w:color w:val="auto"/>
              </w:rPr>
            </w:pPr>
          </w:p>
        </w:tc>
      </w:tr>
      <w:tr>
        <w:trPr>
          <w:trHeight w:val="216"/>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Shares to be</w:t>
            </w:r>
          </w:p>
        </w:tc>
        <w:tc>
          <w:tcPr>
            <w:tcW w:w="480" w:type="dxa"/>
            <w:vAlign w:val="bottom"/>
          </w:tcPr>
          <w:p>
            <w:pPr>
              <w:spacing w:after="0"/>
              <w:rPr>
                <w:sz w:val="18"/>
                <w:szCs w:val="18"/>
                <w:color w:val="auto"/>
              </w:rPr>
            </w:pPr>
          </w:p>
        </w:tc>
        <w:tc>
          <w:tcPr>
            <w:tcW w:w="18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Warrants to be</w:t>
            </w: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Option Shares to</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Pre-Funded Warrants</w:t>
            </w:r>
          </w:p>
        </w:tc>
        <w:tc>
          <w:tcPr>
            <w:tcW w:w="0" w:type="dxa"/>
            <w:vAlign w:val="bottom"/>
          </w:tcPr>
          <w:p>
            <w:pPr>
              <w:spacing w:after="0"/>
              <w:rPr>
                <w:sz w:val="1"/>
                <w:szCs w:val="1"/>
                <w:color w:val="auto"/>
              </w:rPr>
            </w:pPr>
          </w:p>
        </w:tc>
      </w:tr>
      <w:tr>
        <w:trPr>
          <w:trHeight w:val="221"/>
        </w:trPr>
        <w:tc>
          <w:tcPr>
            <w:tcW w:w="3800" w:type="dxa"/>
            <w:vAlign w:val="bottom"/>
            <w:gridSpan w:val="2"/>
            <w:vMerge w:val="continue"/>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Purchased</w:t>
            </w:r>
          </w:p>
        </w:tc>
        <w:tc>
          <w:tcPr>
            <w:tcW w:w="480" w:type="dxa"/>
            <w:vAlign w:val="bottom"/>
          </w:tcPr>
          <w:p>
            <w:pPr>
              <w:spacing w:after="0"/>
              <w:rPr>
                <w:sz w:val="19"/>
                <w:szCs w:val="19"/>
                <w:color w:val="auto"/>
              </w:rPr>
            </w:pPr>
          </w:p>
        </w:tc>
        <w:tc>
          <w:tcPr>
            <w:tcW w:w="18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Purchased</w:t>
            </w: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be Purchased</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to be Purchased</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Clear Street LLC</w:t>
            </w:r>
          </w:p>
        </w:tc>
        <w:tc>
          <w:tcPr>
            <w:tcW w:w="12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3,376,814</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373,186</w:t>
            </w:r>
          </w:p>
        </w:tc>
        <w:tc>
          <w:tcPr>
            <w:tcW w:w="66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562,500</w:t>
            </w:r>
          </w:p>
        </w:tc>
        <w:tc>
          <w:tcPr>
            <w:tcW w:w="68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Cohen &amp; Company Capital Markets, a</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division of Cohen &amp; Company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 LLC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3,376,813</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373,187</w:t>
            </w:r>
          </w:p>
        </w:tc>
        <w:tc>
          <w:tcPr>
            <w:tcW w:w="660" w:type="dxa"/>
            <w:vAlign w:val="bottom"/>
          </w:tcPr>
          <w:p>
            <w:pPr>
              <w:spacing w:after="0"/>
              <w:rPr>
                <w:sz w:val="20"/>
                <w:szCs w:val="20"/>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562,500</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6,753,627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746,373</w:t>
            </w:r>
          </w:p>
        </w:tc>
        <w:tc>
          <w:tcPr>
            <w:tcW w:w="6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1,125,000</w:t>
            </w: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2" w:name="page43"/>
    <w:bookmarkEnd w:id="42"/>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General Use Free Writing Prospectuses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19"/>
          </w:cols>
          <w:pgMar w:left="440" w:top="266" w:right="1440" w:bottom="1440" w:gutter="0" w:footer="0" w:header="0"/>
        </w:sectPr>
      </w:pPr>
    </w:p>
    <w:bookmarkStart w:id="43" w:name="page44"/>
    <w:bookmarkEnd w:id="43"/>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5"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b w:val="1"/>
          <w:bCs w:val="1"/>
          <w:color w:val="auto"/>
        </w:rPr>
        <w:t>Pricing Information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Shares to be Sold: 6,753,627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Pre-Funded Warrants to be Sold: 746,373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Shares/Option Pre-Funded Warrants: 1,125,000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Share: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Pre-Funded Warrant: $9.9999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Discounts and Commissions: 6.0%</w:t>
      </w:r>
    </w:p>
    <w:p>
      <w:pPr>
        <w:sectPr>
          <w:pgSz w:w="11900" w:h="16838" w:orient="portrait"/>
          <w:cols w:equalWidth="0" w:num="1">
            <w:col w:w="10019"/>
          </w:cols>
          <w:pgMar w:left="440" w:top="266"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Parties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[Intentionally omitted pursuant to Item 601(a)(5) of Regulation S-K]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66"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ectPr>
          <w:pgSz w:w="11900" w:h="16838" w:orient="portrait"/>
          <w:cols w:equalWidth="0" w:num="1">
            <w:col w:w="9019"/>
          </w:cols>
          <w:pgMar w:left="1440" w:top="266"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LOCK-UP LETTER AGREEMENT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World Trade Center, Floor 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Cohen &amp; Company Capital Markets, a division of J.V.B. Financial Group, LLC (“Cohen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Columbus Circle, 24th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FOLLOW-ON PUBLIC OFFERING BY BAKKT HOLDINGS,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is being delivered to you in connection with proposed Underwriting Agreement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to be entered between Bakkt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Clear Street LLC and Cohen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as representatives (together, the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of the several underwriters to be named therein (collectively, the “</w:t>
      </w:r>
      <w:r>
        <w:rPr>
          <w:rFonts w:ascii="Times New Roman" w:cs="Times New Roman" w:eastAsia="Times New Roman" w:hAnsi="Times New Roman"/>
          <w:sz w:val="17"/>
          <w:szCs w:val="17"/>
          <w:b w:val="1"/>
          <w:bCs w:val="1"/>
          <w:i w:val="1"/>
          <w:iCs w:val="1"/>
          <w:color w:val="auto"/>
        </w:rPr>
        <w:t>Underwriters</w:t>
      </w:r>
      <w:r>
        <w:rPr>
          <w:rFonts w:ascii="Times New Roman" w:cs="Times New Roman" w:eastAsia="Times New Roman" w:hAnsi="Times New Roman"/>
          <w:sz w:val="17"/>
          <w:szCs w:val="17"/>
          <w:color w:val="auto"/>
        </w:rPr>
        <w:t>”) relating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public offering of shares of the Company’s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and/or pre-funded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to purchase shares of Common Stock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In order to induce the Underwriters to enter into the Underwriting Agreement, and in light of the benefits that the Offering will confer upon the undersigned in his, her or its capacity as a securityholder and/or a director or officer of the Company, and for good and valuable consideration, the receipt and sufficiency of which are hereby acknowledged, the undersigned hereby irrevocably agrees that, during the period beginning on the date of the Underwriting Agreement through and including the date that is the 90th day after the date of the Underwriting Agreement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the undersigned will not, and will not cause or direct any of his, her or its affiliates (as defined in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to, without the prior written consent of the Representatives, directly or indirectly, (1) offer for sale, sell, assign, transfer, pledge, contract to sell, lend or otherwise dispose of (or enter into any transaction or agreement that is designed to, or would reasonably be expected to, result in the disposition by any person at any time in the future of) any shares of Common Stock (including, without limitation, shares of Common Stock that may be deemed to be beneficially owned or hereafter acquired by the undersigned, or with respect to which the undersigned has or hereafter acquires the power of disposition, in accordance with the rules and regulations of the U.S. Securities and Exchange Commission and shares of Common Stock that may be issued upon exercise of any options or warrants) or securities convertible into or exercisable or exchangeable for shares of Common Stock (“</w:t>
      </w:r>
      <w:r>
        <w:rPr>
          <w:rFonts w:ascii="Times New Roman" w:cs="Times New Roman" w:eastAsia="Times New Roman" w:hAnsi="Times New Roman"/>
          <w:sz w:val="18"/>
          <w:szCs w:val="18"/>
          <w:b w:val="1"/>
          <w:bCs w:val="1"/>
          <w:i w:val="1"/>
          <w:iCs w:val="1"/>
          <w:color w:val="auto"/>
        </w:rPr>
        <w:t>Related Securities</w:t>
      </w:r>
      <w:r>
        <w:rPr>
          <w:rFonts w:ascii="Times New Roman" w:cs="Times New Roman" w:eastAsia="Times New Roman" w:hAnsi="Times New Roman"/>
          <w:sz w:val="18"/>
          <w:szCs w:val="18"/>
          <w:color w:val="auto"/>
        </w:rPr>
        <w:t xml:space="preserve">”), (2) enter into any swap, hedge or similar agreement or arrangement (including, without limitation, the purchase or sale of, or entry into, any put or call option, or combination thereof, forward, swap or any other derivatives transaction or instrument, however described or defined) that transfers, is designed to transfer or reasonably could be expect to transfer (whether by the undersigned or someone other than the undersigned) in whole or in part, directly or indirectly, any of the economic benefits or risks of ownership of shares of Common Stock or any Related Securities, whether any such transaction described in clause (1) or (2) above is to be settled by delivery of shares of Common Stock or other securities of the Company, in cash or otherwise, (3) make any demand for or exercise any right or cause to be confidentially submitted or filed a registration statement, including any amendments thereto, with respect to the registration of any shares of Common Stock or Related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undersigned has demand and/or piggyback registration rights under any registration rights agreement, investor rights agreement or similar agreement, the undersigned may notify the Company privately that the undersigned is or will be exercising its demand and/or piggyback registration rights under any such agreement following the expiration of the Lock-Up Period and undertake preparations related thereto, or (4) publicly disclose the intention to do any of the foregoing.</w:t>
      </w:r>
    </w:p>
    <w:p>
      <w:pPr>
        <w:sectPr>
          <w:pgSz w:w="11900" w:h="16838" w:orient="portrait"/>
          <w:cols w:equalWidth="0" w:num="1">
            <w:col w:w="11000"/>
          </w:cols>
          <w:pgMar w:left="440" w:top="270" w:right="459" w:bottom="1440" w:gutter="0" w:footer="0" w:header="0"/>
        </w:sectPr>
      </w:pPr>
    </w:p>
    <w:bookmarkStart w:id="47" w:name="page48"/>
    <w:bookmarkEnd w:id="47"/>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restrictions are expressly agreed to preclude the undersigned from engaging in any hedging or other transaction which is designed to, or which reasonably could be expected to, lead to or result in a sale or disposition of shares of Common Stock or any other securities of the Company even if such shares of Common Stock or other securities of the Company would be disposed of by someone other than the undersigned, including, without limitation, any short sale or any purchase, sale or grant of any right (including without limitation any put or call option, forward, swap or any other derivative transaction or instrument) with respect to any shares of Common Stock, or any other security of the Company that includes, relates to, or derives any significant part of its value from shares of Common Stock or other securities of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restrictions, including without limitation the immediately preceding sentence, shall not apply to:</w:t>
      </w:r>
    </w:p>
    <w:p>
      <w:pPr>
        <w:spacing w:after="0" w:line="223" w:lineRule="exact"/>
        <w:rPr>
          <w:sz w:val="20"/>
          <w:szCs w:val="20"/>
          <w:color w:val="auto"/>
        </w:rPr>
      </w:pPr>
    </w:p>
    <w:p>
      <w:pPr>
        <w:ind w:firstLine="436"/>
        <w:spacing w:after="0" w:line="255"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charitable gift or gifts, including, without limitation, to a charitable organization or educational institution, or (ii) bona fide gifts, sales or other dispositions of shares of any class of the Company’s capital stock, in each case, that are made exclusively between and among the undersigned or members of the undersigned’s family, or affiliates of the undersigned, including its partners (if a partnership) or members (if a limited liability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it shall be a condition to any transfer pursuant to this clause (a) that (1) the transferee/donee agrees to be bound by the terms of this Lock-Up Letter Agreement (including, without limitation, the restrictions set forth in the preceding sentence) to the same extent as if the transferee/donee were a party hereto, (2) any such transfer shall not involve a disposition for value, (3) each party (donor, donee, transferor or transferee) shall agree to not voluntarily make, any filing or public announcement of the gift, sale or other disposition prior to the expiration of the Lock-Up Period, and (4) the undersigned notifies the Representatives at least two business days prior to the proposed gift, sale or other disposition;</w:t>
      </w:r>
    </w:p>
    <w:p>
      <w:pPr>
        <w:spacing w:after="0" w:line="186"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or settlement of stock options or other equity awards granted pursuant to the Company’s stock option/incentive plans or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restrictions shall apply to shares of Common Stock issued upon such exercise;</w:t>
      </w:r>
    </w:p>
    <w:p>
      <w:pPr>
        <w:spacing w:after="0" w:line="15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transfers by will or intestacy;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public disclosure or filing under the Securities Exchange Act of 1934, as amended (the</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be voluntarily made during the Lock-Up Period and any required filing under the Exchange Act made during the Lock-Up Period shall clearly indicate in the footnotes thereto that the filing relates to the circumstances described in this clause (c);</w:t>
      </w:r>
    </w:p>
    <w:p>
      <w:pPr>
        <w:spacing w:after="0" w:line="181" w:lineRule="exact"/>
        <w:rPr>
          <w:sz w:val="20"/>
          <w:szCs w:val="20"/>
          <w:color w:val="auto"/>
        </w:rPr>
      </w:pPr>
    </w:p>
    <w:p>
      <w:pPr>
        <w:ind w:right="200" w:firstLine="436"/>
        <w:spacing w:after="0" w:line="261"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transfers pursuant to a court order or settlement agreement related to the distribution of assets in connection with the dissolution of a marriage or civil union,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public disclosure or filing under the Exchange Act shall be voluntarily made during the Lock-Up Period and any required filing under the Exchange Act made during the Lock-Up Period shall clearly indicate in the footnotes thereto that the filing relates to the circumstances described in this clause (d);</w:t>
      </w:r>
    </w:p>
    <w:p>
      <w:pPr>
        <w:spacing w:after="0" w:line="179"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capital stock of the Company or any securities convertible into, or exercisable or exchangeable for, such capital stock to any trust for the direct or indirect benefit of the undersigned or the immediate family of the undersigned in a transaction not involving a disposition for value, or, if the undersigned is a trust, to a trustor or beneficiary of the trust, or, if the undersigned is a corporation, partnership, limited liability company or other business entity, to another corporation, partnership, limited liability company or other business entity that controls, is controlled by or is 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8" w:name="page49"/>
    <w:bookmarkEnd w:id="4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common control with the undersigned or as part of a disposition, transfer or distribution by the undersigned to partners, limited partners, stockholders, members or equityholders of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(1) any transferee agrees to be bound by the terms of this Lock-Up Letter Agreement (including, without limitation, the restrictions set forth in the preceding sentence) to the same extent as if the transferee(s) were a party hereto, (2) any such transfer shall not involve a disposition for value, (3) no public disclosure or filing under the Exchange Act shall be voluntarily made during the Lock-Up Period and (4) any required filing under the Exchange Act made during the Lock-Up Period shall clearly indicate in the footnotes thereto that the filing relates to the circumstances described in this clause (e);</w:t>
      </w:r>
    </w:p>
    <w:p>
      <w:pPr>
        <w:spacing w:after="0" w:line="187" w:lineRule="exact"/>
        <w:rPr>
          <w:sz w:val="20"/>
          <w:szCs w:val="20"/>
          <w:color w:val="auto"/>
        </w:rPr>
      </w:pPr>
    </w:p>
    <w:p>
      <w:pPr>
        <w:ind w:right="120" w:firstLine="436"/>
        <w:spacing w:after="0" w:line="266" w:lineRule="auto"/>
        <w:tabs>
          <w:tab w:leader="none" w:pos="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the Pre-Funded Warrants, or the conversion, exercise or exchange of any other securities of the Company, into Common Stock or any other securities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shares of Common Stock or other securities issued upon conversion, exercise or exchange remain subject to the terms of this Lock-Up Letter Agreement;</w:t>
      </w:r>
    </w:p>
    <w:p>
      <w:pPr>
        <w:spacing w:after="0" w:line="175"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the Company’s paired interests (each of which is a combination of one share of Class V common stock of the Company and one common unit of Bakkt Opco Holdings, LLC exchangeable into Common Stock) (the “</w:t>
      </w:r>
      <w:r>
        <w:rPr>
          <w:rFonts w:ascii="Times New Roman" w:cs="Times New Roman" w:eastAsia="Times New Roman" w:hAnsi="Times New Roman"/>
          <w:sz w:val="18"/>
          <w:szCs w:val="18"/>
          <w:b w:val="1"/>
          <w:bCs w:val="1"/>
          <w:i w:val="1"/>
          <w:iCs w:val="1"/>
          <w:color w:val="auto"/>
        </w:rPr>
        <w:t>Paired Interests</w:t>
      </w:r>
      <w:r>
        <w:rPr>
          <w:rFonts w:ascii="Times New Roman" w:cs="Times New Roman" w:eastAsia="Times New Roman" w:hAnsi="Times New Roman"/>
          <w:sz w:val="18"/>
          <w:szCs w:val="18"/>
          <w:color w:val="auto"/>
        </w:rPr>
        <w:t>”) into shares of Common Stock, or the exercise of: (i) the Company’s outstanding public warrants to purchase shares of Common Stock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(ii) the Company’s Class 1 warrants to purchase shares of Common Stock (the “</w:t>
      </w:r>
      <w:r>
        <w:rPr>
          <w:rFonts w:ascii="Times New Roman" w:cs="Times New Roman" w:eastAsia="Times New Roman" w:hAnsi="Times New Roman"/>
          <w:sz w:val="18"/>
          <w:szCs w:val="18"/>
          <w:b w:val="1"/>
          <w:bCs w:val="1"/>
          <w:i w:val="1"/>
          <w:iCs w:val="1"/>
          <w:color w:val="auto"/>
        </w:rPr>
        <w:t>Class 1 Warrants</w:t>
      </w:r>
      <w:r>
        <w:rPr>
          <w:rFonts w:ascii="Times New Roman" w:cs="Times New Roman" w:eastAsia="Times New Roman" w:hAnsi="Times New Roman"/>
          <w:sz w:val="18"/>
          <w:szCs w:val="18"/>
          <w:color w:val="auto"/>
        </w:rPr>
        <w:t>”) and (iii) the Company’s Class 2 warrants to purchase shares of Common Stock (the “</w:t>
      </w:r>
      <w:r>
        <w:rPr>
          <w:rFonts w:ascii="Times New Roman" w:cs="Times New Roman" w:eastAsia="Times New Roman" w:hAnsi="Times New Roman"/>
          <w:sz w:val="18"/>
          <w:szCs w:val="18"/>
          <w:b w:val="1"/>
          <w:bCs w:val="1"/>
          <w:i w:val="1"/>
          <w:iCs w:val="1"/>
          <w:color w:val="auto"/>
        </w:rPr>
        <w:t>Class 2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shares of Common Stock or other securities issued upon exchange or exercise thereof, as applicable, remain subject to the terms of this Lock-Up Letter Agreement;</w:t>
      </w:r>
    </w:p>
    <w:p>
      <w:pPr>
        <w:spacing w:after="0" w:line="185" w:lineRule="exact"/>
        <w:rPr>
          <w:rFonts w:ascii="Times New Roman" w:cs="Times New Roman" w:eastAsia="Times New Roman" w:hAnsi="Times New Roman"/>
          <w:sz w:val="18"/>
          <w:szCs w:val="18"/>
          <w:color w:val="auto"/>
        </w:rPr>
      </w:pPr>
    </w:p>
    <w:p>
      <w:pPr>
        <w:ind w:right="180" w:firstLine="436"/>
        <w:spacing w:after="0" w:line="267"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transfers or commitments to transfer: (i) Paired Interests, (ii) Public Warrants, (iii) Class 1 Warrants and (iv) Class 2 Warrants,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shares of Common Stock or other securities issued upon exercise or exchange thereof, as applicable, remain subject to the terms of this Lock-Up Letter Agreement;</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transfers or commitments to transfer pursuant to a merger, consolidation, tender offer or other similar transaction involving a Change of Control (as defined below) or reverse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that such merger, consolidation, tender offer or other such transaction involving a Change of Control or reverse merger is not completed, such shares of Common Stock or other securities held by the undersigned shall remain subject to the provisions of this Lock-Up Letter Agreement;</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by the undersigned of shares of Common Stock or any securities convertible into, exercisable or exchangeable for, shares of Common Stock to the Company upon a vesting or settlement event of the Company’s securities or upon the exercise of options or warrants to purchase the Company’s securities on a “cashless” or “net exercise” basis, or in a “sell-to-cover” transaction, in each case, pursuant to any equity incentive plan or award of the Company and to the extent permitted by the instruments representing such options or warrants outstanding as of the date of the Underwriting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(1) the shares received upon exercise or settlement of such option or warrant or other security are subject to the terms of this Lock-Up Letter Agreement, (2) no public disclosure or filing under the Exchange Act shall be voluntarily made during the Lock-Up Period and (3) any required filing under the Exchange Act made during the Lock-Up Period shall clearly indicate in the footnotes thereto that the filing relates to the circumstances described in this clause (j);</w:t>
      </w:r>
    </w:p>
    <w:p>
      <w:pPr>
        <w:spacing w:after="0" w:line="191"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shares of Common Stock or securities convertible into, or exercisable or exchangeable for, shares of Common Stock to the Company in connection with the termination of the undersigned’s employment with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public disclosure or filing under the Exchange Act shall be voluntarily made during the Lock-Up Period and any required filing under the Exchange Act made during the Lock-Up Period shall clearly indicate in the footnotes thereto that the filing relates to the circumstances described in this clause (k);</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9" w:name="page50"/>
    <w:bookmarkEnd w:id="49"/>
    <w:p>
      <w:pPr>
        <w:ind w:left="660" w:hanging="224"/>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that are approved by the prior written consent of the Representatives; and</w:t>
      </w:r>
    </w:p>
    <w:p>
      <w:pPr>
        <w:spacing w:after="0" w:line="225" w:lineRule="exact"/>
        <w:rPr>
          <w:rFonts w:ascii="Times New Roman" w:cs="Times New Roman" w:eastAsia="Times New Roman" w:hAnsi="Times New Roman"/>
          <w:sz w:val="18"/>
          <w:szCs w:val="18"/>
          <w:color w:val="auto"/>
        </w:rPr>
      </w:pPr>
    </w:p>
    <w:p>
      <w:pPr>
        <w:ind w:right="140" w:firstLine="436"/>
        <w:spacing w:after="0" w:line="266" w:lineRule="auto"/>
        <w:tabs>
          <w:tab w:leader="none" w:pos="7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of shares of Common Stock purchased by the undersigned on the open market following the date of the Underwriting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required filing under the Exchange Act made during the Lock-Up Period shall clearly indicate in the footnotes thereto that the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relates to the circumstances described in this clause (m).</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imposed by this Lock-Up Letter Agreement, the undersigned may (i) establish or enter into a trading plan pursuant to Rule 10b5-1 (“</w:t>
      </w:r>
      <w:r>
        <w:rPr>
          <w:rFonts w:ascii="Times New Roman" w:cs="Times New Roman" w:eastAsia="Times New Roman" w:hAnsi="Times New Roman"/>
          <w:sz w:val="18"/>
          <w:szCs w:val="18"/>
          <w:b w:val="1"/>
          <w:bCs w:val="1"/>
          <w:i w:val="1"/>
          <w:iCs w:val="1"/>
          <w:color w:val="auto"/>
        </w:rPr>
        <w:t>10b5-1 Trading Plan</w:t>
      </w:r>
      <w:r>
        <w:rPr>
          <w:rFonts w:ascii="Times New Roman" w:cs="Times New Roman" w:eastAsia="Times New Roman" w:hAnsi="Times New Roman"/>
          <w:sz w:val="18"/>
          <w:szCs w:val="18"/>
          <w:color w:val="auto"/>
        </w:rPr>
        <w:t xml:space="preserve">”)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any transfers of shares of Common Stock, and no filing under the Exchange Act or other public announcement shall be required or voluntarily made by the undersigned or any other person in connection therewith, in each case during the Lock-Up Period, and (ii) transfer or sell the undersigned’s shares of Common Stock pursuant to a 10b5-1 Trading Plan that was established on or prior to the date of this Lock-Up Letter Agreement and exists as of the date 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undersigned is required to file a report under Section 16(a) of the Exchange Act during the Lock-Up Period, such filing shall state that such transaction has been executed under a 10b5-1 Trading Plan and shall also state the date such 10b5-1 Trading Plan was established.</w:t>
      </w:r>
    </w:p>
    <w:p>
      <w:pPr>
        <w:spacing w:after="0" w:line="188"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shall mean the consummation of any bona fide third party tender offer, merger, consolidation or other similar transaction, in one transaction or a series of related transactions, the result of which is that any “person” (as defined in Section 13(d)(3) of the Exchange Act), or group of persons, becomes the beneficial owner (as defined in Rules 13d-3 and 13d-5 of the Exchange Act) of more than 50% of the voting capital stock of the Company (or the surviving entity).</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Lock-Up Letter Agreement and any transaction contemplated by this Lock-Up Letter Agreement shall be governed by and construed in accordance with the laws of the State of Delaware without regard to conflict of laws principles that would result in the application of any other law than the laws of the State of Delaware.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50" w:name="page51"/>
    <w:bookmarkEnd w:id="50"/>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represents and warrants that the undersigned has full power and authority to enter into this Lock-Up Letter Agreement. Any obligations of the undersigned shall be binding upon the heirs and executors (in the case of individuals), personal representatives, successors and assigns of the undersigned.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291465</wp:posOffset>
            </wp:positionV>
            <wp:extent cx="25628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______, 2025</w:t>
      </w:r>
    </w:p>
    <w:p>
      <w:pPr>
        <w:sectPr>
          <w:pgSz w:w="11900" w:h="16838" w:orient="portrait"/>
          <w:cols w:equalWidth="0" w:num="1">
            <w:col w:w="10780"/>
          </w:cols>
          <w:pgMar w:left="440" w:top="270" w:right="6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personally identifiable information has been omitted from this exhibit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601(a)(6) of Regulation S-K. [***] indicates that information has been redacted.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2025 (such date, the “</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w:t>
      </w:r>
    </w:p>
    <w:p>
      <w:pPr>
        <w:spacing w:after="0" w:line="2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PRE-FUNDED COMMON STOCK PURCHASE WARRANT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certifies that, for value received, the registered holder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set forth herein, at any time on or after the Issue Date, to subscribe for and purchase from Bakkt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the Company’s Class A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The purchase price of one share of Common Stock under this Warrant shall be equal to the Exercise Price, as defined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Warrant, the following terms shall have the following meanings:</w:t>
      </w:r>
    </w:p>
    <w:p>
      <w:pPr>
        <w:spacing w:after="0" w:line="127" w:lineRule="exact"/>
        <w:rPr>
          <w:sz w:val="20"/>
          <w:szCs w:val="20"/>
          <w:color w:val="auto"/>
        </w:rPr>
      </w:pPr>
    </w:p>
    <w:p>
      <w:pPr>
        <w:ind w:left="960" w:right="120" w:hanging="532"/>
        <w:spacing w:after="0" w:line="268"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130" w:lineRule="exact"/>
        <w:rPr>
          <w:rFonts w:ascii="Times New Roman" w:cs="Times New Roman" w:eastAsia="Times New Roman" w:hAnsi="Times New Roman"/>
          <w:sz w:val="18"/>
          <w:szCs w:val="18"/>
          <w:color w:val="auto"/>
        </w:rPr>
      </w:pPr>
    </w:p>
    <w:p>
      <w:pPr>
        <w:ind w:left="960" w:right="80" w:hanging="532"/>
        <w:spacing w:after="0" w:line="286"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any Saturday, any Sunday, any day that is a federal legal holiday in the United States or any day on which the Trading Market is authorized or required by law or other governmental action to close.</w:t>
      </w:r>
    </w:p>
    <w:p>
      <w:pPr>
        <w:spacing w:after="0" w:line="60" w:lineRule="exact"/>
        <w:rPr>
          <w:rFonts w:ascii="Times New Roman" w:cs="Times New Roman" w:eastAsia="Times New Roman" w:hAnsi="Times New Roman"/>
          <w:sz w:val="18"/>
          <w:szCs w:val="18"/>
          <w:color w:val="auto"/>
        </w:rPr>
      </w:pPr>
    </w:p>
    <w:p>
      <w:pPr>
        <w:ind w:left="960" w:right="540" w:hanging="532"/>
        <w:spacing w:after="0" w:line="268"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Equivalent</w:t>
      </w:r>
      <w:r>
        <w:rPr>
          <w:rFonts w:ascii="Times New Roman" w:cs="Times New Roman" w:eastAsia="Times New Roman" w:hAnsi="Times New Roman"/>
          <w:sz w:val="18"/>
          <w:szCs w:val="18"/>
          <w:color w:val="auto"/>
        </w:rPr>
        <w:t>” means any security or obligation which is by its terms, directly or indirectly, convertible into or exchangeable or exercisable for shares of Common Stock, including, without limitation, any option, warrant or other subscription or purchase right with respect to Common Stock or any Common Stock Equivalent.</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ectPr>
          <w:pgSz w:w="11900" w:h="16838" w:orient="portrait"/>
          <w:cols w:equalWidth="0" w:num="1">
            <w:col w:w="11020"/>
          </w:cols>
          <w:pgMar w:left="440" w:top="117" w:right="439" w:bottom="1440" w:gutter="0" w:footer="0" w:header="0"/>
        </w:sectPr>
      </w:pPr>
    </w:p>
    <w:bookmarkStart w:id="52" w:name="page53"/>
    <w:bookmarkEnd w:id="52"/>
    <w:p>
      <w:pPr>
        <w:ind w:left="960" w:right="700" w:hanging="532"/>
        <w:spacing w:after="0" w:line="28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60" w:lineRule="exact"/>
        <w:rPr>
          <w:rFonts w:ascii="Times New Roman" w:cs="Times New Roman" w:eastAsia="Times New Roman" w:hAnsi="Times New Roman"/>
          <w:sz w:val="18"/>
          <w:szCs w:val="18"/>
          <w:color w:val="auto"/>
        </w:rPr>
      </w:pPr>
    </w:p>
    <w:p>
      <w:pPr>
        <w:ind w:left="960" w:right="100" w:hanging="532"/>
        <w:spacing w:after="0" w:line="28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Company’s Registration Statement on Form S-3 (File No. 333-288361), declared effective on July 3, 2025.</w:t>
      </w:r>
    </w:p>
    <w:p>
      <w:pPr>
        <w:spacing w:after="0" w:line="60" w:lineRule="exact"/>
        <w:rPr>
          <w:rFonts w:ascii="Times New Roman" w:cs="Times New Roman" w:eastAsia="Times New Roman" w:hAnsi="Times New Roman"/>
          <w:sz w:val="18"/>
          <w:szCs w:val="18"/>
          <w:color w:val="auto"/>
        </w:rPr>
      </w:pPr>
    </w:p>
    <w:p>
      <w:pPr>
        <w:ind w:left="960" w:right="140" w:hanging="532"/>
        <w:spacing w:after="0" w:line="268"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Company’s primary trading market or quotation system with respect to the Common Stock that is in effect on the date of delivery of an applicable exercise notice, which as of the Issue Date was “T+1”.</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Common Stock is traded on the Trading Market.</w:t>
      </w:r>
    </w:p>
    <w:p>
      <w:pPr>
        <w:spacing w:after="0" w:line="130" w:lineRule="exact"/>
        <w:rPr>
          <w:rFonts w:ascii="Times New Roman" w:cs="Times New Roman" w:eastAsia="Times New Roman" w:hAnsi="Times New Roman"/>
          <w:sz w:val="18"/>
          <w:szCs w:val="18"/>
          <w:color w:val="auto"/>
        </w:rPr>
      </w:pPr>
    </w:p>
    <w:p>
      <w:pPr>
        <w:ind w:left="960" w:right="520" w:hanging="532"/>
        <w:spacing w:after="0" w:line="28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principal securities exchange or securities market, including an over-the-counter market, on which the Common Stock is then traded in the United States.</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means the Company.</w:t>
      </w:r>
    </w:p>
    <w:p>
      <w:pPr>
        <w:spacing w:after="0" w:line="130" w:lineRule="exact"/>
        <w:rPr>
          <w:rFonts w:ascii="Times New Roman" w:cs="Times New Roman" w:eastAsia="Times New Roman" w:hAnsi="Times New Roman"/>
          <w:sz w:val="18"/>
          <w:szCs w:val="18"/>
          <w:color w:val="auto"/>
        </w:rPr>
      </w:pPr>
    </w:p>
    <w:p>
      <w:pPr>
        <w:ind w:left="960" w:right="40" w:hanging="532"/>
        <w:spacing w:after="0" w:line="253"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Weighted Average Price</w:t>
      </w:r>
      <w:r>
        <w:rPr>
          <w:rFonts w:ascii="Times New Roman" w:cs="Times New Roman" w:eastAsia="Times New Roman" w:hAnsi="Times New Roman"/>
          <w:sz w:val="18"/>
          <w:szCs w:val="18"/>
          <w:color w:val="auto"/>
        </w:rPr>
        <w:t xml:space="preserve">” means, for any security as of any date, the dollar volume-weighted average price for such security on the 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Times New Roman" w:cs="Times New Roman" w:eastAsia="Times New Roman" w:hAnsi="Times New Roman"/>
          <w:sz w:val="18"/>
          <w:szCs w:val="18"/>
          <w:u w:val="single" w:color="auto"/>
          <w:color w:val="auto"/>
        </w:rPr>
        <w:t>Section 6(m)</w:t>
      </w:r>
      <w:r>
        <w:rPr>
          <w:rFonts w:ascii="Times New Roman" w:cs="Times New Roman" w:eastAsia="Times New Roman" w:hAnsi="Times New Roman"/>
          <w:sz w:val="18"/>
          <w:szCs w:val="18"/>
          <w:color w:val="auto"/>
        </w:rPr>
        <w:t xml:space="preserve"> with the term “Weighted Average Price” being substituted for the term “Exercise Price.” All such determinations shall be appropriately adjusted for any stock dividend, stock split, stock combination or other similar transaction during such period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Issuance of Securities; Registration of Warrants.</w:t>
      </w:r>
      <w:r>
        <w:rPr>
          <w:rFonts w:ascii="Times New Roman" w:cs="Times New Roman" w:eastAsia="Times New Roman" w:hAnsi="Times New Roman"/>
          <w:sz w:val="18"/>
          <w:szCs w:val="18"/>
          <w:color w:val="auto"/>
        </w:rPr>
        <w:t xml:space="preserve"> This Warrant, as initially issued by the Company, is offered and sold pursuant to the Registration Statement. As of the Issue Date, the Warrant Shares are issuable under the Registration Statement. Accordingly, the Warrant and, assuming issuance pursuant to the Registration Statement or an exchange meeting the requirements of Section 3(a)(9) of the Securities Act, the Warrant Shares are not “restricted securities” under Rule 144 promulgated under the Securities Act as in effect on the Issue Date. The Company shall register ownership of this Warrant upon records to be maintained by the Warrant Agent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Exercise.</w:t>
      </w:r>
    </w:p>
    <w:p>
      <w:pPr>
        <w:spacing w:after="0" w:line="131" w:lineRule="exact"/>
        <w:rPr>
          <w:sz w:val="20"/>
          <w:szCs w:val="20"/>
          <w:color w:val="auto"/>
        </w:rPr>
      </w:pPr>
    </w:p>
    <w:p>
      <w:pPr>
        <w:ind w:left="960" w:hanging="532"/>
        <w:spacing w:after="0" w:line="25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Subject to the terms and conditions hereof, the purchase rights represented by this Warrant may be exercised, in whole or in part, at any time or times on or after the Issue Date by delivery (whether via facsimile, e-mail or otherwise) to the Company (or such other office or agency of the Company as it may designate by notice in writing to the registered Holder at the address of the Holder appearing on the Warrant Register) of a duly executed copy of the Notice of Exercise form annexed hereto (the “</w:t>
      </w:r>
      <w:r>
        <w:rPr>
          <w:rFonts w:ascii="Times New Roman" w:cs="Times New Roman" w:eastAsia="Times New Roman" w:hAnsi="Times New Roman"/>
          <w:sz w:val="18"/>
          <w:szCs w:val="18"/>
          <w:b w:val="1"/>
          <w:bCs w:val="1"/>
          <w:i w:val="1"/>
          <w:iCs w:val="1"/>
          <w:color w:val="auto"/>
        </w:rPr>
        <w:t>Notice of Exercise</w:t>
      </w:r>
      <w:r>
        <w:rPr>
          <w:rFonts w:ascii="Times New Roman" w:cs="Times New Roman" w:eastAsia="Times New Roman" w:hAnsi="Times New Roman"/>
          <w:sz w:val="18"/>
          <w:szCs w:val="18"/>
          <w:color w:val="auto"/>
        </w:rPr>
        <w:t xml:space="preserve">”) and by payment to the Company of an amount equal to the aggregate Exercise Price of the Warrant Shares thereby purchased by wire transfer (or by notifying the Company that this Warrant is being exercised pursuant to a Cashless Exercise (as defined below) in accordance with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hereof). The aggregate exercise price of this Warrant, except for the nominal $0.0001 per share, was pre-funded to the Company on or before the Issue Date, and consequently no additional consideration (other than the nominal $0.0001 per share) shall be required to be paid by the Holder to effect any exercise of this Warrant. The Holder shall not be entitled to the return or refund of all, or any portion, of such pre-funded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xml:space="preserve">”). No ink-original Notice of Exercise shall be required, nor shall any medallion guarantee (or other type of guarantee or notarization) of any Notice of Exercise form be required. The Holder shall not be required to deliver the original Warrant in order to effect an exercise hereunder. Execution and delivery of the exercise notice shall have the same effect as cancellation of the original Warrant and issuance of a New Warrant (as defined below) evidencing the right to purchase the remaining number of Warrant Shares, if any.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9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p>
    <w:p>
      <w:pPr>
        <w:spacing w:after="0" w:line="130" w:lineRule="exact"/>
        <w:rPr>
          <w:rFonts w:ascii="Times New Roman" w:cs="Times New Roman" w:eastAsia="Times New Roman" w:hAnsi="Times New Roman"/>
          <w:sz w:val="18"/>
          <w:szCs w:val="18"/>
          <w:color w:val="auto"/>
        </w:rPr>
      </w:pPr>
    </w:p>
    <w:p>
      <w:pPr>
        <w:ind w:left="1420" w:right="40" w:hanging="439"/>
        <w:spacing w:after="0" w:line="252" w:lineRule="auto"/>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xml:space="preserve"> Upon exercise of this Warrant, the Company shall promptly (but in no event later than the number of Trading Days comprising the Standard Settlement Period): (1)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Deposit/Withdrawal At Custodian system provided that the transfer agent is then a participant in the DTC Fast Automated Securities Transfer Program (“</w:t>
      </w:r>
      <w:r>
        <w:rPr>
          <w:rFonts w:ascii="Times New Roman" w:cs="Times New Roman" w:eastAsia="Times New Roman" w:hAnsi="Times New Roman"/>
          <w:sz w:val="18"/>
          <w:szCs w:val="18"/>
          <w:b w:val="1"/>
          <w:bCs w:val="1"/>
          <w:i w:val="1"/>
          <w:iCs w:val="1"/>
          <w:color w:val="auto"/>
        </w:rPr>
        <w:t>FAST Program</w:t>
      </w:r>
      <w:r>
        <w:rPr>
          <w:rFonts w:ascii="Times New Roman" w:cs="Times New Roman" w:eastAsia="Times New Roman" w:hAnsi="Times New Roman"/>
          <w:sz w:val="18"/>
          <w:szCs w:val="18"/>
          <w:color w:val="auto"/>
        </w:rPr>
        <w:t>”) if there is an effective registration statement permitting the issuance of such Warrant Shares to or resale of such Warrant Shares by the Holder; or (2) otherwise issue such Warrant Shares in the name of the Holder or its designee in restricted book-entry form in the Company’s share register. This Warrant shall be deemed to have been exercised upon proper delivery of the Notice of Exercise and payment of the Exercise Price (or notification of Cashless Exercise) in accordance with the terms hereof.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(or notification of Cashless Exercise, if applicable) is received on the same Trading Day as the Notice of Exercise. The Company shall use its reasonable best efforts to maintain a transfer agent that is a participant in the FAST Program so long as this Warrant remains outstanding and exercisable. The Holder acknowledges that the Warrant Shares acquired upon the exercise of this Warrant, if issued in restricted book-entry form, will contain a customary legend to the effect that the Warrant Shares are not registered.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54" w:name="page55"/>
    <w:bookmarkEnd w:id="54"/>
    <w:p>
      <w:pPr>
        <w:ind w:left="992" w:right="300" w:hanging="439"/>
        <w:spacing w:after="0" w:line="261" w:lineRule="auto"/>
        <w:tabs>
          <w:tab w:leader="none" w:pos="9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New Warrant Upon Exercise.</w:t>
      </w:r>
      <w:r>
        <w:rPr>
          <w:rFonts w:ascii="Times New Roman" w:cs="Times New Roman" w:eastAsia="Times New Roman" w:hAnsi="Times New Roman"/>
          <w:sz w:val="18"/>
          <w:szCs w:val="18"/>
          <w:color w:val="auto"/>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85" w:lineRule="exact"/>
        <w:rPr>
          <w:rFonts w:ascii="Times New Roman" w:cs="Times New Roman" w:eastAsia="Times New Roman" w:hAnsi="Times New Roman"/>
          <w:sz w:val="18"/>
          <w:szCs w:val="18"/>
          <w:color w:val="auto"/>
        </w:rPr>
      </w:pPr>
    </w:p>
    <w:p>
      <w:pPr>
        <w:ind w:left="992" w:hanging="439"/>
        <w:spacing w:after="0" w:line="254" w:lineRule="auto"/>
        <w:tabs>
          <w:tab w:leader="none" w:pos="9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shares, all of which taxes and expenses shall be paid by the Company, and such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any Notice of Exercise and all fees to the DTC (or another established clearing corporation performing similar functions) required for electronic delivery of the Warrant Shares.</w:t>
      </w:r>
    </w:p>
    <w:p>
      <w:pPr>
        <w:spacing w:after="0" w:line="97" w:lineRule="exact"/>
        <w:rPr>
          <w:rFonts w:ascii="Times New Roman" w:cs="Times New Roman" w:eastAsia="Times New Roman" w:hAnsi="Times New Roman"/>
          <w:sz w:val="18"/>
          <w:szCs w:val="18"/>
          <w:color w:val="auto"/>
        </w:rPr>
      </w:pPr>
    </w:p>
    <w:p>
      <w:pPr>
        <w:ind w:left="992" w:hanging="439"/>
        <w:spacing w:after="0"/>
        <w:tabs>
          <w:tab w:leader="none" w:pos="9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The parties shall treat this Warrant as stock for federal and applicable state and local income tax purposes.</w:t>
      </w:r>
    </w:p>
    <w:p>
      <w:pPr>
        <w:spacing w:after="0" w:line="130" w:lineRule="exact"/>
        <w:rPr>
          <w:rFonts w:ascii="Times New Roman" w:cs="Times New Roman" w:eastAsia="Times New Roman" w:hAnsi="Times New Roman"/>
          <w:sz w:val="18"/>
          <w:szCs w:val="18"/>
          <w:color w:val="auto"/>
        </w:rPr>
      </w:pPr>
    </w:p>
    <w:p>
      <w:pPr>
        <w:ind w:left="992" w:right="480" w:hanging="439"/>
        <w:spacing w:after="0" w:line="282" w:lineRule="auto"/>
        <w:tabs>
          <w:tab w:leader="none" w:pos="9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xml:space="preserve"> The Company will not close its stockholder books or records in any manner which, to the knowledge of the Company, prevents the timely exercise of this Warrant pursuant to the terms hereof.</w:t>
      </w:r>
    </w:p>
    <w:p>
      <w:pPr>
        <w:spacing w:after="0" w:line="67" w:lineRule="exact"/>
        <w:rPr>
          <w:sz w:val="20"/>
          <w:szCs w:val="20"/>
          <w:color w:val="auto"/>
        </w:rPr>
      </w:pPr>
    </w:p>
    <w:p>
      <w:pPr>
        <w:jc w:val="both"/>
        <w:ind w:left="532" w:right="100" w:hanging="532"/>
        <w:spacing w:after="0" w:line="261" w:lineRule="auto"/>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Notwithstanding anything contained herein to the contrary, the Holder may exercise this Warrant, whether in whole or in part, and in lieu of making the cash payment otherwise contemplated to be made to the Company upon such exercise in payment of the Exercise Price, by effecting a cashless exercise of this Warrant pursuant to which the Holder shall receive upon such cashless exercise the “Net Number” of Warrant Shares determined according to the following formula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                             B</w:t>
      </w:r>
    </w:p>
    <w:p>
      <w:pPr>
        <w:spacing w:after="0" w:line="112" w:lineRule="exact"/>
        <w:rPr>
          <w:sz w:val="20"/>
          <w:szCs w:val="20"/>
          <w:color w:val="auto"/>
        </w:rPr>
      </w:pPr>
    </w:p>
    <w:p>
      <w:pPr>
        <w:ind w:left="772"/>
        <w:spacing w:after="0"/>
        <w:tabs>
          <w:tab w:leader="none" w:pos="1292"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purposes of the foregoing formula:</w:t>
      </w:r>
    </w:p>
    <w:p>
      <w:pPr>
        <w:spacing w:after="0" w:line="131" w:lineRule="exact"/>
        <w:rPr>
          <w:sz w:val="20"/>
          <w:szCs w:val="20"/>
          <w:color w:val="auto"/>
        </w:rPr>
      </w:pPr>
    </w:p>
    <w:p>
      <w:pPr>
        <w:ind w:left="1312" w:hanging="543"/>
        <w:spacing w:after="0"/>
        <w:tabs>
          <w:tab w:leader="none" w:pos="13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with respect to which this Warrant is then being exercised.</w:t>
      </w:r>
    </w:p>
    <w:p>
      <w:pPr>
        <w:spacing w:after="0" w:line="131" w:lineRule="exact"/>
        <w:rPr>
          <w:sz w:val="20"/>
          <w:szCs w:val="20"/>
          <w:color w:val="auto"/>
        </w:rPr>
      </w:pPr>
    </w:p>
    <w:p>
      <w:pPr>
        <w:ind w:left="1312" w:right="440" w:hanging="543"/>
        <w:spacing w:after="0" w:line="282" w:lineRule="auto"/>
        <w:tabs>
          <w:tab w:leader="none" w:pos="131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Weighted Average Price of the shares of Common Stock on the date immediately preceding the date of the Notice of Exercise.</w:t>
      </w:r>
    </w:p>
    <w:p>
      <w:pPr>
        <w:spacing w:after="0" w:line="67" w:lineRule="exact"/>
        <w:rPr>
          <w:sz w:val="20"/>
          <w:szCs w:val="20"/>
          <w:color w:val="auto"/>
        </w:rPr>
      </w:pPr>
    </w:p>
    <w:p>
      <w:pPr>
        <w:ind w:left="1312" w:hanging="543"/>
        <w:spacing w:after="0"/>
        <w:tabs>
          <w:tab w:leader="none" w:pos="13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then in effect for the applicable Warrant Shares at the time of such exercise.</w:t>
      </w:r>
    </w:p>
    <w:p>
      <w:pPr>
        <w:spacing w:after="0" w:line="131" w:lineRule="exact"/>
        <w:rPr>
          <w:sz w:val="20"/>
          <w:szCs w:val="20"/>
          <w:color w:val="auto"/>
        </w:rPr>
      </w:pPr>
    </w:p>
    <w:tbl>
      <w:tblPr>
        <w:tblLayout w:type="fixed"/>
        <w:tblInd w:w="772"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9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event that a registration statement registering the issuance of the Warrant Shares is, for any reason, not effective at the time</w:t>
            </w:r>
          </w:p>
        </w:tc>
      </w:tr>
      <w:tr>
        <w:trPr>
          <w:trHeight w:val="194"/>
        </w:trPr>
        <w:tc>
          <w:tcPr>
            <w:tcW w:w="340" w:type="dxa"/>
            <w:vAlign w:val="bottom"/>
          </w:tcPr>
          <w:p>
            <w:pPr>
              <w:spacing w:after="0"/>
              <w:rPr>
                <w:sz w:val="16"/>
                <w:szCs w:val="16"/>
                <w:color w:val="auto"/>
              </w:rPr>
            </w:pPr>
          </w:p>
        </w:tc>
        <w:tc>
          <w:tcPr>
            <w:tcW w:w="938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auto"/>
                <w:w w:val="99"/>
              </w:rPr>
              <w:t>of exercise of this Warrant, then the Warrant may only be exercised through a cashless exercise, as set forth in this Section 3. In</w:t>
            </w:r>
          </w:p>
        </w:tc>
      </w:tr>
      <w:tr>
        <w:trPr>
          <w:trHeight w:val="237"/>
        </w:trPr>
        <w:tc>
          <w:tcPr>
            <w:tcW w:w="340" w:type="dxa"/>
            <w:vAlign w:val="bottom"/>
          </w:tcPr>
          <w:p>
            <w:pPr>
              <w:spacing w:after="0"/>
              <w:rPr>
                <w:sz w:val="20"/>
                <w:szCs w:val="20"/>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event will the exercise of this Warrant be settled in cash.</w:t>
            </w:r>
          </w:p>
        </w:tc>
        <w:tc>
          <w:tcPr>
            <w:tcW w:w="6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846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552"/>
          </w:cols>
          <w:pgMar w:left="868" w:top="270" w:right="479" w:bottom="1440" w:gutter="0" w:footer="0" w:header="0"/>
        </w:sectPr>
      </w:pPr>
    </w:p>
    <w:bookmarkStart w:id="55" w:name="page56"/>
    <w:bookmarkEnd w:id="55"/>
    <w:p>
      <w:pPr>
        <w:spacing w:after="0" w:line="24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Exercise Limitations.</w:t>
      </w:r>
      <w:r>
        <w:rPr>
          <w:rFonts w:ascii="Times New Roman" w:cs="Times New Roman" w:eastAsia="Times New Roman" w:hAnsi="Times New Roman"/>
          <w:sz w:val="18"/>
          <w:szCs w:val="18"/>
          <w:color w:val="auto"/>
        </w:rPr>
        <w:t xml:space="preserve"> The Company shall not effect any exercise of this Warrant, and the Holder shall not have the right to exercise any portion of this Warrant,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otherwise, to the extent that after giving effect to such issuance after exercise as set forth on the applicable Notice of Exercise, the Holder (or any of such Holder’s Affiliates or any other Person who would be a beneficial owner of Common Stock beneficially owned by the Holder for purposes of Section 13(d) or Section 16 of the Exchange Act and the applicable rules and regulations of the United States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including any “group” of which the Holder is a member (the foregoing, “</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color w:val="auto"/>
        </w:rPr>
        <w:t xml:space="preserve">” shall be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In the event that the issuance of Common Stock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xml:space="preserve">”) shall be deemed null and void and shall be cancelled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of the Excess Shares and the Holder shall return the Excess</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56" w:name="page57"/>
    <w:bookmarkEnd w:id="56"/>
    <w:p>
      <w:pPr>
        <w:ind w:lef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 to the Company.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85" w:lineRule="exact"/>
        <w:rPr>
          <w:sz w:val="20"/>
          <w:szCs w:val="20"/>
          <w:color w:val="auto"/>
        </w:rPr>
      </w:pPr>
    </w:p>
    <w:p>
      <w:pPr>
        <w:ind w:left="960" w:right="20" w:hanging="532"/>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any section herein, the Company agrees to comply with any applicable rules of the Trading Market with respect to the issuance of the Warrant Shares to the Holder and to take any action required by such rules to issue such Warrant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20" w:hanging="532"/>
        <w:spacing w:after="0" w:line="254"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Combination of Common Stock.</w:t>
      </w:r>
      <w:r>
        <w:rPr>
          <w:rFonts w:ascii="Times New Roman" w:cs="Times New Roman" w:eastAsia="Times New Roman" w:hAnsi="Times New Roman"/>
          <w:sz w:val="18"/>
          <w:szCs w:val="18"/>
          <w:color w:val="auto"/>
        </w:rPr>
        <w:t xml:space="preserve"> During such time as this Warrant is outstanding, if the Company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During such time as this Warrant is outstanding, if the Company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become effective at the close of business on the date the subdivision or combination becomes effective.</w:t>
      </w:r>
    </w:p>
    <w:p>
      <w:pPr>
        <w:spacing w:after="0" w:line="97"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if during such time as this Warrant is outstanding the Company grants, issues or sells any rights to purchase stock, warrants, securities or other property, in each case pro rata to the record holders of any class of shares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together with any Affiliates and Attribution Parties collectively beneficially owning in excess of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together with any Affiliates and Attribution Parties exceeding the Beneficial Ownership Limitation.</w:t>
      </w:r>
    </w:p>
    <w:p>
      <w:pPr>
        <w:spacing w:after="0" w:line="92" w:lineRule="exact"/>
        <w:rPr>
          <w:rFonts w:ascii="Times New Roman" w:cs="Times New Roman" w:eastAsia="Times New Roman" w:hAnsi="Times New Roman"/>
          <w:sz w:val="18"/>
          <w:szCs w:val="18"/>
          <w:color w:val="auto"/>
        </w:rPr>
      </w:pPr>
    </w:p>
    <w:p>
      <w:pPr>
        <w:ind w:left="960" w:right="120" w:hanging="532"/>
        <w:spacing w:after="0" w:line="258"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During such time as this Warrant is outstanding, if the Company shall declare or make any dividend or other distribution of its assets (or rights to acquire its assets) to holders of any class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as a result of a stock dividend covered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in each such case, the Holder shall be entitled to participate in such</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57" w:name="page58"/>
    <w:bookmarkEnd w:id="57"/>
    <w:p>
      <w:pPr>
        <w:ind w:left="5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to the same extent that the Holder would have participated therein if the Holder had held the number of shares of Common Stock acquirable upon complete exercise of this Warrant (without regard to any limitations on exercise hereof)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together with any Affiliates and Attribution Parties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either its right thereto would not result in the Holder together with any Affiliates and Attribution Parties exceeding the Beneficial Ownership Limitation.</w:t>
      </w:r>
    </w:p>
    <w:p>
      <w:pPr>
        <w:spacing w:after="0" w:line="94" w:lineRule="exact"/>
        <w:rPr>
          <w:sz w:val="20"/>
          <w:szCs w:val="20"/>
          <w:color w:val="auto"/>
        </w:rPr>
      </w:pPr>
    </w:p>
    <w:p>
      <w:pPr>
        <w:jc w:val="both"/>
        <w:ind w:left="540" w:right="180" w:hanging="532"/>
        <w:spacing w:after="0" w:line="272" w:lineRule="auto"/>
        <w:tabs>
          <w:tab w:leader="none" w:pos="5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xml:space="preserve">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w:t>
      </w:r>
    </w:p>
    <w:p>
      <w:pPr>
        <w:spacing w:after="0" w:line="1" w:lineRule="exact"/>
        <w:rPr>
          <w:rFonts w:ascii="Times New Roman" w:cs="Times New Roman" w:eastAsia="Times New Roman" w:hAnsi="Times New Roman"/>
          <w:sz w:val="17"/>
          <w:szCs w:val="17"/>
          <w:color w:val="auto"/>
        </w:rPr>
      </w:pP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50% of the voting power of the surviving entity immediately after such merger or consolidation, (ii) the Company, directly or indirectly, effects any sale, lease, license, assignment, transfer, conveyance or other disposition to another Person of all or substantially all of its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 (iii) any direct or indirect purchase offer, tender offer or exchange offer (whether by the Company or another Person) is completed pursuant to which holders of capital stock who tender shares representing more than 50% of the voting power of the capital stock of the Company and the Company or such other Person, as applicable, accepts such tender for payment, (iv) the Company, directly or indirectly, in one or more related transactions,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i w:val="1"/>
          <w:i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then following such Fundamental Transaction the Holder shall receive the same amount and kind of securities, cash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w:t>
      </w:r>
    </w:p>
    <w:p>
      <w:pPr>
        <w:spacing w:after="0" w:line="1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70" w:right="459" w:bottom="1440" w:gutter="0" w:footer="0" w:header="0"/>
        </w:sectPr>
      </w:pPr>
    </w:p>
    <w:bookmarkStart w:id="58" w:name="page59"/>
    <w:bookmarkEnd w:id="58"/>
    <w:p>
      <w:pPr>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 Fundamental Transaction, then the Holder shall be given the same choice as to the Alternate Consideration it receives upon any exercise of this Warrant following such Fundamental Transaction. Any such payment of such amount of such Alternate Consideration shall be made in the same form of consideration (whether securities, cash or property) as is given to the holders of Common Stock in such Fundamental Transaction, and if multiple forms of consideration are given, the consideration shall be paid to the Holder in the same proportion as such consideration is paid to the holders of Common Stock.</w:t>
      </w:r>
    </w:p>
    <w:p>
      <w:pPr>
        <w:spacing w:after="0" w:line="89" w:lineRule="exact"/>
        <w:rPr>
          <w:sz w:val="20"/>
          <w:szCs w:val="20"/>
          <w:color w:val="auto"/>
        </w:rPr>
      </w:pPr>
    </w:p>
    <w:p>
      <w:pPr>
        <w:ind w:left="960" w:right="240" w:hanging="532"/>
        <w:spacing w:after="0" w:line="26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made to the nearest cent or the nearest whole share, as the case may be. For purposes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any calculation of the number of shares of Common Stock deemed to be issued and outstanding as of a given date shall not include treasury shares, if any.</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xml:space="preserve"> Subject to compliance with all applicable securities laws, the Company shall, or will cause its transfer agent to, register the transfer of all or any portion of this Warrant in the Warrant Register, upon surrender of this Warrant, together with a written assignment of this Warrant substantially in the form annexed hereto duly executed by the Holder, and payment for all applicable transfer taxes (if any) by the Holder.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20" w:hanging="532"/>
        <w:spacing w:after="0" w:line="258"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xml:space="preserve"> Except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88"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xml:space="preserve"> The Company covenants that upon receipt by the Company of evidence reasonably satisfactory to them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88"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9" w:name="page60"/>
    <w:bookmarkEnd w:id="59"/>
    <w:p>
      <w:pPr>
        <w:ind w:left="540" w:hanging="532"/>
        <w:spacing w:after="0" w:line="25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Shares.</w:t>
      </w:r>
      <w:r>
        <w:rPr>
          <w:rFonts w:ascii="Times New Roman" w:cs="Times New Roman" w:eastAsia="Times New Roman" w:hAnsi="Times New Roman"/>
          <w:sz w:val="18"/>
          <w:szCs w:val="18"/>
          <w:color w:val="auto"/>
        </w:rPr>
        <w:t xml:space="preserve"> 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its reasonable best efforts to obtain all such authorizations, exemptions or consents from any public regulatory body having jurisdiction thereof, as may be, necessary to enable the Company to perform its obligations under this Warrant.</w:t>
      </w:r>
    </w:p>
    <w:p>
      <w:pPr>
        <w:spacing w:after="0" w:line="10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00" w:right="120" w:hanging="439"/>
        <w:spacing w:after="0" w:line="266"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81" w:lineRule="exact"/>
        <w:rPr>
          <w:rFonts w:ascii="Times New Roman" w:cs="Times New Roman" w:eastAsia="Times New Roman" w:hAnsi="Times New Roman"/>
          <w:sz w:val="18"/>
          <w:szCs w:val="18"/>
          <w:color w:val="auto"/>
        </w:rPr>
      </w:pPr>
    </w:p>
    <w:p>
      <w:pPr>
        <w:ind w:left="1000" w:hanging="439"/>
        <w:spacing w:after="0" w:line="254"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Holder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Warrant and the transactions contemplated herein, or for recognition or enforcement of any judgment, and each of the Company and the Holder irrevocably and unconditionally agrees that all claims in respect of any such action or proceeding may be heard and determined in such New York state court or, to the fullest extent permitted by applicable law, in such federal court. Each of the Company and the Holder hereto agrees that a final judgment in any such action or proceeding shall be conclusive and may be enforced in other jurisdictions by suit on the judgment or in any other manner provided by law.</w:t>
      </w:r>
    </w:p>
    <w:p>
      <w:pPr>
        <w:spacing w:after="0" w:line="97" w:lineRule="exact"/>
        <w:rPr>
          <w:rFonts w:ascii="Times New Roman" w:cs="Times New Roman" w:eastAsia="Times New Roman" w:hAnsi="Times New Roman"/>
          <w:sz w:val="18"/>
          <w:szCs w:val="18"/>
          <w:color w:val="auto"/>
        </w:rPr>
      </w:pPr>
    </w:p>
    <w:p>
      <w:pPr>
        <w:ind w:left="1000" w:right="160" w:hanging="439"/>
        <w:spacing w:after="0" w:line="258"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the Holder irrevocably and unconditionally waives, to the fullest extent permitted by applicable law, any objection that it may now or hereafter have to the laying of venue of any action or proceeding arising out of or relating to this Warrant and the transactions contemplated herein in any court referred to in </w:t>
      </w:r>
      <w:r>
        <w:rPr>
          <w:rFonts w:ascii="Times New Roman" w:cs="Times New Roman" w:eastAsia="Times New Roman" w:hAnsi="Times New Roman"/>
          <w:sz w:val="18"/>
          <w:szCs w:val="18"/>
          <w:u w:val="single" w:color="auto"/>
          <w:color w:val="auto"/>
        </w:rPr>
        <w:t>Section 6(e)(ii)</w:t>
      </w:r>
      <w:r>
        <w:rPr>
          <w:rFonts w:ascii="Times New Roman" w:cs="Times New Roman" w:eastAsia="Times New Roman" w:hAnsi="Times New Roman"/>
          <w:sz w:val="18"/>
          <w:szCs w:val="18"/>
          <w:color w:val="auto"/>
        </w:rPr>
        <w:t xml:space="preserve"> hereof. Each of the Company and the Holder hereby irrevocably waives, to the fullest extent permitted by applicable law, the defense of an inconvenient forum to the maintenance of such action or proceeding in any such court.</w:t>
      </w:r>
    </w:p>
    <w:p>
      <w:pPr>
        <w:spacing w:after="0" w:line="88" w:lineRule="exact"/>
        <w:rPr>
          <w:rFonts w:ascii="Times New Roman" w:cs="Times New Roman" w:eastAsia="Times New Roman" w:hAnsi="Times New Roman"/>
          <w:sz w:val="18"/>
          <w:szCs w:val="18"/>
          <w:color w:val="auto"/>
        </w:rPr>
      </w:pPr>
    </w:p>
    <w:p>
      <w:pPr>
        <w:ind w:left="1000" w:right="160" w:hanging="439"/>
        <w:spacing w:after="0" w:line="258" w:lineRule="auto"/>
        <w:tabs>
          <w:tab w:leader="none" w:pos="10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HOLDER HEREBY IRREVOCABLY WAIVES, TO THE FULLEST EXTENT PERMITTED BY APPLICABLE LAW, ANY RIGHT IT MAY HAVE TO A TRIAL BY JURY IN ANY LEGAL PROCEEDING DIRECTLY OR INDIRECTLY ARISING OUT OF OR RELATING TO THIS WARRANT OR THE TRANSACTIONS CONTEMPLATED HEREBY (WHETHER BASED ON CONTRACT, TORT OR ANY OTHER THEORY). EACH OF THE COMPANY AND THE HOLDER (A)</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60" w:top="270" w:right="459" w:bottom="1440" w:gutter="0" w:footer="0" w:header="0"/>
        </w:sectPr>
      </w:pPr>
    </w:p>
    <w:bookmarkStart w:id="60" w:name="page61"/>
    <w:bookmarkEnd w:id="60"/>
    <w:p>
      <w:pPr>
        <w:ind w:left="100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CERTIFIES THAT NO REPRESENTATIVE, AGENT OR ATTORNEY OF ANY OTHER PERSON HAS REPRESENTED, EXPRESSLY OR OTHERWISE, THAT SUCH OTHER PERSON WOULD NOT, IN THE EVENT OF LITIGATION, SEEK TO ENFORCE THE FOREGOING WAIVER AND (B) ACKNOWLEDGES THAT EACH OF THE COMPANY AND THE HOLDER HAS BEEN INDUCED TO ENTER INTO THIS WARRANT BY, AMONG OTHER THINGS, THE MUTUAL WAIVERS AND CERTIFICATIONS IN THIS SECTION.</w:t>
      </w:r>
    </w:p>
    <w:p>
      <w:pPr>
        <w:spacing w:after="0" w:line="89" w:lineRule="exact"/>
        <w:rPr>
          <w:sz w:val="20"/>
          <w:szCs w:val="20"/>
          <w:color w:val="auto"/>
        </w:rPr>
      </w:pPr>
    </w:p>
    <w:p>
      <w:pPr>
        <w:ind w:left="540" w:hanging="532"/>
        <w:spacing w:after="0" w:line="25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xml:space="preserve"> No course of dealing or any delay or failure to exercise any right hereunder on the part of the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9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130" w:lineRule="exact"/>
        <w:rPr>
          <w:rFonts w:ascii="Times New Roman" w:cs="Times New Roman" w:eastAsia="Times New Roman" w:hAnsi="Times New Roman"/>
          <w:sz w:val="18"/>
          <w:szCs w:val="18"/>
          <w:color w:val="auto"/>
        </w:rPr>
      </w:pPr>
    </w:p>
    <w:p>
      <w:pPr>
        <w:ind w:left="1000" w:hanging="439"/>
        <w:spacing w:after="0" w:line="254" w:lineRule="auto"/>
        <w:tabs>
          <w:tab w:leader="none" w:pos="10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email or facsimile at or prior to 5:30 p.m. (New York City time) on a Trading Day, (b) the next Trading Day after the date of transmission, if such notice or communication is delivered via email or facsimile on a day that is not a Trading Day or later than 5:30 p.m. (New York City time) on any Trading Day, (c) the second Trading Day following the date of mailing, if sent by U.S. nationally recognized overnight courier service or by International Federal Express, (d) the third Trading Day following the date of mailing if sent by first-class registered or certified mail domestic, or (e) upon actual receipt by the party to whom such notice is required to be given. The addresses for such communications shall be:</w:t>
      </w:r>
    </w:p>
    <w:p>
      <w:pPr>
        <w:spacing w:after="0" w:line="19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10000 Avalon Boulevard</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STE #1000</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Alpharetta, GA 30009</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Attention: Marc D’Annunzio</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Attention: Jared Fishman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Matt Goodman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Mario Schollmeyer</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60" w:top="270" w:right="479" w:bottom="1440" w:gutter="0" w:footer="0" w:header="0"/>
        </w:sectPr>
      </w:pPr>
    </w:p>
    <w:bookmarkStart w:id="61" w:name="page62"/>
    <w:bookmarkEnd w:id="61"/>
    <w:p>
      <w:pPr>
        <w:ind w:left="1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Holder:</w:t>
      </w:r>
    </w:p>
    <w:p>
      <w:pPr>
        <w:spacing w:after="0" w:line="117" w:lineRule="exact"/>
        <w:rPr>
          <w:sz w:val="20"/>
          <w:szCs w:val="20"/>
          <w:color w:val="auto"/>
        </w:rPr>
      </w:pPr>
    </w:p>
    <w:p>
      <w:pPr>
        <w:ind w:left="2000" w:right="280"/>
        <w:spacing w:after="0" w:line="282" w:lineRule="auto"/>
        <w:rPr>
          <w:sz w:val="20"/>
          <w:szCs w:val="20"/>
          <w:color w:val="auto"/>
        </w:rPr>
      </w:pPr>
      <w:r>
        <w:rPr>
          <w:rFonts w:ascii="Times New Roman" w:cs="Times New Roman" w:eastAsia="Times New Roman" w:hAnsi="Times New Roman"/>
          <w:sz w:val="18"/>
          <w:szCs w:val="18"/>
          <w:color w:val="auto"/>
        </w:rPr>
        <w:t xml:space="preserve">To the address, email address or facsimile number set forth in the Warrant Register, or as otherwise provided by the Holder to the Company in accordance with this </w:t>
      </w:r>
      <w:r>
        <w:rPr>
          <w:rFonts w:ascii="Times New Roman" w:cs="Times New Roman" w:eastAsia="Times New Roman" w:hAnsi="Times New Roman"/>
          <w:sz w:val="18"/>
          <w:szCs w:val="18"/>
          <w:u w:val="single" w:color="auto"/>
          <w:color w:val="auto"/>
        </w:rPr>
        <w:t>Section 6(g)(i)</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000" w:right="180" w:hanging="439"/>
        <w:spacing w:after="0" w:line="261" w:lineRule="auto"/>
        <w:tabs>
          <w:tab w:leader="none" w:pos="10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Whenever the Exercise Price or number of Warrant Shares is adjusted pursuant to any provision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Company shall promptly provide the Holder a notice setting forth the Company’s good faith adjustment of the Exercise Price and number of Warrant Shares after such adjustment and setting forth a description of the transactions giving rise to such adjustments and a detailed statement of the facts upon which such adjustment is based.</w:t>
      </w:r>
    </w:p>
    <w:p>
      <w:pPr>
        <w:spacing w:after="0" w:line="85" w:lineRule="exact"/>
        <w:rPr>
          <w:rFonts w:ascii="Times New Roman" w:cs="Times New Roman" w:eastAsia="Times New Roman" w:hAnsi="Times New Roman"/>
          <w:sz w:val="18"/>
          <w:szCs w:val="18"/>
          <w:color w:val="auto"/>
        </w:rPr>
      </w:pPr>
    </w:p>
    <w:p>
      <w:pPr>
        <w:ind w:left="1000" w:hanging="439"/>
        <w:spacing w:after="0" w:line="267" w:lineRule="auto"/>
        <w:tabs>
          <w:tab w:leader="none" w:pos="100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the Holder.</w:t>
      </w:r>
      <w:r>
        <w:rPr>
          <w:rFonts w:ascii="Times New Roman" w:cs="Times New Roman" w:eastAsia="Times New Roman" w:hAnsi="Times New Roman"/>
          <w:sz w:val="17"/>
          <w:szCs w:val="17"/>
          <w:color w:val="auto"/>
        </w:rPr>
        <w:t xml:space="preserve"> After the Issue Date, if (A) the Company shall declare a dividend (or any other distribution in whatever form) on the Common Stock, including any Distribution,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including any Purchase Right,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including any Fundamental Transaction, or (E) the Company shall authorize the voluntary or involuntary dissolution, liquidation or winding up of the affairs of the Company, then, in each case, the Company shall cause to be mailed to the Holder at its last address as it shall appear upon the Warrant Register, at least ten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310" w:lineRule="exact"/>
        <w:rPr>
          <w:rFonts w:ascii="Times New Roman" w:cs="Times New Roman" w:eastAsia="Times New Roman" w:hAnsi="Times New Roman"/>
          <w:sz w:val="17"/>
          <w:szCs w:val="17"/>
          <w:color w:val="auto"/>
        </w:rPr>
      </w:pPr>
    </w:p>
    <w:p>
      <w:pPr>
        <w:ind w:left="540" w:right="300" w:hanging="532"/>
        <w:spacing w:after="0" w:line="261"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85" w:lineRule="exact"/>
        <w:rPr>
          <w:rFonts w:ascii="Times New Roman" w:cs="Times New Roman" w:eastAsia="Times New Roman" w:hAnsi="Times New Roman"/>
          <w:sz w:val="18"/>
          <w:szCs w:val="18"/>
          <w:color w:val="auto"/>
        </w:rPr>
      </w:pPr>
    </w:p>
    <w:p>
      <w:pPr>
        <w:ind w:left="540" w:right="60" w:hanging="532"/>
        <w:spacing w:after="0" w:line="25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Without limiting any rights of a Holder to receive Warrant Shares on a “cashless exercise”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herein, in no event shall the Company be required to net cash settle an exercise of this Warrant.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60" w:top="270" w:right="459" w:bottom="1440" w:gutter="0" w:footer="0" w:header="0"/>
        </w:sectPr>
      </w:pPr>
    </w:p>
    <w:bookmarkStart w:id="62" w:name="page63"/>
    <w:bookmarkEnd w:id="62"/>
    <w:p>
      <w:pPr>
        <w:ind w:left="540" w:right="160" w:hanging="532"/>
        <w:spacing w:after="0" w:line="261"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xml:space="preserve">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spacing w:after="0" w:line="85"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Warrant may be modified or amended or the provisions hereof waived with the written consent of the Company and the Holder.</w:t>
      </w:r>
    </w:p>
    <w:p>
      <w:pPr>
        <w:spacing w:after="0" w:line="67"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85"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used in this Warrant are for the convenience of reference only and shall not, for any purpose, be deemed a part of this Warrant.</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60" w:top="270" w:right="479" w:bottom="1440" w:gutter="0" w:footer="0" w:header="0"/>
        </w:sectPr>
      </w:pPr>
    </w:p>
    <w:bookmarkStart w:id="63" w:name="page64"/>
    <w:bookmarkEnd w:id="6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Warrant to be executed by its officer thereunto duly authorized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indicated.</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[Signature Page to Pre-Funded Warrant]</w:t>
      </w:r>
    </w:p>
    <w:p>
      <w:pPr>
        <w:sectPr>
          <w:pgSz w:w="11900" w:h="16838" w:orient="portrait"/>
          <w:cols w:equalWidth="0" w:num="1">
            <w:col w:w="10560"/>
          </w:cols>
          <w:pgMar w:left="440" w:top="266" w:right="899" w:bottom="1440" w:gutter="0" w:footer="0" w:header="0"/>
        </w:sectPr>
      </w:pPr>
    </w:p>
    <w:bookmarkStart w:id="64" w:name="page65"/>
    <w:bookmarkEnd w:id="64"/>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Bakkt Holdings, Inc.</w:t>
      </w:r>
    </w:p>
    <w:p>
      <w:pPr>
        <w:spacing w:after="0" w:line="131" w:lineRule="exact"/>
        <w:rPr>
          <w:sz w:val="20"/>
          <w:szCs w:val="20"/>
          <w:color w:val="auto"/>
        </w:rPr>
      </w:pPr>
    </w:p>
    <w:p>
      <w:pPr>
        <w:ind w:left="544" w:hanging="544"/>
        <w:spacing w:after="0" w:line="282" w:lineRule="auto"/>
        <w:tabs>
          <w:tab w:leader="none" w:pos="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of Warrant No. hereby elects to purchase Warrant Shares of the Company pursuant to the terms of the attached Warrant (only if exercised in full), and tenders herewith payment of the exercise price in full, together with all applicable transfer taxes, if any.</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 lawful money of the United States; or</w:t>
      </w:r>
    </w:p>
    <w:p>
      <w:pPr>
        <w:spacing w:after="0" w:line="130" w:lineRule="exact"/>
        <w:rPr>
          <w:rFonts w:ascii="MS PGothic" w:cs="MS PGothic" w:eastAsia="MS PGothic" w:hAnsi="MS PGothic"/>
          <w:sz w:val="18"/>
          <w:szCs w:val="18"/>
          <w:color w:val="auto"/>
        </w:rPr>
      </w:pPr>
    </w:p>
    <w:p>
      <w:pPr>
        <w:ind w:left="1184" w:right="280" w:hanging="644"/>
        <w:spacing w:after="0" w:line="266" w:lineRule="auto"/>
        <w:tabs>
          <w:tab w:leader="none" w:pos="1184" w:val="left"/>
        </w:tabs>
        <w:numPr>
          <w:ilvl w:val="1"/>
          <w:numId w:val="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Cashless Exercise: the cancellation of such number of Warrant Shares as is necessary, in accordance with the formula set forth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to exercise this Warrant with respect to the maximum number of Warrant Shares purchasable pursuant to the cashless exercise procedure set forth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81" w:lineRule="exact"/>
        <w:rPr>
          <w:rFonts w:ascii="MS PGothic" w:cs="MS PGothic" w:eastAsia="MS PGothic" w:hAnsi="MS PGothic"/>
          <w:sz w:val="18"/>
          <w:szCs w:val="18"/>
          <w:color w:val="auto"/>
        </w:rPr>
      </w:pPr>
    </w:p>
    <w:p>
      <w:pPr>
        <w:ind w:left="544" w:hanging="544"/>
        <w:spacing w:after="0"/>
        <w:tabs>
          <w:tab w:leader="none" w:pos="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delivery by book entry on the transfer accounts records to:</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Holder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0864"/>
          </w:cols>
          <w:pgMar w:left="436" w:top="266" w:right="599" w:bottom="1440" w:gutter="0" w:footer="0" w:header="0"/>
        </w:sectPr>
      </w:pPr>
    </w:p>
    <w:bookmarkStart w:id="65" w:name="page66"/>
    <w:bookmarkEnd w:id="65"/>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 ] all of or [ ] shares of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ectPr>
          <w:pgSz w:w="11900" w:h="16838" w:orient="portrait"/>
          <w:cols w:equalWidth="0" w:num="1">
            <w:col w:w="10100"/>
          </w:cols>
          <w:pgMar w:left="440" w:top="266" w:right="135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380365</wp:posOffset>
            </wp:positionV>
            <wp:extent cx="266573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2665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TELEPHONE: 1-212-558-4000</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FACSIMILE: 1-212-558-3588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125 Broad Street</w:t>
      </w:r>
    </w:p>
    <w:p>
      <w:pPr>
        <w:spacing w:after="0" w:line="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New York, New York 10004-2498</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-19050</wp:posOffset>
            </wp:positionV>
            <wp:extent cx="571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2" w:lineRule="exact"/>
        <w:rPr>
          <w:sz w:val="20"/>
          <w:szCs w:val="20"/>
          <w:color w:val="auto"/>
        </w:rPr>
      </w:pPr>
    </w:p>
    <w:p>
      <w:pPr>
        <w:jc w:val="center"/>
        <w:ind w:right="620"/>
        <w:spacing w:after="0" w:line="401" w:lineRule="auto"/>
        <w:rPr>
          <w:sz w:val="20"/>
          <w:szCs w:val="20"/>
          <w:color w:val="auto"/>
        </w:rPr>
      </w:pPr>
      <w:r>
        <w:rPr>
          <w:rFonts w:ascii="Times New Roman" w:cs="Times New Roman" w:eastAsia="Times New Roman" w:hAnsi="Times New Roman"/>
          <w:sz w:val="18"/>
          <w:szCs w:val="18"/>
          <w:color w:val="auto"/>
        </w:rPr>
        <w:t>LOS ANGELES • PALO ALTO • WASHINGTON, D.C. BRUSSELS • FRANKFURT • LONDON • PARIS BEIJING • HONG KONG • TOKYO MELBOURNE • SYDNEY</w:t>
      </w:r>
    </w:p>
    <w:p>
      <w:pPr>
        <w:spacing w:after="0" w:line="7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 xml:space="preserve">July 30, 2025                               </w:t>
      </w:r>
    </w:p>
    <w:p>
      <w:pPr>
        <w:spacing w:after="0" w:line="1495" w:lineRule="exact"/>
        <w:rPr>
          <w:sz w:val="20"/>
          <w:szCs w:val="20"/>
          <w:color w:val="auto"/>
        </w:rPr>
      </w:pPr>
    </w:p>
    <w:p>
      <w:pPr>
        <w:sectPr>
          <w:pgSz w:w="11900" w:h="16838" w:orient="portrait"/>
          <w:cols w:equalWidth="0" w:num="2">
            <w:col w:w="5620" w:space="720"/>
            <w:col w:w="4680"/>
          </w:cols>
          <w:pgMar w:left="440" w:top="117" w:right="439" w:bottom="1440" w:gutter="0" w:footer="0" w:header="0"/>
        </w:sectPr>
      </w:pPr>
    </w:p>
    <w:p>
      <w:pPr>
        <w:spacing w:after="0" w:line="25" w:lineRule="exact"/>
        <w:rPr>
          <w:sz w:val="20"/>
          <w:szCs w:val="20"/>
          <w:color w:val="auto"/>
        </w:rPr>
      </w:pPr>
    </w:p>
    <w:p>
      <w:pPr>
        <w:ind w:right="20" w:firstLine="1432"/>
        <w:spacing w:after="0" w:line="256"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(i) 6,753,627 shares (the “Shares”) of Class A common stock, par value $0.0001 per share (the “Common Stock”), of Bakkt Holdings, Inc., a Delaware corporation (the “Company”), (ii) 746,373 pre-funded warrants of the Company to purchase Common Stock (the “Warrants”), and (iii) 746,373 shares of Common Stock issuable upon the exercise of the Warrants (the “Warrant Shares” and together with the Shares and the Warrants, the “Securities”), we, as your counsel, have examined such corporate records, certificates and other documents, and such questions of law, as we have considered necessary or appropriate for the purposes of this opinion. Upon the basis of such examination, it is our opinion that:</w:t>
      </w:r>
    </w:p>
    <w:p>
      <w:pPr>
        <w:spacing w:after="0" w:line="79" w:lineRule="exact"/>
        <w:rPr>
          <w:sz w:val="20"/>
          <w:szCs w:val="20"/>
          <w:color w:val="auto"/>
        </w:rPr>
      </w:pPr>
    </w:p>
    <w:p>
      <w:pPr>
        <w:ind w:left="1680" w:hanging="252"/>
        <w:spacing w:after="0"/>
        <w:tabs>
          <w:tab w:leader="none" w:pos="1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validly issued and are fully paid and nonassessable.</w:t>
      </w:r>
    </w:p>
    <w:p>
      <w:pPr>
        <w:spacing w:after="0" w:line="117" w:lineRule="exact"/>
        <w:rPr>
          <w:rFonts w:ascii="Times New Roman" w:cs="Times New Roman" w:eastAsia="Times New Roman" w:hAnsi="Times New Roman"/>
          <w:sz w:val="18"/>
          <w:szCs w:val="18"/>
          <w:color w:val="auto"/>
        </w:rPr>
      </w:pPr>
    </w:p>
    <w:p>
      <w:pPr>
        <w:ind w:right="280" w:firstLine="1428"/>
        <w:spacing w:after="0" w:line="312" w:lineRule="auto"/>
        <w:tabs>
          <w:tab w:leader="none" w:pos="168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Warrants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31" w:lineRule="exact"/>
        <w:rPr>
          <w:rFonts w:ascii="Times New Roman" w:cs="Times New Roman" w:eastAsia="Times New Roman" w:hAnsi="Times New Roman"/>
          <w:sz w:val="17"/>
          <w:szCs w:val="17"/>
          <w:color w:val="auto"/>
        </w:rPr>
      </w:pPr>
    </w:p>
    <w:p>
      <w:pPr>
        <w:ind w:right="200" w:firstLine="1428"/>
        <w:spacing w:after="0" w:line="282" w:lineRule="auto"/>
        <w:tabs>
          <w:tab w:leader="none" w:pos="16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Warrant Shares have been duly issued and paid for upon the exercise of the Warrants in accordance with the terms of the Warrants, the Warrant Shares will be validly issued, fully paid and nonassessable.</w:t>
      </w:r>
    </w:p>
    <w:p>
      <w:pPr>
        <w:spacing w:after="0" w:line="162" w:lineRule="exact"/>
        <w:rPr>
          <w:sz w:val="20"/>
          <w:szCs w:val="20"/>
          <w:color w:val="auto"/>
        </w:rPr>
      </w:pPr>
    </w:p>
    <w:p>
      <w:pPr>
        <w:ind w:right="380" w:firstLine="1432"/>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ectPr>
          <w:pgSz w:w="11900" w:h="16838" w:orient="portrait"/>
          <w:cols w:equalWidth="0" w:num="1">
            <w:col w:w="11020"/>
          </w:cols>
          <w:pgMar w:left="440" w:top="117" w:right="4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4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60" w:firstLine="1432"/>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the laws of the State of New York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2" w:lineRule="exact"/>
        <w:rPr>
          <w:sz w:val="20"/>
          <w:szCs w:val="20"/>
          <w:color w:val="auto"/>
        </w:rPr>
      </w:pPr>
    </w:p>
    <w:p>
      <w:pPr>
        <w:ind w:right="200" w:firstLine="1432"/>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us under the heading “Validity of Securities” in the Prospectus Supplement relating to the Securities, dated July 28, 2025 In giving such consent, we do not thereby admit that we are in the category of persons whose consent is required under Section 7 of the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20"/>
          </w:cols>
          <w:pgMar w:left="440" w:top="265" w:right="4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173990</wp:posOffset>
            </wp:positionV>
            <wp:extent cx="925830" cy="420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258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Announces Proposed Public Offering</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ALPHARETTA, GA – July 28, 2025 </w:t>
      </w:r>
      <w:r>
        <w:rPr>
          <w:rFonts w:ascii="Times New Roman" w:cs="Times New Roman" w:eastAsia="Times New Roman" w:hAnsi="Times New Roman"/>
          <w:sz w:val="18"/>
          <w:szCs w:val="18"/>
          <w:color w:val="auto"/>
        </w:rPr>
        <w:t>– Bakkt Holdings, Inc. (“Bakkt” or the “Company”) (NYSE: BKKT) today announced its intention to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Class A common stock and/or pre-funded warrants in lieu thereof through an underwritten public offering. The Company expects to grant the underwriters a 30-day option to purchase up to an additional 15% of the number of shares of Class A common stock and/or pre-funded warrants sold in this offering to cover over-allotments, if any. All of the shares of Class A common stock and/or pre-funded warrants are being offered by the Company. The completion of the offering remains subject to market conditions, with no assurance regarding its timing, size, or terms. Bakkt intends to use the net proceeds from the offering to purchase Bitcoin and other digital assets in accordance with its investment policy, for working capital and for general corporate purposes.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Clear Street LLC and Cohen &amp; Company Capital Markets, a division of Cohen &amp; Company Securities, LLC, are acting as joint book-running managers of the offering.</w:t>
      </w:r>
    </w:p>
    <w:p>
      <w:pPr>
        <w:spacing w:after="0" w:line="16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The offering is being made pursuant to a shelf registration statement on Form S-3 (File No. 333-288361) declared effective by the Securities and Exchange Commission (the “SEC”) on July 3, 2025. A preliminary prospectus supplement relating to the offering will be filed with the SEC, together with an accompanying base prospectus. The securities may be offered only by means of a written prospectus forming a part of the effective registration statement. Copies of the preliminary prospectus supplement relating to the offering, together with the accompanying base prospectus, may be obtained, when available, from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from Clear Street LLC, Attention: Syndicate, 4 World Trade Center 150 Greenwich St Floor 45 New York, NY 10007, or by email at </w:t>
      </w:r>
      <w:r>
        <w:rPr>
          <w:rFonts w:ascii="Times New Roman" w:cs="Times New Roman" w:eastAsia="Times New Roman" w:hAnsi="Times New Roman"/>
          <w:sz w:val="18"/>
          <w:szCs w:val="18"/>
          <w:u w:val="single" w:color="auto"/>
          <w:color w:val="auto"/>
        </w:rPr>
        <w:t>syndicate@clearstreet.io</w:t>
      </w:r>
      <w:r>
        <w:rPr>
          <w:rFonts w:ascii="Times New Roman" w:cs="Times New Roman" w:eastAsia="Times New Roman" w:hAnsi="Times New Roman"/>
          <w:sz w:val="18"/>
          <w:szCs w:val="18"/>
          <w:color w:val="auto"/>
        </w:rPr>
        <w:t xml:space="preserve">, and from Cohen &amp; Company Capital Markets, Attention: Prospectus Department, 3 Columbus Cir, New York, NY 10019, or by email at </w:t>
      </w:r>
      <w:r>
        <w:rPr>
          <w:rFonts w:ascii="Times New Roman" w:cs="Times New Roman" w:eastAsia="Times New Roman" w:hAnsi="Times New Roman"/>
          <w:sz w:val="18"/>
          <w:szCs w:val="18"/>
          <w:u w:val="single" w:color="auto"/>
          <w:color w:val="auto"/>
        </w:rPr>
        <w:t>capitalmarkets@cohencm.com</w:t>
      </w:r>
      <w:r>
        <w:rPr>
          <w:rFonts w:ascii="Times New Roman" w:cs="Times New Roman" w:eastAsia="Times New Roman" w:hAnsi="Times New Roman"/>
          <w:sz w:val="18"/>
          <w:szCs w:val="18"/>
          <w:color w:val="auto"/>
        </w:rPr>
        <w:t>. Before investing in this offering, interested parties should read in their entirety the preliminary prospectus supplement and the accompanying base prospectus and the other documents that the Company has filed with the SEC that are incorporated by reference in such preliminary prospectus supplement and the accompanying base prospectus, which provide more information about the Company and the offering.</w:t>
      </w:r>
    </w:p>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Bakkt will not, and has been advised by the joint book-running managers that they and their affiliates will not, sell any of these securities in any state or other jurisdiction in which such offer, solicitation, or sale would be unlawful prior to the registration or qualification under the securities laws of any such state or jurisdiction.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Founded in 2018, Bakkt builds solutions that enable our clients to grow with the crypto economy. Through institutional-grade trading and onramp capabilities, our clients leverage technology that’s built for sustainable, long-term involvement in crypto.</w:t>
      </w:r>
    </w:p>
    <w:p>
      <w:pPr>
        <w:sectPr>
          <w:pgSz w:w="11900" w:h="16838" w:orient="portrait"/>
          <w:cols w:equalWidth="0" w:num="1">
            <w:col w:w="11020"/>
          </w:cols>
          <w:pgMar w:left="440" w:top="117"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Bakkt is headquartered in Alpharetta, GA. For more information, visit: </w:t>
      </w:r>
      <w:r>
        <w:rPr>
          <w:rFonts w:ascii="Times New Roman" w:cs="Times New Roman" w:eastAsia="Times New Roman" w:hAnsi="Times New Roman"/>
          <w:sz w:val="18"/>
          <w:szCs w:val="18"/>
          <w:u w:val="single" w:color="auto"/>
          <w:color w:val="auto"/>
        </w:rPr>
        <w:t>https://www.bakkt.com/</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@Bakkt | LinkedIn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IR@bakkt.com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bakkt@forefrontcomms.com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Bakkt Holdings,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U.S. Securities Act of 1933, as amended, and Section 21E of the U.S. Securities and Exchange Act of 1934, as amended. Such statements include, but are not limited to, statements regarding the offering.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its updated investment policy (“Investment Policy”) as described in the Company’s Current Report on Form 8-K, filed with the U.S. Securities and Exchange Commission (the “SEC”) on June 10, 2025 (the “June 10, 2025 8-K”);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w:t>
      </w:r>
    </w:p>
    <w:p>
      <w:pPr>
        <w:sectPr>
          <w:pgSz w:w="11900" w:h="16838" w:orient="portrait"/>
          <w:cols w:equalWidth="0" w:num="1">
            <w:col w:w="11000"/>
          </w:cols>
          <w:pgMar w:left="440" w:top="270" w:right="459" w:bottom="1440" w:gutter="0" w:footer="0" w:header="0"/>
        </w:sectPr>
      </w:pPr>
    </w:p>
    <w:bookmarkStart w:id="70" w:name="page71"/>
    <w:bookmarkEnd w:id="7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the Company’s future capital requirements and sources and uses of cash, including funds to satisfy its liquidity needs and continued access to the line of credit with Intercontinental Exchange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Investment Policy set forth in Exhibit 99.1 to the June 10, 2025 8-K.</w:t>
      </w:r>
    </w:p>
    <w:p>
      <w:pPr>
        <w:sectPr>
          <w:pgSz w:w="11900" w:h="16838" w:orient="portrait"/>
          <w:cols w:equalWidth="0" w:num="1">
            <w:col w:w="11000"/>
          </w:cols>
          <w:pgMar w:left="440" w:top="270" w:right="459" w:bottom="1440" w:gutter="0" w:footer="0" w:header="0"/>
        </w:sectPr>
      </w:pPr>
    </w:p>
    <w:bookmarkStart w:id="71" w:name="page72"/>
    <w:bookmarkEnd w:id="7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are cautioned not to place undue reliance on such forward-looking statements. Such forward-looking statements relate only to events as of the date on which such statements are made and are based on information available to us as of the date of this release.</w:t>
      </w:r>
    </w:p>
    <w:p>
      <w:pPr>
        <w:sectPr>
          <w:pgSz w:w="11900" w:h="16838" w:orient="portrait"/>
          <w:cols w:equalWidth="0" w:num="1">
            <w:col w:w="10880"/>
          </w:cols>
          <w:pgMar w:left="440" w:top="270" w:right="57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173990</wp:posOffset>
            </wp:positionV>
            <wp:extent cx="925830" cy="420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258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Announces Pricing of $75 Million Public Offering</w:t>
      </w:r>
    </w:p>
    <w:p>
      <w:pPr>
        <w:spacing w:after="0" w:line="22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ALPHARETTA, GA – July 28, 2025 </w:t>
      </w:r>
      <w:r>
        <w:rPr>
          <w:rFonts w:ascii="Times New Roman" w:cs="Times New Roman" w:eastAsia="Times New Roman" w:hAnsi="Times New Roman"/>
          <w:sz w:val="18"/>
          <w:szCs w:val="18"/>
          <w:color w:val="auto"/>
        </w:rPr>
        <w:t>– Bakkt Holdings, Inc. (“Bakkt” or the “Company”) (NYSE: BKKT) today announced the pricing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announced underwritten public offering of 6,753,627 shares of Class A common stock and pre-funded warrants to purchase up to 746,373 shares of Class A common stock at a public offering price of $10.00 per share and public offering price of $9.9999 per pre-funded warrant, which represents the per share public offering price of each share of Class A common stock less the $0.0001 per share exercise price for each pre-funded warrant. The offering is expected to close on or around July 30, 2025, subject to customary closing conditions. The gross proceeds from the offering, before deducting underwriter discounts and commissions and other estimated offering expenses, are expected to be approximately $75 million. Bakkt intends to use the net proceeds from the offering to purchase Bitcoin and other digital assets in accordance with its investment policy, for working capital and for general corporate purposes. Bakkt has granted the underwriters a 30-day option to purchase up to an additional 1,125,000 shares of Class A common stock and/or pre-funded warrants at the public offering price, less underwriting discounts and commissions.</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Clear Street LLC and Cohen &amp; Company Capital Markets, a division of Cohen &amp; Company Securities, LLC, are acting as joint book-running managers of the offering.</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offering is being made pursuant to a shelf registration statement on Form S-3 (File No. 333-288361) declared effective by the Securities and Exchange Commission (the “SEC”) on July 3, 2025. A final prospectus supplement relating to the offering will be filed with the Securities and Exchange Commission, together with an accompanying base prospectus. The securities may be offered only by means of a written prospectus forming a part of the effective registration statement. Copies of the final prospectus supplement relating to the offering, together with the accompanying base prospectus, may be obtained, when available, from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from Clear Street LLC, Attention: Syndicate, 4 World Trade Center 150 Greenwich St Floor 45 New York, NY 10007, or by email at </w:t>
      </w:r>
      <w:r>
        <w:rPr>
          <w:rFonts w:ascii="Times New Roman" w:cs="Times New Roman" w:eastAsia="Times New Roman" w:hAnsi="Times New Roman"/>
          <w:sz w:val="18"/>
          <w:szCs w:val="18"/>
          <w:u w:val="single" w:color="auto"/>
          <w:color w:val="auto"/>
        </w:rPr>
        <w:t>syndicate@clearstreet.io</w:t>
      </w:r>
      <w:r>
        <w:rPr>
          <w:rFonts w:ascii="Times New Roman" w:cs="Times New Roman" w:eastAsia="Times New Roman" w:hAnsi="Times New Roman"/>
          <w:sz w:val="18"/>
          <w:szCs w:val="18"/>
          <w:color w:val="auto"/>
        </w:rPr>
        <w:t xml:space="preserve"> and from Cohen &amp; Company Capital Markets, Attention: Prospectus Department, 3 Columbus Cir, New York, NY 10019, or by email at </w:t>
      </w:r>
      <w:r>
        <w:rPr>
          <w:rFonts w:ascii="Times New Roman" w:cs="Times New Roman" w:eastAsia="Times New Roman" w:hAnsi="Times New Roman"/>
          <w:sz w:val="18"/>
          <w:szCs w:val="18"/>
          <w:u w:val="single" w:color="auto"/>
          <w:color w:val="auto"/>
        </w:rPr>
        <w:t>capitalmarkets@cohencm.com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Bakkt will not, and has been advised by the joint book-running managers that they and their affiliates will not, sell any of these securities in any state or other jurisdiction in which such offer, solicitation, or sale would be unlawful prior to the registration or qualification under the securities laws of any such state or jurisdiction.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Founded in 2018, Bakkt builds solutions that enable our clients to grow with the crypto economy. Through institutional-grade trading and onramp capabilities, our clients leverage technology that’s built for sustainable, long-term involvement in crypto.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Bakkt is headquartered in Alpharetta, GA. For more information, visit: </w:t>
      </w:r>
      <w:r>
        <w:rPr>
          <w:rFonts w:ascii="Times New Roman" w:cs="Times New Roman" w:eastAsia="Times New Roman" w:hAnsi="Times New Roman"/>
          <w:sz w:val="18"/>
          <w:szCs w:val="18"/>
          <w:u w:val="single" w:color="auto"/>
          <w:color w:val="auto"/>
        </w:rPr>
        <w:t>https://www.bakkt.com/</w:t>
      </w:r>
      <w:r>
        <w:rPr>
          <w:rFonts w:ascii="Times New Roman" w:cs="Times New Roman" w:eastAsia="Times New Roman" w:hAnsi="Times New Roman"/>
          <w:sz w:val="18"/>
          <w:szCs w:val="18"/>
          <w:color w:val="auto"/>
        </w:rPr>
        <w:t xml:space="preserve"> |</w:t>
      </w:r>
    </w:p>
    <w:p>
      <w:pPr>
        <w:sectPr>
          <w:pgSz w:w="11900" w:h="16838" w:orient="portrait"/>
          <w:cols w:equalWidth="0" w:num="1">
            <w:col w:w="11020"/>
          </w:cols>
          <w:pgMar w:left="440" w:top="117"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 LinkedIn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IR@bakkt.com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bakkt@forefrontcomms.com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Bakkt Holdings,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U.S. Securities Act of 1933, as amended, and Section 21E of the U.S. Securities and Exchange Act of 1934, as amended. Such statements include, but are not limited to, statements regarding the offering.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its updated investment policy (“Investment Policy”) as described in the Company’s Current Report on Form 8-K, filed with the U.S. Securities and Exchange Commission (the “SEC”) on June 10, 2025 (the “June 10, 2025 8-K”);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w:t>
      </w:r>
    </w:p>
    <w:p>
      <w:pPr>
        <w:sectPr>
          <w:pgSz w:w="11900" w:h="16838" w:orient="portrait"/>
          <w:cols w:equalWidth="0" w:num="1">
            <w:col w:w="11000"/>
          </w:cols>
          <w:pgMar w:left="440" w:top="270" w:right="459" w:bottom="1440" w:gutter="0" w:footer="0" w:header="0"/>
        </w:sectPr>
      </w:pPr>
    </w:p>
    <w:bookmarkStart w:id="74" w:name="page75"/>
    <w:bookmarkEnd w:id="7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the Company’s future capital requirements and sources and uses of cash, including funds to satisfy its liquidity needs and continued access to the line of credit with Intercontinental Exchange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Investment Policy set forth in Exhibit 99.1 to the June 10, 2025 8-K.</w:t>
      </w:r>
    </w:p>
    <w:p>
      <w:pPr>
        <w:sectPr>
          <w:pgSz w:w="11900" w:h="16838" w:orient="portrait"/>
          <w:cols w:equalWidth="0" w:num="1">
            <w:col w:w="11000"/>
          </w:cols>
          <w:pgMar w:left="440" w:top="270" w:right="459" w:bottom="1440" w:gutter="0" w:footer="0" w:header="0"/>
        </w:sectPr>
      </w:pPr>
    </w:p>
    <w:bookmarkStart w:id="75" w:name="page76"/>
    <w:bookmarkEnd w:id="7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are cautioned not to place undue reliance on such forward-looking statements. Such forward-looking statements relate only to events as of the date on which such statements are made and are based on information available to us as of the date of this release.</w:t>
      </w:r>
    </w:p>
    <w:p>
      <w:pPr>
        <w:sectPr>
          <w:pgSz w:w="11900" w:h="16838" w:orient="portrait"/>
          <w:cols w:equalWidth="0" w:num="1">
            <w:col w:w="10880"/>
          </w:cols>
          <w:pgMar w:left="440" w:top="270" w:right="57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173990</wp:posOffset>
            </wp:positionV>
            <wp:extent cx="925830" cy="420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258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Announces Closing of $75 Million Public Offering</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ALPHARETTA, GA – July 30, 2025 </w:t>
      </w:r>
      <w:r>
        <w:rPr>
          <w:rFonts w:ascii="Times New Roman" w:cs="Times New Roman" w:eastAsia="Times New Roman" w:hAnsi="Times New Roman"/>
          <w:sz w:val="18"/>
          <w:szCs w:val="18"/>
          <w:color w:val="auto"/>
        </w:rPr>
        <w:t>– Bakkt Holdings, Inc. (“Bakkt” or the “Company”) (NYSE: BKKT) today announced the closing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announced underwritten public offering of 6,753,627 shares of Class A common stock and pre-funded warrants to purchase up to 746,373 shares of Class A common stock at a public offering price of $10.00 per share and public offering price of $9.9999 per pre-funded warrant, which represents the per share public offering price of each share of Class A common stock less the $0.0001 per share exercise price for each pre-funded warrant. The closing occurred on July 30, 2025. The gross proceeds from the offering, before deducting underwriter discounts and commissions and other estimated offering expenses, were approximately $75 million. Bakkt intends to use the net proceeds from the offering to purchase Bitcoin and other digital assets in accordance with its investment policy, for working capital and for general corporate purposes. Bakkt has granted the underwriters a 30-day option to purchase up to an additional 1,125,000 shares of Class A common stock and/or pre-funded warrants at the public offering price, less underwriting discounts and commissions.</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Clear Street LLC and Cohen &amp; Company Capital Markets, a division of Cohen &amp; Company Securities, LLC, acted as joint book-running managers of the offering.</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offering was made pursuant to a shelf registration statement on Form S-3 (File No. 333-288361) declared effective by the Securities and Exchange Commission (the “SEC”) on July 3, 2025. A final prospectus supplement relating to the offering was filed with the Securities and Exchange Commission, together with an accompanying base prospectus. The securities were offered only by means of a written prospectus forming a part of the effective registration statement. Copies of the final prospectus supplement relating to the offering, together with the accompanying base prospectus, may be obtained from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from Clear Street LLC, Attention: Syndicate, 4 World Trade Center 150 Greenwich St Floor 45 New York, NY 10007, or by email at </w:t>
      </w:r>
      <w:r>
        <w:rPr>
          <w:rFonts w:ascii="Times New Roman" w:cs="Times New Roman" w:eastAsia="Times New Roman" w:hAnsi="Times New Roman"/>
          <w:sz w:val="18"/>
          <w:szCs w:val="18"/>
          <w:u w:val="single" w:color="auto"/>
          <w:color w:val="auto"/>
        </w:rPr>
        <w:t>syndicate@clearstreet.io</w:t>
      </w:r>
      <w:r>
        <w:rPr>
          <w:rFonts w:ascii="Times New Roman" w:cs="Times New Roman" w:eastAsia="Times New Roman" w:hAnsi="Times New Roman"/>
          <w:sz w:val="18"/>
          <w:szCs w:val="18"/>
          <w:color w:val="auto"/>
        </w:rPr>
        <w:t xml:space="preserve"> and from Cohen &amp; Company Capital Markets, Attention: Prospectus Department, 3 Columbus Cir, New York, NY 10019, or by email at </w:t>
      </w:r>
      <w:r>
        <w:rPr>
          <w:rFonts w:ascii="Times New Roman" w:cs="Times New Roman" w:eastAsia="Times New Roman" w:hAnsi="Times New Roman"/>
          <w:sz w:val="18"/>
          <w:szCs w:val="18"/>
          <w:u w:val="single" w:color="auto"/>
          <w:color w:val="auto"/>
        </w:rPr>
        <w:t>capitalmarkets@cohencm.com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Bakkt will not, and has been advised by the joint book-running managers that they and their affiliates will not, sell any of these securities in any state or other jurisdiction in which such offer, solicitation, or sale would be unlawful prior to the registration or qualification under the securities laws of any such state or jurisdiction.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Founded in 2018, Bakkt builds solutions that enable our clients to grow with the crypto economy. Through institutional-grade trading and onramp capabilities, our clients leverage technology that’s built for sustainable, long-term involvement in crypto.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Bakkt is headquartered in Alpharetta, GA. For more information, visit: </w:t>
      </w:r>
      <w:r>
        <w:rPr>
          <w:rFonts w:ascii="Times New Roman" w:cs="Times New Roman" w:eastAsia="Times New Roman" w:hAnsi="Times New Roman"/>
          <w:sz w:val="18"/>
          <w:szCs w:val="18"/>
          <w:u w:val="single" w:color="auto"/>
          <w:color w:val="auto"/>
        </w:rPr>
        <w:t>https://www.bakkt.com/ |</w:t>
      </w:r>
    </w:p>
    <w:p>
      <w:pPr>
        <w:sectPr>
          <w:pgSz w:w="11900" w:h="16838" w:orient="portrait"/>
          <w:cols w:equalWidth="0" w:num="1">
            <w:col w:w="11020"/>
          </w:cols>
          <w:pgMar w:left="440" w:top="117"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 LinkedIn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IR@bakkt.com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bakkt@forefrontcomms.com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Bakkt Holdings,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U.S. Securities Act of 1933, as amended, and Section 21E of the U.S. Securities and Exchange Act of 1934, as amended.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its updated investment policy (“Investment Policy”) as described in the Company’s Current Report on Form 8-K, filed with the U.S. Securities and Exchange Commission (the “SEC”) on June 10, 2025 (the “June 10, 2025 8-K”);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w:t>
      </w:r>
    </w:p>
    <w:p>
      <w:pPr>
        <w:sectPr>
          <w:pgSz w:w="11900" w:h="16838" w:orient="portrait"/>
          <w:cols w:equalWidth="0" w:num="1">
            <w:col w:w="11000"/>
          </w:cols>
          <w:pgMar w:left="440" w:top="270" w:right="459" w:bottom="1440" w:gutter="0" w:footer="0" w:header="0"/>
        </w:sectPr>
      </w:pPr>
    </w:p>
    <w:bookmarkStart w:id="78" w:name="page79"/>
    <w:bookmarkEnd w:id="78"/>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Investment Policy set forth in Exhibit 99.1 to the June 10, 2025 8-K.</w:t>
      </w:r>
    </w:p>
    <w:p>
      <w:pPr>
        <w:sectPr>
          <w:pgSz w:w="11900" w:h="16838" w:orient="portrait"/>
          <w:cols w:equalWidth="0" w:num="1">
            <w:col w:w="11000"/>
          </w:cols>
          <w:pgMar w:left="440" w:top="270" w:right="459"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are cautioned not to place undue reliance on such forward-looking statements. Such forward-looking statements relate only to events as of the date on which such statements are made and are based on information available to us as of the date of this release.</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8">
    <w:nsid w:val="580BD78F"/>
    <w:multiLevelType w:val="hybridMultilevel"/>
    <w:lvl w:ilvl="0">
      <w:lvlJc w:val="left"/>
      <w:lvlText w:val="(%1)"/>
      <w:numFmt w:val="lowerRoman"/>
      <w:start w:val="1"/>
    </w:lvl>
  </w:abstractNum>
  <w:abstractNum w:abstractNumId="9">
    <w:nsid w:val="153EA438"/>
    <w:multiLevelType w:val="hybridMultilevel"/>
    <w:lvl w:ilvl="0">
      <w:lvlJc w:val="left"/>
      <w:lvlText w:val="%1"/>
      <w:numFmt w:val="lowerLetter"/>
      <w:start w:val="1"/>
    </w:lvl>
    <w:lvl w:ilvl="1">
      <w:lvlJc w:val="left"/>
      <w:lvlText w:val="(%2)"/>
      <w:numFmt w:val="lowerRoman"/>
      <w:start w:val="4"/>
    </w:lvl>
  </w:abstractNum>
  <w:abstractNum w:abstractNumId="10">
    <w:nsid w:val="3855585C"/>
    <w:multiLevelType w:val="hybridMultilevel"/>
    <w:lvl w:ilvl="0">
      <w:lvlJc w:val="left"/>
      <w:lvlText w:val="(%1)"/>
      <w:numFmt w:val="lowerLetter"/>
      <w:start w:val="2"/>
    </w:lvl>
    <w:lvl w:ilvl="1">
      <w:lvlJc w:val="left"/>
      <w:lvlText w:val="%2"/>
      <w:numFmt w:val="lowerRoman"/>
      <w:start w:val="1"/>
    </w:lvl>
  </w:abstractNum>
  <w:abstractNum w:abstractNumId="11">
    <w:nsid w:val="70A64E2A"/>
    <w:multiLevelType w:val="hybridMultilevel"/>
    <w:lvl w:ilvl="0">
      <w:lvlJc w:val="left"/>
      <w:lvlText w:val="(%1)"/>
      <w:numFmt w:val="lowerRoman"/>
      <w:start w:val="9"/>
    </w:lvl>
  </w:abstractNum>
  <w:abstractNum w:abstractNumId="12">
    <w:nsid w:val="6A2342EC"/>
    <w:multiLevelType w:val="hybridMultilevel"/>
    <w:lvl w:ilvl="0">
      <w:lvlJc w:val="left"/>
      <w:lvlText w:val="(%1)"/>
      <w:numFmt w:val="lowerRoman"/>
      <w:start w:val="13"/>
    </w:lvl>
  </w:abstractNum>
  <w:abstractNum w:abstractNumId="13">
    <w:nsid w:val="2A487CB0"/>
    <w:multiLevelType w:val="hybridMultilevel"/>
    <w:lvl w:ilvl="0">
      <w:lvlJc w:val="left"/>
      <w:lvlText w:val="%1"/>
      <w:numFmt w:val="lowerLetter"/>
      <w:start w:val="1"/>
    </w:lvl>
    <w:lvl w:ilvl="1">
      <w:lvlJc w:val="left"/>
      <w:lvlText w:val="(%2)"/>
      <w:numFmt w:val="lowerRoman"/>
      <w:start w:val="17"/>
    </w:lvl>
  </w:abstractNum>
  <w:abstractNum w:abstractNumId="14">
    <w:nsid w:val="1D4ED43B"/>
    <w:multiLevelType w:val="hybridMultilevel"/>
    <w:lvl w:ilvl="0">
      <w:lvlJc w:val="left"/>
      <w:lvlText w:val="(%1)"/>
      <w:numFmt w:val="lowerLetter"/>
      <w:start w:val="1"/>
    </w:lvl>
    <w:lvl w:ilvl="1">
      <w:lvlJc w:val="left"/>
      <w:lvlText w:val="%2"/>
      <w:numFmt w:val="lowerRoman"/>
      <w:start w:val="1"/>
    </w:lvl>
  </w:abstractNum>
  <w:abstractNum w:abstractNumId="15">
    <w:nsid w:val="725A06FB"/>
    <w:multiLevelType w:val="hybridMultilevel"/>
    <w:lvl w:ilvl="0">
      <w:lvlJc w:val="left"/>
      <w:lvlText w:val="(%1)"/>
      <w:numFmt w:val="lowerRoman"/>
      <w:start w:val="21"/>
    </w:lvl>
  </w:abstractNum>
  <w:abstractNum w:abstractNumId="16">
    <w:nsid w:val="2CD89A32"/>
    <w:multiLevelType w:val="hybridMultilevel"/>
    <w:lvl w:ilvl="0">
      <w:lvlJc w:val="left"/>
      <w:lvlText w:val="(%1)"/>
      <w:numFmt w:val="lowerRoman"/>
      <w:start w:val="24"/>
    </w:lvl>
  </w:abstractNum>
  <w:abstractNum w:abstractNumId="17">
    <w:nsid w:val="57E4CCAF"/>
    <w:multiLevelType w:val="hybridMultilevel"/>
    <w:lvl w:ilvl="0">
      <w:lvlJc w:val="left"/>
      <w:lvlText w:val="%1"/>
      <w:numFmt w:val="lowerRoman"/>
      <w:start w:val="1"/>
    </w:lvl>
    <w:lvl w:ilvl="1">
      <w:lvlJc w:val="left"/>
      <w:lvlText w:val="(%2)"/>
      <w:numFmt w:val="lowerRoman"/>
      <w:start w:val="28"/>
    </w:lvl>
  </w:abstractNum>
  <w:abstractNum w:abstractNumId="18">
    <w:nsid w:val="7A6D8D3C"/>
    <w:multiLevelType w:val="hybridMultilevel"/>
    <w:lvl w:ilvl="0">
      <w:lvlJc w:val="left"/>
      <w:lvlText w:val="(%1)"/>
      <w:numFmt w:val="lowerRoman"/>
      <w:start w:val="1"/>
    </w:lvl>
    <w:lvl w:ilvl="1">
      <w:lvlJc w:val="left"/>
      <w:lvlText w:val="(%2)"/>
      <w:numFmt w:val="lowerRoman"/>
      <w:start w:val="29"/>
    </w:lvl>
  </w:abstractNum>
  <w:abstractNum w:abstractNumId="19">
    <w:nsid w:val="4B588F54"/>
    <w:multiLevelType w:val="hybridMultilevel"/>
    <w:lvl w:ilvl="0">
      <w:lvlJc w:val="left"/>
      <w:lvlText w:val="(%1)"/>
      <w:numFmt w:val="lowerRoman"/>
      <w:start w:val="31"/>
    </w:lvl>
  </w:abstractNum>
  <w:abstractNum w:abstractNumId="20">
    <w:nsid w:val="542289EC"/>
    <w:multiLevelType w:val="hybridMultilevel"/>
    <w:lvl w:ilvl="0">
      <w:lvlJc w:val="left"/>
      <w:lvlText w:val="%1"/>
      <w:numFmt w:val="lowerLetter"/>
      <w:start w:val="1"/>
    </w:lvl>
    <w:lvl w:ilvl="1">
      <w:lvlJc w:val="left"/>
      <w:lvlText w:val="(%2)"/>
      <w:numFmt w:val="lowerRoman"/>
      <w:start w:val="34"/>
    </w:lvl>
  </w:abstractNum>
  <w:abstractNum w:abstractNumId="21">
    <w:nsid w:val="6DE91B18"/>
    <w:multiLevelType w:val="hybridMultilevel"/>
    <w:lvl w:ilvl="0">
      <w:lvlJc w:val="left"/>
      <w:lvlText w:val="(%1)"/>
      <w:numFmt w:val="lowerLetter"/>
      <w:start w:val="2"/>
    </w:lvl>
    <w:lvl w:ilvl="1">
      <w:lvlJc w:val="left"/>
      <w:lvlText w:val="(%2)"/>
      <w:numFmt w:val="lowerRoman"/>
      <w:start w:val="37"/>
    </w:lvl>
  </w:abstractNum>
  <w:abstractNum w:abstractNumId="22">
    <w:nsid w:val="38437FDB"/>
    <w:multiLevelType w:val="hybridMultilevel"/>
    <w:lvl w:ilvl="0">
      <w:lvlJc w:val="left"/>
      <w:lvlText w:val="(%1)"/>
      <w:numFmt w:val="lowerRoman"/>
      <w:start w:val="38"/>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12"/>
    </w:lvl>
  </w:abstractNum>
  <w:abstractNum w:abstractNumId="25">
    <w:nsid w:val="684A481A"/>
    <w:multiLevelType w:val="hybridMultilevel"/>
    <w:lvl w:ilvl="0">
      <w:lvlJc w:val="left"/>
      <w:lvlText w:val="%1."/>
      <w:numFmt w:val="decimal"/>
      <w:start w:val="3"/>
    </w:lvl>
  </w:abstractNum>
  <w:abstractNum w:abstractNumId="26">
    <w:nsid w:val="579478FE"/>
    <w:multiLevelType w:val="hybridMultilevel"/>
    <w:lvl w:ilvl="0">
      <w:lvlJc w:val="left"/>
      <w:lvlText w:val="%1."/>
      <w:numFmt w:val="decimal"/>
      <w:start w:val="4"/>
    </w:lvl>
    <w:lvl w:ilvl="1">
      <w:lvlJc w:val="left"/>
      <w:lvlText w:val="(%2)"/>
      <w:numFmt w:val="lowerRoman"/>
      <w:start w:val="1"/>
    </w:lvl>
  </w:abstractNum>
  <w:abstractNum w:abstractNumId="27">
    <w:nsid w:val="749ABB43"/>
    <w:multiLevelType w:val="hybridMultilevel"/>
    <w:lvl w:ilvl="0">
      <w:lvlJc w:val="left"/>
      <w:lvlText w:val="(%1)"/>
      <w:numFmt w:val="lowerRoman"/>
      <w:start w:val="2"/>
    </w:lvl>
  </w:abstractNum>
  <w:abstractNum w:abstractNumId="28">
    <w:nsid w:val="3DC240FB"/>
    <w:multiLevelType w:val="hybridMultilevel"/>
    <w:lvl w:ilvl="0">
      <w:lvlJc w:val="left"/>
      <w:lvlText w:val="%1"/>
      <w:numFmt w:val="lowerLetter"/>
      <w:start w:val="1"/>
    </w:lvl>
    <w:lvl w:ilvl="1">
      <w:lvlJc w:val="left"/>
      <w:lvlText w:val="(%2)"/>
      <w:numFmt w:val="lowerRoman"/>
      <w:start w:val="4"/>
    </w:lvl>
  </w:abstractNum>
  <w:abstractNum w:abstractNumId="29">
    <w:nsid w:val="1BA026FA"/>
    <w:multiLevelType w:val="hybridMultilevel"/>
    <w:lvl w:ilvl="0">
      <w:lvlJc w:val="left"/>
      <w:lvlText w:val="(%1)"/>
      <w:numFmt w:val="lowerLetter"/>
      <w:start w:val="1"/>
    </w:lvl>
    <w:lvl w:ilvl="1">
      <w:lvlJc w:val="left"/>
      <w:lvlText w:val="(%2)"/>
      <w:numFmt w:val="lowerRoman"/>
      <w:start w:val="5"/>
    </w:lvl>
  </w:abstractNum>
  <w:abstractNum w:abstractNumId="30">
    <w:nsid w:val="79A1DEAA"/>
    <w:multiLevelType w:val="hybridMultilevel"/>
    <w:lvl w:ilvl="0">
      <w:lvlJc w:val="left"/>
      <w:lvlText w:val="(%1)"/>
      <w:numFmt w:val="lowerLetter"/>
      <w:start w:val="7"/>
    </w:lvl>
    <w:lvl w:ilvl="1">
      <w:lvlJc w:val="left"/>
      <w:lvlText w:val="(%2)"/>
      <w:numFmt w:val="lowerRoman"/>
      <w:start w:val="7"/>
    </w:lvl>
  </w:abstractNum>
  <w:abstractNum w:abstractNumId="31">
    <w:nsid w:val="75C6C33A"/>
    <w:multiLevelType w:val="hybridMultilevel"/>
    <w:lvl w:ilvl="0">
      <w:lvlJc w:val="left"/>
      <w:lvlText w:val="(%1)"/>
      <w:numFmt w:val="lowerRoman"/>
      <w:start w:val="11"/>
    </w:lvl>
  </w:abstractNum>
  <w:abstractNum w:abstractNumId="32">
    <w:nsid w:val="12E685FB"/>
    <w:multiLevelType w:val="hybridMultilevel"/>
    <w:lvl w:ilvl="0">
      <w:lvlJc w:val="left"/>
      <w:lvlText w:val="(%1)"/>
      <w:numFmt w:val="lowerRoman"/>
      <w:start w:val="16"/>
    </w:lvl>
  </w:abstractNum>
  <w:abstractNum w:abstractNumId="33">
    <w:nsid w:val="70C6A529"/>
    <w:multiLevelType w:val="hybridMultilevel"/>
    <w:lvl w:ilvl="0">
      <w:lvlJc w:val="left"/>
      <w:lvlText w:val="%1."/>
      <w:numFmt w:val="decimal"/>
      <w:start w:val="5"/>
    </w:lvl>
    <w:lvl w:ilvl="1">
      <w:lvlJc w:val="left"/>
      <w:lvlText w:val="(%2)"/>
      <w:numFmt w:val="lowerRoman"/>
      <w:start w:val="1"/>
    </w:lvl>
  </w:abstractNum>
  <w:abstractNum w:abstractNumId="34">
    <w:nsid w:val="520EEDD1"/>
    <w:multiLevelType w:val="hybridMultilevel"/>
    <w:lvl w:ilvl="0">
      <w:lvlJc w:val="left"/>
      <w:lvlText w:val="%1"/>
      <w:numFmt w:val="lowerLetter"/>
      <w:start w:val="1"/>
    </w:lvl>
    <w:lvl w:ilvl="1">
      <w:lvlJc w:val="left"/>
      <w:lvlText w:val="(%2)"/>
      <w:numFmt w:val="lowerRoman"/>
      <w:start w:val="6"/>
    </w:lvl>
  </w:abstractNum>
  <w:abstractNum w:abstractNumId="35">
    <w:nsid w:val="374A3FE6"/>
    <w:multiLevelType w:val="hybridMultilevel"/>
    <w:lvl w:ilvl="0">
      <w:lvlJc w:val="left"/>
      <w:lvlText w:val="(%1)"/>
      <w:numFmt w:val="lowerLetter"/>
      <w:start w:val="1"/>
    </w:lvl>
    <w:lvl w:ilvl="1">
      <w:lvlJc w:val="left"/>
      <w:lvlText w:val="(%2)"/>
      <w:numFmt w:val="lowerRoman"/>
      <w:start w:val="7"/>
    </w:lvl>
  </w:abstractNum>
  <w:abstractNum w:abstractNumId="36">
    <w:nsid w:val="4F4EF005"/>
    <w:multiLevelType w:val="hybridMultilevel"/>
    <w:lvl w:ilvl="0">
      <w:lvlJc w:val="left"/>
      <w:lvlText w:val="%1"/>
      <w:numFmt w:val="lowerLetter"/>
      <w:start w:val="1"/>
    </w:lvl>
    <w:lvl w:ilvl="1">
      <w:lvlJc w:val="left"/>
      <w:lvlText w:val="(%2)"/>
      <w:numFmt w:val="lowerRoman"/>
      <w:start w:val="10"/>
    </w:lvl>
  </w:abstractNum>
  <w:abstractNum w:abstractNumId="37">
    <w:nsid w:val="23F9C13C"/>
    <w:multiLevelType w:val="hybridMultilevel"/>
    <w:lvl w:ilvl="0">
      <w:lvlJc w:val="left"/>
      <w:lvlText w:val="(%1)"/>
      <w:numFmt w:val="lowerLetter"/>
      <w:start w:val="1"/>
    </w:lvl>
    <w:lvl w:ilvl="1">
      <w:lvlJc w:val="left"/>
      <w:lvlText w:val="(%2)"/>
      <w:numFmt w:val="lowerRoman"/>
      <w:start w:val="13"/>
    </w:lvl>
  </w:abstractNum>
  <w:abstractNum w:abstractNumId="38">
    <w:nsid w:val="649BB77C"/>
    <w:multiLevelType w:val="hybridMultilevel"/>
    <w:lvl w:ilvl="0">
      <w:lvlJc w:val="left"/>
      <w:lvlText w:val="%1"/>
      <w:numFmt w:val="decimal"/>
      <w:start w:val="1"/>
    </w:lvl>
    <w:lvl w:ilvl="1">
      <w:lvlJc w:val="left"/>
      <w:lvlText w:val="(%2)"/>
      <w:numFmt w:val="lowerRoman"/>
      <w:start w:val="14"/>
    </w:lvl>
  </w:abstractNum>
  <w:abstractNum w:abstractNumId="39">
    <w:nsid w:val="275AC794"/>
    <w:multiLevelType w:val="hybridMultilevel"/>
    <w:lvl w:ilvl="0">
      <w:lvlJc w:val="left"/>
      <w:lvlText w:val="%1."/>
      <w:numFmt w:val="decimal"/>
      <w:start w:val="6"/>
    </w:lvl>
    <w:lvl w:ilvl="1">
      <w:lvlJc w:val="left"/>
      <w:lvlText w:val="(%2)"/>
      <w:numFmt w:val="lowerRoman"/>
      <w:start w:val="1"/>
    </w:lvl>
  </w:abstractNum>
  <w:abstractNum w:abstractNumId="40">
    <w:nsid w:val="39386575"/>
    <w:multiLevelType w:val="hybridMultilevel"/>
    <w:lvl w:ilvl="0">
      <w:lvlJc w:val="left"/>
      <w:lvlText w:val="(%1)"/>
      <w:numFmt w:val="lowerRoman"/>
      <w:start w:val="2"/>
    </w:lvl>
  </w:abstractNum>
  <w:abstractNum w:abstractNumId="41">
    <w:nsid w:val="1CF10FD8"/>
    <w:multiLevelType w:val="hybridMultilevel"/>
    <w:lvl w:ilvl="0">
      <w:lvlJc w:val="left"/>
      <w:lvlText w:val="(%1)"/>
      <w:numFmt w:val="lowerRoman"/>
      <w:start w:val="3"/>
    </w:lvl>
  </w:abstractNum>
  <w:abstractNum w:abstractNumId="42">
    <w:nsid w:val="180115BE"/>
    <w:multiLevelType w:val="hybridMultilevel"/>
    <w:lvl w:ilvl="0">
      <w:lvlJc w:val="left"/>
      <w:lvlText w:val="(%1)"/>
      <w:numFmt w:val="lowerRoman"/>
      <w:start w:val="4"/>
    </w:lvl>
  </w:abstractNum>
  <w:abstractNum w:abstractNumId="43">
    <w:nsid w:val="235BA861"/>
    <w:multiLevelType w:val="hybridMultilevel"/>
    <w:lvl w:ilvl="0">
      <w:lvlJc w:val="left"/>
      <w:lvlText w:val="%1."/>
      <w:numFmt w:val="decimal"/>
      <w:start w:val="7"/>
    </w:lvl>
  </w:abstractNum>
  <w:abstractNum w:abstractNumId="44">
    <w:nsid w:val="47398C89"/>
    <w:multiLevelType w:val="hybridMultilevel"/>
    <w:lvl w:ilvl="0">
      <w:lvlJc w:val="left"/>
      <w:lvlText w:val="%1."/>
      <w:numFmt w:val="decimal"/>
      <w:start w:val="10"/>
    </w:lvl>
    <w:lvl w:ilvl="1">
      <w:lvlJc w:val="left"/>
      <w:lvlText w:val="(%2)"/>
      <w:numFmt w:val="lowerRoman"/>
      <w:start w:val="1"/>
    </w:lvl>
  </w:abstractNum>
  <w:abstractNum w:abstractNumId="45">
    <w:nsid w:val="354FE9F9"/>
    <w:multiLevelType w:val="hybridMultilevel"/>
    <w:lvl w:ilvl="0">
      <w:lvlJc w:val="left"/>
      <w:lvlText w:val="%1."/>
      <w:numFmt w:val="decimal"/>
      <w:start w:val="13"/>
    </w:lvl>
    <w:lvl w:ilvl="1">
      <w:lvlJc w:val="left"/>
      <w:lvlText w:val="(%2)"/>
      <w:numFmt w:val="lowerRoman"/>
      <w:start w:val="1"/>
    </w:lvl>
  </w:abstractNum>
  <w:abstractNum w:abstractNumId="46">
    <w:nsid w:val="15B5AF5C"/>
    <w:multiLevelType w:val="hybridMultilevel"/>
    <w:lvl w:ilvl="0">
      <w:lvlJc w:val="left"/>
      <w:lvlText w:val="%1."/>
      <w:numFmt w:val="decimal"/>
      <w:start w:val="16"/>
    </w:lvl>
  </w:abstractNum>
  <w:abstractNum w:abstractNumId="47">
    <w:nsid w:val="741226BB"/>
    <w:multiLevelType w:val="hybridMultilevel"/>
    <w:lvl w:ilvl="0">
      <w:lvlJc w:val="left"/>
      <w:lvlText w:val="%1."/>
      <w:numFmt w:val="decimal"/>
      <w:start w:val="19"/>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4"/>
    </w:lvl>
  </w:abstractNum>
  <w:abstractNum w:abstractNumId="50">
    <w:nsid w:val="3F6AB60F"/>
    <w:multiLevelType w:val="hybridMultilevel"/>
    <w:lvl w:ilvl="0">
      <w:lvlJc w:val="left"/>
      <w:lvlText w:val="(%1)"/>
      <w:numFmt w:val="lowerLetter"/>
      <w:start w:val="6"/>
    </w:lvl>
  </w:abstractNum>
  <w:abstractNum w:abstractNumId="51">
    <w:nsid w:val="61574095"/>
    <w:multiLevelType w:val="hybridMultilevel"/>
    <w:lvl w:ilvl="0">
      <w:lvlJc w:val="left"/>
      <w:lvlText w:val="(%1)"/>
      <w:numFmt w:val="lowerLetter"/>
      <w:start w:val="12"/>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6"/>
    </w:lvl>
  </w:abstractNum>
  <w:abstractNum w:abstractNumId="54">
    <w:nsid w:val="579BE4F1"/>
    <w:multiLevelType w:val="hybridMultilevel"/>
    <w:lvl w:ilvl="0">
      <w:lvlJc w:val="left"/>
      <w:lvlText w:val="(%1)"/>
      <w:numFmt w:val="lowerLetter"/>
      <w:start w:val="1"/>
    </w:lvl>
    <w:lvl w:ilvl="1">
      <w:lvlJc w:val="left"/>
      <w:lvlText w:val="(%2)"/>
      <w:numFmt w:val="lowerRoman"/>
      <w:start w:val="1"/>
    </w:lvl>
  </w:abstractNum>
  <w:abstractNum w:abstractNumId="55">
    <w:nsid w:val="310C50B3"/>
    <w:multiLevelType w:val="hybridMultilevel"/>
    <w:lvl w:ilvl="0">
      <w:lvlJc w:val="left"/>
      <w:lvlText w:val="(%1)"/>
      <w:numFmt w:val="lowerRoman"/>
      <w:start w:val="2"/>
    </w:lvl>
  </w:abstractNum>
  <w:abstractNum w:abstractNumId="56">
    <w:nsid w:val="5FF87E05"/>
    <w:multiLevelType w:val="hybridMultilevel"/>
    <w:lvl w:ilvl="0">
      <w:lvlJc w:val="left"/>
      <w:lvlText w:val="(%1)"/>
      <w:numFmt w:val="lowerLetter"/>
      <w:start w:val="3"/>
    </w:lvl>
  </w:abstractNum>
  <w:abstractNum w:abstractNumId="57">
    <w:nsid w:val="2F305DEF"/>
    <w:multiLevelType w:val="hybridMultilevel"/>
    <w:lvl w:ilvl="0">
      <w:lvlJc w:val="left"/>
      <w:lvlText w:val="A"/>
      <w:numFmt w:val="bullet"/>
      <w:start w:val="1"/>
    </w:lvl>
  </w:abstractNum>
  <w:abstractNum w:abstractNumId="58">
    <w:nsid w:val="25A70BF7"/>
    <w:multiLevelType w:val="hybridMultilevel"/>
    <w:lvl w:ilvl="0">
      <w:lvlJc w:val="left"/>
      <w:lvlText w:val="B"/>
      <w:numFmt w:val="bullet"/>
      <w:start w:val="1"/>
    </w:lvl>
  </w:abstractNum>
  <w:abstractNum w:abstractNumId="59">
    <w:nsid w:val="1DBABF00"/>
    <w:multiLevelType w:val="hybridMultilevel"/>
    <w:lvl w:ilvl="0">
      <w:lvlJc w:val="left"/>
      <w:lvlText w:val="C"/>
      <w:numFmt w:val="bullet"/>
      <w:start w:val="1"/>
    </w:lvl>
  </w:abstractNum>
  <w:abstractNum w:abstractNumId="60">
    <w:nsid w:val="4AD084E9"/>
    <w:multiLevelType w:val="hybridMultilevel"/>
    <w:lvl w:ilvl="0">
      <w:lvlJc w:val="left"/>
      <w:lvlText w:val="(%1)"/>
      <w:numFmt w:val="lowerLetter"/>
      <w:start w:val="4"/>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4"/>
    </w:lvl>
  </w:abstractNum>
  <w:abstractNum w:abstractNumId="63">
    <w:nsid w:val="5DB70AE5"/>
    <w:multiLevelType w:val="hybridMultilevel"/>
    <w:lvl w:ilvl="0">
      <w:lvlJc w:val="left"/>
      <w:lvlText w:val="(%1)"/>
      <w:numFmt w:val="lowerLetter"/>
      <w:start w:val="5"/>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lowerLetter"/>
      <w:start w:val="4"/>
    </w:lvl>
    <w:lvl w:ilvl="1">
      <w:lvlJc w:val="left"/>
      <w:lvlText w:val="(%2)"/>
      <w:numFmt w:val="lowerRoman"/>
      <w:start w:val="1"/>
    </w:lvl>
  </w:abstractNum>
  <w:abstractNum w:abstractNumId="66">
    <w:nsid w:val="15014ACB"/>
    <w:multiLevelType w:val="hybridMultilevel"/>
    <w:lvl w:ilvl="0">
      <w:lvlJc w:val="left"/>
      <w:lvlText w:val="(%1)"/>
      <w:numFmt w:val="lowerLetter"/>
      <w:start w:val="6"/>
    </w:lvl>
    <w:lvl w:ilvl="1">
      <w:lvlJc w:val="left"/>
      <w:lvlText w:val="(%2)"/>
      <w:numFmt w:val="lowerRoman"/>
      <w:start w:val="1"/>
    </w:lvl>
  </w:abstractNum>
  <w:abstractNum w:abstractNumId="67">
    <w:nsid w:val="5F5E7FD0"/>
    <w:multiLevelType w:val="hybridMultilevel"/>
    <w:lvl w:ilvl="0">
      <w:lvlJc w:val="left"/>
      <w:lvlText w:val="%1"/>
      <w:numFmt w:val="lowerLetter"/>
      <w:start w:val="1"/>
    </w:lvl>
    <w:lvl w:ilvl="1">
      <w:lvlJc w:val="left"/>
      <w:lvlText w:val="(%2)"/>
      <w:numFmt w:val="lowerRoman"/>
      <w:start w:val="2"/>
    </w:lvl>
  </w:abstractNum>
  <w:abstractNum w:abstractNumId="68">
    <w:nsid w:val="98A3148"/>
    <w:multiLevelType w:val="hybridMultilevel"/>
    <w:lvl w:ilvl="0">
      <w:lvlJc w:val="left"/>
      <w:lvlText w:val="(%1)"/>
      <w:numFmt w:val="lowerLetter"/>
      <w:start w:val="8"/>
    </w:lvl>
    <w:lvl w:ilvl="1">
      <w:lvlJc w:val="left"/>
      <w:lvlText w:val="%2"/>
      <w:numFmt w:val="lowerRoman"/>
      <w:start w:val="1"/>
    </w:lvl>
  </w:abstractNum>
  <w:abstractNum w:abstractNumId="69">
    <w:nsid w:val="799D0247"/>
    <w:multiLevelType w:val="hybridMultilevel"/>
    <w:lvl w:ilvl="0">
      <w:lvlJc w:val="left"/>
      <w:lvlText w:val="(%1)"/>
      <w:numFmt w:val="lowerLetter"/>
      <w:start w:val="10"/>
    </w:lvl>
  </w:abstractNum>
  <w:abstractNum w:abstractNumId="70">
    <w:nsid w:val="6B94764"/>
    <w:multiLevelType w:val="hybridMultilevel"/>
    <w:lvl w:ilvl="0">
      <w:lvlJc w:val="left"/>
      <w:lvlText w:val="(%1)"/>
      <w:numFmt w:val="decimal"/>
      <w:start w:val="1"/>
    </w:lvl>
    <w:lvl w:ilvl="1">
      <w:lvlJc w:val="left"/>
      <w:lvlText w:val="☐"/>
      <w:numFmt w:val="bullet"/>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2025-07-30T16:12:49Z</dcterms:created>
  <dcterms:modified xsi:type="dcterms:W3CDTF">2025-07-30T16:12:49Z</dcterms:modified>
</cp:coreProperties>
</file>