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Baes Nicholas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49,907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These RSUs shall vest over three years with one-third (1/3) of such RSUs vesting on each anniversary of October 7, 2024, provided that the reporting person continues to be employed by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73,888 shares of Class A Common Stock subject to RSUs that remain subject to vesting.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Simmons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Nicholas Baes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368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2024-12-26T15:42:19Z</dcterms:created>
  <dcterms:modified xsi:type="dcterms:W3CDTF">2024-12-26T15:42:19Z</dcterms:modified>
</cp:coreProperties>
</file>