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98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44"/>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981"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981"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Chicago, IL 60606</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(312) 701-1777</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8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981"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$0.0001 par value, and one-half of one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purchase one Class A ordinary share</w:t>
            </w:r>
          </w:p>
        </w:tc>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Class A ordinary shares, $0.0001 par value per</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Warrants to purchase Class A ordinary shares</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981"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As previously disclosed, on January 11, 2021, VPC Impact Acquisition Holdings, a Cayman Islands exempted company (“</w:t>
      </w:r>
      <w:r>
        <w:rPr>
          <w:rFonts w:ascii="Arial" w:cs="Arial" w:eastAsia="Arial" w:hAnsi="Arial"/>
          <w:sz w:val="17"/>
          <w:szCs w:val="17"/>
          <w:u w:val="single" w:color="auto"/>
          <w:color w:val="auto"/>
        </w:rPr>
        <w:t>VIH</w:t>
      </w:r>
      <w:r>
        <w:rPr>
          <w:rFonts w:ascii="Arial" w:cs="Arial" w:eastAsia="Arial" w:hAnsi="Arial"/>
          <w:sz w:val="17"/>
          <w:szCs w:val="17"/>
          <w:color w:val="auto"/>
        </w:rPr>
        <w:t>”), entered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with Pylon Merger Company LLC, a Delaware limited liability company and a direct wholly-owned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and Bakkt Holdings, LLC, a Delaware limited liability company (“</w:t>
      </w:r>
      <w:r>
        <w:rPr>
          <w:rFonts w:ascii="Arial" w:cs="Arial" w:eastAsia="Arial" w:hAnsi="Arial"/>
          <w:sz w:val="17"/>
          <w:szCs w:val="17"/>
          <w:u w:val="single" w:color="auto"/>
          <w:color w:val="auto"/>
        </w:rPr>
        <w:t>Bakkt</w:t>
      </w:r>
      <w:r>
        <w:rPr>
          <w:rFonts w:ascii="Arial" w:cs="Arial" w:eastAsia="Arial" w:hAnsi="Arial"/>
          <w:sz w:val="17"/>
          <w:szCs w:val="17"/>
          <w:color w:val="auto"/>
        </w:rPr>
        <w:t>”).</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March 30, 2021, the parties to the Merger Agreement entered into an amendment to the Merger Agreement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w:t>
      </w:r>
      <w:r>
        <w:rPr>
          <w:rFonts w:ascii="Arial" w:cs="Arial" w:eastAsia="Arial" w:hAnsi="Arial"/>
          <w:sz w:val="18"/>
          <w:szCs w:val="18"/>
          <w:color w:val="auto"/>
        </w:rPr>
        <w:t>”), which amended the Merger Agreement, to provide that, following the closing of the transactions contemplated by the Merger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the Board of Directors of VIH will consist of five (5) to nine (9) members, with one (1) designated by Bakkt Opco Holdings, LLC (“</w:t>
      </w:r>
      <w:r>
        <w:rPr>
          <w:rFonts w:ascii="Arial" w:cs="Arial" w:eastAsia="Arial" w:hAnsi="Arial"/>
          <w:sz w:val="18"/>
          <w:szCs w:val="18"/>
          <w:u w:val="single" w:color="auto"/>
          <w:color w:val="auto"/>
        </w:rPr>
        <w:t>Bakkt Opco</w:t>
      </w:r>
      <w:r>
        <w:rPr>
          <w:rFonts w:ascii="Arial" w:cs="Arial" w:eastAsia="Arial" w:hAnsi="Arial"/>
          <w:sz w:val="18"/>
          <w:szCs w:val="18"/>
          <w:color w:val="auto"/>
        </w:rPr>
        <w:t>”), one (1) designated by VPC Impact Acquisition Holdings Sponsor, LLC (the “</w:t>
      </w:r>
      <w:r>
        <w:rPr>
          <w:rFonts w:ascii="Arial" w:cs="Arial" w:eastAsia="Arial" w:hAnsi="Arial"/>
          <w:sz w:val="18"/>
          <w:szCs w:val="18"/>
          <w:u w:val="single" w:color="auto"/>
          <w:color w:val="auto"/>
        </w:rPr>
        <w:t>VIH Sponsor</w:t>
      </w:r>
      <w:r>
        <w:rPr>
          <w:rFonts w:ascii="Arial" w:cs="Arial" w:eastAsia="Arial" w:hAnsi="Arial"/>
          <w:sz w:val="18"/>
          <w:szCs w:val="18"/>
          <w:color w:val="auto"/>
        </w:rPr>
        <w:t>”), and the remaining members to be appointed jointly by Bakkt Opco and the VIH Sponsor.</w:t>
      </w:r>
    </w:p>
    <w:p>
      <w:pPr>
        <w:spacing w:after="0" w:line="18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In connection with the Merger Agreement Amendment, the form of the Stockholders Agreement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which will be entered into by Bakkt Pubco, the Sponsor and the other parties thereto, has been correspondingly amended to reflect the increase in the total number of members of the Board of Directors of VIH to a maximum of nine (9) .</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Proposed Transaction, VIH intends to file a registration statement on Form S-4 that will include a proxy statement/prospectus of VIH. This document is not a substitute for the proxy statement/prospectus, that will be both the proxy statement to be distributed to holders of VIH’s ordinary shares in connection with its solicitation of proxies for the vote by VIH’s shareholders with respect to the Proposed Transaction and other matters as may be described in the registration statement, as well as the prospectus relating to the offer and sale of the securities to be issued in the Domestication. After the registration statement is declared effective, VIH will mail a definitive proxy statement/prospectus and other relevant documents to its shareholders. This document does not contain all the information that should be considered concerning the Proposed Transaction and is not intended to form the basis of any investment decision or any other decision in respect of the Proposed Transaction. VIH’s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Transaction, as these materials will contain important information about Bakkt, VIH and the Proposed Transaction.</w:t>
      </w:r>
    </w:p>
    <w:p>
      <w:pPr>
        <w:spacing w:after="0" w:line="168"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INVESTORS AND SECURITY HOLDERS AND OTHER INTERESTED PARTIES ARE URGED TO READ THE PROXY STATEMENT/PROSPECTUS AND ANY OTHER RELEVANT DOCUMENTS THAT ARE FILED OR WILL BE FILED WITH THE SEC, AS WELL AS ANY AMENDMENTS OR SUPPLEMENTS TO THESE DOCUMENTS, CAREFULLY AND IN THEIR ENTIRETY WHEN THEY BECOME AVAILABLE BECAUSE THEY WILL CONTAIN IMPORTANT INFORMATION ABOUT BAKKT, VIH, THE PROPOSED TRANSACTION AND RELATED MATTERS.</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When available, the definitive proxy statement/prospectus and other relevant materials for the Proposed Transaction will be mailed to shareholders of VIH as of a record date to be established for voting on the Proposed Transaction. VIH shareholders will also be able to obtain copies of the preliminary proxy statement/prospectus, the definitive proxy statement/prospectus and other documents filed with the SEC, without charge, once available,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These documents (when they are available) can also be obtained free of charge from VIH upon written request to VIH by emailing </w:t>
      </w:r>
      <w:r>
        <w:rPr>
          <w:rFonts w:ascii="Arial" w:cs="Arial" w:eastAsia="Arial" w:hAnsi="Arial"/>
          <w:sz w:val="18"/>
          <w:szCs w:val="18"/>
          <w:u w:val="single" w:color="auto"/>
          <w:color w:val="auto"/>
        </w:rPr>
        <w:t>vihinfo@victoryparkcapital.com</w:t>
      </w:r>
      <w:r>
        <w:rPr>
          <w:rFonts w:ascii="Arial" w:cs="Arial" w:eastAsia="Arial" w:hAnsi="Arial"/>
          <w:sz w:val="18"/>
          <w:szCs w:val="18"/>
          <w:color w:val="auto"/>
        </w:rPr>
        <w:t xml:space="preserve"> or by directing a request to VIH’s secretary at c/o Victory Park Capital Advisors, LLC, 150 North Riverside Plaza, Suite 5200, Chicago, IL 60606.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communication is for informational purposes only and is not intended to and shall not constitute an offer to sell or the solicitation of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Solicitation</w:t>
      </w:r>
    </w:p>
    <w:p>
      <w:pPr>
        <w:spacing w:after="0" w:line="121"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This communication is not a solicitation of a proxy from any investor or securityholder. However, VIH, Bakkt, ICE and certain of their respective directors and executive officers may be deemed to be participants in the solicitation of proxies in connection with the Proposed Transaction under the rules of the SEC. Information regarding VIH directors and executive officers may be found in its registration statement on Form S-1, including amendments thereto, and other reports which are filed with the SEC. Additional information regarding the participants will also be included in the registration statement on Form S-4 that includes the preliminary proxy statement/prospectus, when it becomes available. When available, these documents can be obtained free of charge from the sources indicated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Bakkt’s industry and market sizes, future opportunities for VIH, Bakkt and the combined company, VIH’s and Bakkt’s estimated future results and the Proposed Transaction, including the implied enterprise value, the expected transaction and ownership structure and the likelihood and ability of the parties to successfully consummate the Proposed Transaction.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factors previously disclosed in VIH’s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(i) inability to meet the closing conditions to the Proposed Transaction, including the occurrence of any event, change or other circumstances that could give rise to the termination of the definitive agreement; (ii) the inability to complete the Proposed Transaction due to the failure to obtain approval of VIH’s shareholders or Bakkt’s members, the failure to achieve the minimum amount of cash available following any redemptions by VIH’s shareholders or the failure to meet the national stock exchange’s listing standards in connection with the consummation of the Proposed Transaction; (iii) costs related to the Proposed Transaction; (iv) a delay or failure to realize the expected benefits from the Proposed Transaction; (v) risks related to disruption of management time from ongoing business operations due to the Proposed Transaction; (vi) the impact of the ongoing COVID-19 pandemic; (vii) changes in the markets in which Bakkt competes, including with respect to its competitive landscape, technology evolution or regulatory changes; (viii) changes in the markets that Bakkt targets; (ix) risk that Bakkt may not be able to execute its growth strategies, including identifying and executing acquisitions; (x) risks relating to data security; and (xi) risk that Bakkt may not be able to develop and maintain effective internal controls. The foregoing list of factors is not exhaustive. You should carefully consider the foregoing factors and the other risks and uncertainties described in the “Risk Factors” section of VIH’s final prospectus dated September 22, 2020 relating to its initial public offering, the registration statement on Form S-4 and proxy statement/prospectus discussed above and other documents filed by VIH from time to time with the SEC. These filings identify and address, or will identify and address, other important risks and uncertainties that could cause actual events and results to differ materially from those contained in the forward-looking statements.</w:t>
      </w:r>
    </w:p>
    <w:p>
      <w:pPr>
        <w:spacing w:after="0" w:line="180"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w:t>
      </w:r>
    </w:p>
    <w:p>
      <w:pPr>
        <w:sectPr>
          <w:pgSz w:w="11900" w:h="16838" w:orient="portrait"/>
          <w:cols w:equalWidth="0" w:num="1">
            <w:col w:w="11000"/>
          </w:cols>
          <w:pgMar w:left="440" w:top="270" w:right="459" w:bottom="1440" w:gutter="0" w:footer="0" w:header="0"/>
        </w:sectPr>
      </w:pPr>
    </w:p>
    <w:bookmarkStart w:id="3" w:name="page4"/>
    <w:bookmarkEnd w:id="3"/>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speaks only as of the date hereof in the case of information about VIH and Bakkt or the date of such information in the case of information from persons other than VIH or Bakkt, and we disclaim any intention or obligation to update any forward looking statements as a result of developments occurring after the date of this communication. Forecasts and estimates regarding Bakkt’s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ectPr>
          <w:pgSz w:w="11900" w:h="16838" w:orient="portrait"/>
          <w:cols w:equalWidth="0" w:num="1">
            <w:col w:w="10880"/>
          </w:cols>
          <w:pgMar w:left="440" w:top="274" w:right="5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140" w:type="dxa"/>
            <w:vAlign w:val="bottom"/>
            <w:gridSpan w:val="4"/>
          </w:tcPr>
          <w:p>
            <w:pPr>
              <w:ind w:left="21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93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Amendment to Agreement and Plan of Merger, dated as of March 30, 2021, by and among the Registrant, Pylon Merger Company</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80" w:type="dxa"/>
            <w:vAlign w:val="bottom"/>
            <w:gridSpan w:val="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LLC and Bakkt Holdings, LLC</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380" w:type="dxa"/>
            <w:vAlign w:val="bottom"/>
            <w:gridSpan w:val="5"/>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Form of Stockholders Agreement to be entered into by and among the Registrant, its executive officers, its directors, VPC Impact</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Acquisition Holdings Sponsor, LLC, and Bakkt Holdings, Inc.</w:t>
              </w:r>
            </w:hyperlink>
          </w:p>
        </w:tc>
        <w:tc>
          <w:tcPr>
            <w:tcW w:w="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22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840"/>
          </w:cols>
          <w:pgMar w:left="440" w:top="270" w:right="6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VPC Impact Acquisition Holdings</w:t>
            </w:r>
          </w:p>
        </w:tc>
      </w:tr>
      <w:tr>
        <w:trPr>
          <w:trHeight w:val="432"/>
        </w:trPr>
        <w:tc>
          <w:tcPr>
            <w:tcW w:w="6160" w:type="dxa"/>
            <w:vAlign w:val="bottom"/>
          </w:tcPr>
          <w:p>
            <w:pPr>
              <w:spacing w:after="0"/>
              <w:rPr>
                <w:sz w:val="20"/>
                <w:szCs w:val="20"/>
                <w:color w:val="auto"/>
              </w:rPr>
            </w:pPr>
            <w:r>
              <w:rPr>
                <w:rFonts w:ascii="Arial" w:cs="Arial" w:eastAsia="Arial" w:hAnsi="Arial"/>
                <w:sz w:val="18"/>
                <w:szCs w:val="18"/>
                <w:color w:val="auto"/>
              </w:rPr>
              <w:t>Date: March 31, 2021</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6160" w:type="dxa"/>
            <w:vAlign w:val="bottom"/>
          </w:tcPr>
          <w:p>
            <w:pPr>
              <w:ind w:left="55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Martin</w:t>
            </w:r>
          </w:p>
        </w:tc>
      </w:tr>
      <w:tr>
        <w:trPr>
          <w:trHeight w:val="230"/>
        </w:trPr>
        <w:tc>
          <w:tcPr>
            <w:tcW w:w="6160" w:type="dxa"/>
            <w:vAlign w:val="bottom"/>
          </w:tcPr>
          <w:p>
            <w:pPr>
              <w:ind w:left="55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ectPr>
          <w:pgSz w:w="11900" w:h="16838" w:orient="portrait"/>
          <w:cols w:equalWidth="0" w:num="1">
            <w:col w:w="11020"/>
          </w:cols>
          <w:pgMar w:left="440" w:top="274"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TO AGREEMENT AND PLAN OF MERGER</w:t>
      </w:r>
    </w:p>
    <w:p>
      <w:pPr>
        <w:spacing w:after="0" w:line="229"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This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to that certain Agreement and Plan of Merger, dated as of January 11, 2021, by and among VPC Impact Acquisition Holdings, a Cayman Islands exempted company (“</w:t>
      </w:r>
      <w:r>
        <w:rPr>
          <w:rFonts w:ascii="Arial" w:cs="Arial" w:eastAsia="Arial" w:hAnsi="Arial"/>
          <w:sz w:val="18"/>
          <w:szCs w:val="18"/>
          <w:u w:val="single" w:color="auto"/>
          <w:color w:val="auto"/>
        </w:rPr>
        <w:t>VIH</w:t>
      </w:r>
      <w:r>
        <w:rPr>
          <w:rFonts w:ascii="Arial" w:cs="Arial" w:eastAsia="Arial" w:hAnsi="Arial"/>
          <w:sz w:val="18"/>
          <w:szCs w:val="18"/>
          <w:color w:val="auto"/>
        </w:rPr>
        <w:t>”), Pylon Merger Company LLC, a Delaware limited liability company and wholly-owned subsidiary of VIH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(as the same may be further amended, modified, supplemented or waived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is entered into on March 30, 2021, by and among VIH, Merger Sub, and Bakkt Opco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and not otherwise defined herein have the meanings set forth in the Merger Agreement.</w:t>
      </w:r>
    </w:p>
    <w:p>
      <w:pPr>
        <w:spacing w:after="0" w:line="192"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WHEREAS, pursuant to Section 11.10 of the Merger Agreement, the Merger Agreement may be amended by an instrument in writing and signed by the Parties; and</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WHEREAS, the Parties wish to amend the Merger Agreement on the terms set forth herein.</w:t>
      </w:r>
    </w:p>
    <w:p>
      <w:pPr>
        <w:spacing w:after="0" w:line="225" w:lineRule="exact"/>
        <w:rPr>
          <w:sz w:val="20"/>
          <w:szCs w:val="20"/>
          <w:color w:val="auto"/>
        </w:rPr>
      </w:pPr>
    </w:p>
    <w:p>
      <w:pPr>
        <w:ind w:left="4" w:right="640" w:firstLine="440"/>
        <w:spacing w:after="0" w:line="277" w:lineRule="auto"/>
        <w:rPr>
          <w:sz w:val="20"/>
          <w:szCs w:val="20"/>
          <w:color w:val="auto"/>
        </w:rPr>
      </w:pPr>
      <w:r>
        <w:rPr>
          <w:rFonts w:ascii="Arial" w:cs="Arial" w:eastAsia="Arial" w:hAnsi="Arial"/>
          <w:sz w:val="18"/>
          <w:szCs w:val="18"/>
          <w:color w:val="auto"/>
        </w:rPr>
        <w:t>NOW, THEREFORE, in consideration of the foregoing recitals, which shall constitute a part of this Amendment, and the mutual promises contained in this Amendment, and intending to be legally bound thereby, the Parties agree as follows:</w:t>
      </w:r>
    </w:p>
    <w:p>
      <w:pPr>
        <w:spacing w:after="0" w:line="76"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Certain Amendments to the Merger Agreement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first sentence of Section 5.12(a) of the Merger Agreement is hereby replaced in its entirety with the following:</w:t>
      </w:r>
    </w:p>
    <w:p>
      <w:pPr>
        <w:spacing w:after="0" w:line="130" w:lineRule="exact"/>
        <w:rPr>
          <w:rFonts w:ascii="Arial" w:cs="Arial" w:eastAsia="Arial" w:hAnsi="Arial"/>
          <w:sz w:val="18"/>
          <w:szCs w:val="18"/>
          <w:color w:val="auto"/>
        </w:rPr>
      </w:pPr>
    </w:p>
    <w:p>
      <w:pPr>
        <w:jc w:val="both"/>
        <w:ind w:left="1424" w:right="260" w:hanging="439"/>
        <w:spacing w:after="0" w:line="291" w:lineRule="auto"/>
        <w:tabs>
          <w:tab w:leader="none" w:pos="1424" w:val="left"/>
        </w:tabs>
        <w:numPr>
          <w:ilvl w:val="2"/>
          <w:numId w:val="3"/>
        </w:numPr>
        <w:rPr>
          <w:rFonts w:ascii="Arial" w:cs="Arial" w:eastAsia="Arial" w:hAnsi="Arial"/>
          <w:sz w:val="16"/>
          <w:szCs w:val="16"/>
          <w:color w:val="auto"/>
        </w:rPr>
      </w:pPr>
      <w:r>
        <w:rPr>
          <w:rFonts w:ascii="Arial" w:cs="Arial" w:eastAsia="Arial" w:hAnsi="Arial"/>
          <w:sz w:val="16"/>
          <w:szCs w:val="16"/>
          <w:color w:val="auto"/>
        </w:rPr>
        <w:t>The Parties shall take all necessary action, including causing the directors of VIH to resign, so that effective as of the Closing, the board of directors of Bakkt Pubco (the “</w:t>
      </w:r>
      <w:r>
        <w:rPr>
          <w:rFonts w:ascii="Arial" w:cs="Arial" w:eastAsia="Arial" w:hAnsi="Arial"/>
          <w:sz w:val="16"/>
          <w:szCs w:val="16"/>
          <w:u w:val="single" w:color="auto"/>
          <w:color w:val="auto"/>
        </w:rPr>
        <w:t>Post-Closing Bakkt Pubco Board</w:t>
      </w:r>
      <w:r>
        <w:rPr>
          <w:rFonts w:ascii="Arial" w:cs="Arial" w:eastAsia="Arial" w:hAnsi="Arial"/>
          <w:sz w:val="16"/>
          <w:szCs w:val="16"/>
          <w:color w:val="auto"/>
        </w:rPr>
        <w:t>”) will consist of five to nine (5 to 9) members, with one</w:t>
      </w:r>
    </w:p>
    <w:p>
      <w:pPr>
        <w:ind w:left="1424" w:right="80"/>
        <w:spacing w:after="0" w:line="260" w:lineRule="auto"/>
        <w:rPr>
          <w:rFonts w:ascii="Arial" w:cs="Arial" w:eastAsia="Arial" w:hAnsi="Arial"/>
          <w:sz w:val="16"/>
          <w:szCs w:val="16"/>
          <w:color w:val="auto"/>
        </w:rPr>
      </w:pPr>
      <w:r>
        <w:rPr>
          <w:rFonts w:ascii="Arial" w:cs="Arial" w:eastAsia="Arial" w:hAnsi="Arial"/>
          <w:sz w:val="18"/>
          <w:szCs w:val="18"/>
          <w:color w:val="auto"/>
        </w:rPr>
        <w:t>(1) designated by Bakkt Opco, one (1) designated by the VIH Sponsor, and the remaining members to be appointed jointly by Bakkt Opco and the VIH Sponsor (collectively, the “</w:t>
      </w:r>
      <w:r>
        <w:rPr>
          <w:rFonts w:ascii="Arial" w:cs="Arial" w:eastAsia="Arial" w:hAnsi="Arial"/>
          <w:sz w:val="18"/>
          <w:szCs w:val="18"/>
          <w:u w:val="single" w:color="auto"/>
          <w:color w:val="auto"/>
        </w:rPr>
        <w:t>Post-Closing Directors</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964" w:right="680" w:hanging="532"/>
        <w:spacing w:after="0" w:line="277"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Exhibit F to the Merger Agreement (the Stockholders Agreement), is hereby replaced in its entirety by the form attached hereto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hanging="424"/>
        <w:spacing w:after="0" w:line="255"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xml:space="preserve">. Except as otherwise expressly set forth in this Amendment, the provisions of the Merger Agreement, as amended by this Amendment, remain in full force and effect. From and after the date hereof, references to “this Agreement” or Section 5.12 in the Merger Agreement shall be deemed references to the Merger Agreement or Section 5.12, respectively, in each case as amended by this Amendment. From and after the date hereof, references to (i) “Exhibit F” and/or the “Stockholders Agreement” including in the Merger Agreement and/or any Exhibit thereto or (ii) “this Agreement” in the Stockholders Agreement, as applicable, shall be deemed references to the form of Exhibit F attached hereto as </w:t>
      </w:r>
      <w:r>
        <w:rPr>
          <w:rFonts w:ascii="Arial" w:cs="Arial" w:eastAsia="Arial" w:hAnsi="Arial"/>
          <w:sz w:val="18"/>
          <w:szCs w:val="18"/>
          <w:u w:val="single" w:color="auto"/>
          <w:color w:val="auto"/>
        </w:rPr>
        <w:t>Attachment 1</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and the Merger Agreement (which includes the Bakkt Disclosure Letter, the VIH Disclosure Letter, the other schedules thereto and the exhibits thereto), as amended pursuant to this Amendment, the Transaction Documents and the Confidentiality Agreement set forth the entire understanding of the Parties with respect to the Transactions. Any and all previous agreements and understandings between or among the Parties regarding the subject matter hereof, whether written or oral, are superseded by the documents and agreements referred to in this section.</w:t>
      </w:r>
    </w:p>
    <w:p>
      <w:pPr>
        <w:sectPr>
          <w:pgSz w:w="11900" w:h="16838" w:orient="portrait"/>
          <w:cols w:equalWidth="0" w:num="1">
            <w:col w:w="11024"/>
          </w:cols>
          <w:pgMar w:left="436" w:top="121" w:right="439" w:bottom="1440" w:gutter="0" w:footer="0" w:header="0"/>
        </w:sectPr>
      </w:pPr>
    </w:p>
    <w:bookmarkStart w:id="7" w:name="page8"/>
    <w:bookmarkEnd w:id="7"/>
    <w:p>
      <w:pPr>
        <w:ind w:left="424" w:hanging="424"/>
        <w:spacing w:after="0" w:line="263"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 xml:space="preserve">. Article XI of the Merger Agreement is hereby incorporated by reference and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as if set forth at length herein. Descriptive headings are for convenience only and shall not control or affect the meaning or construction of any provision of this Amendment.</w:t>
      </w:r>
    </w:p>
    <w:p>
      <w:pPr>
        <w:spacing w:after="0" w:line="183"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1" w:lineRule="exact"/>
        <w:rPr>
          <w:sz w:val="20"/>
          <w:szCs w:val="20"/>
          <w:color w:val="auto"/>
        </w:rPr>
      </w:pPr>
    </w:p>
    <w:p>
      <w:pPr>
        <w:jc w:val="center"/>
        <w:ind w:right="-18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4"/>
          </w:cols>
          <w:pgMar w:left="436" w:top="274" w:right="619" w:bottom="1440" w:gutter="0" w:footer="0" w:header="0"/>
        </w:sectPr>
      </w:pPr>
    </w:p>
    <w:bookmarkStart w:id="8" w:name="page9"/>
    <w:bookmarkEnd w:id="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OPCO</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Gavin Michael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9" w:name="page10"/>
    <w:bookmarkEnd w:id="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VIH</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0" w:name="page11"/>
    <w:bookmarkEnd w:id="1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Amendment to the Merger Agreement to be duly executed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MERGER SUB</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PYLON MERGER COMPANY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VPC Impact Acquisition Holdings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COO</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Merger Agreement</w:t>
      </w:r>
      <w:r>
        <w:rPr>
          <w:rFonts w:ascii="Arial" w:cs="Arial" w:eastAsia="Arial" w:hAnsi="Arial"/>
          <w:sz w:val="18"/>
          <w:szCs w:val="18"/>
          <w:color w:val="auto"/>
        </w:rPr>
        <w:t>]</w:t>
      </w:r>
    </w:p>
    <w:p>
      <w:pPr>
        <w:sectPr>
          <w:pgSz w:w="11900" w:h="16838" w:orient="portrait"/>
          <w:cols w:equalWidth="0" w:num="1">
            <w:col w:w="10780"/>
          </w:cols>
          <w:pgMar w:left="440" w:top="274" w:right="6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ATTACHMENT 1</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STOCKHOLDERS AGREEMENT</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FORM</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 2021</w:t>
      </w:r>
    </w:p>
    <w:p>
      <w:pPr>
        <w:sectPr>
          <w:pgSz w:w="11900" w:h="16838" w:orient="portrait"/>
          <w:cols w:equalWidth="0" w:num="1">
            <w:col w:w="10020"/>
          </w:cols>
          <w:pgMar w:left="1440" w:top="270"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34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340" w:type="dxa"/>
            <w:vAlign w:val="bottom"/>
          </w:tcPr>
          <w:p>
            <w:pPr>
              <w:ind w:left="6040"/>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37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370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6340" w:type="dxa"/>
            <w:vAlign w:val="bottom"/>
          </w:tcPr>
          <w:p>
            <w:pPr>
              <w:ind w:left="6040"/>
              <w:spacing w:after="0"/>
              <w:rPr>
                <w:sz w:val="20"/>
                <w:szCs w:val="20"/>
                <w:color w:val="auto"/>
              </w:rPr>
            </w:pPr>
            <w:r>
              <w:rPr>
                <w:rFonts w:ascii="Arial" w:cs="Arial" w:eastAsia="Arial" w:hAnsi="Arial"/>
                <w:sz w:val="18"/>
                <w:szCs w:val="18"/>
                <w:color w:val="auto"/>
              </w:rPr>
              <w:t>7</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 CORPORATE GOVERNANCE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2.01  Election of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370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2.03</w:t>
            </w:r>
          </w:p>
        </w:tc>
        <w:tc>
          <w:tcPr>
            <w:tcW w:w="3700" w:type="dxa"/>
            <w:vAlign w:val="bottom"/>
          </w:tcPr>
          <w:p>
            <w:pPr>
              <w:ind w:left="100"/>
              <w:spacing w:after="0"/>
              <w:rPr>
                <w:sz w:val="20"/>
                <w:szCs w:val="20"/>
                <w:color w:val="auto"/>
              </w:rPr>
            </w:pPr>
            <w:r>
              <w:rPr>
                <w:rFonts w:ascii="Arial" w:cs="Arial" w:eastAsia="Arial" w:hAnsi="Arial"/>
                <w:sz w:val="18"/>
                <w:szCs w:val="18"/>
                <w:color w:val="auto"/>
              </w:rPr>
              <w:t>Independent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w w:val="99"/>
              </w:rPr>
              <w:t>Section 2.04  Compensation; Reimbursement of Expenses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37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3700" w:type="dxa"/>
            <w:vAlign w:val="bottom"/>
          </w:tcPr>
          <w:p>
            <w:pPr>
              <w:ind w:left="100"/>
              <w:spacing w:after="0"/>
              <w:rPr>
                <w:sz w:val="20"/>
                <w:szCs w:val="20"/>
                <w:color w:val="auto"/>
              </w:rPr>
            </w:pPr>
            <w:r>
              <w:rPr>
                <w:rFonts w:ascii="Arial" w:cs="Arial" w:eastAsia="Arial" w:hAnsi="Arial"/>
                <w:sz w:val="18"/>
                <w:szCs w:val="18"/>
                <w:color w:val="auto"/>
              </w:rPr>
              <w:t>D&amp;O Insurance</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3700" w:type="dxa"/>
            <w:vAlign w:val="bottom"/>
          </w:tcPr>
          <w:p>
            <w:pPr>
              <w:ind w:left="100"/>
              <w:spacing w:after="0"/>
              <w:rPr>
                <w:sz w:val="20"/>
                <w:szCs w:val="20"/>
                <w:color w:val="auto"/>
              </w:rPr>
            </w:pPr>
            <w:r>
              <w:rPr>
                <w:rFonts w:ascii="Arial" w:cs="Arial" w:eastAsia="Arial" w:hAnsi="Arial"/>
                <w:sz w:val="18"/>
                <w:szCs w:val="18"/>
                <w:color w:val="auto"/>
              </w:rPr>
              <w:t>Information Sharing</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37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III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3.01  General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3.02</w:t>
            </w:r>
          </w:p>
        </w:tc>
        <w:tc>
          <w:tcPr>
            <w:tcW w:w="3700" w:type="dxa"/>
            <w:vAlign w:val="bottom"/>
          </w:tcPr>
          <w:p>
            <w:pPr>
              <w:ind w:left="100"/>
              <w:spacing w:after="0"/>
              <w:rPr>
                <w:sz w:val="20"/>
                <w:szCs w:val="20"/>
                <w:color w:val="auto"/>
              </w:rPr>
            </w:pPr>
            <w:r>
              <w:rPr>
                <w:rFonts w:ascii="Arial" w:cs="Arial" w:eastAsia="Arial" w:hAnsi="Arial"/>
                <w:sz w:val="18"/>
                <w:szCs w:val="18"/>
                <w:color w:val="auto"/>
              </w:rPr>
              <w:t>Permitted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5"/>
              </w:rPr>
              <w:t>Section 3.03  Miscellaneous Provisions Relating to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11</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IV GENERAL PROVISIONS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4.01</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4.02</w:t>
            </w:r>
          </w:p>
        </w:tc>
        <w:tc>
          <w:tcPr>
            <w:tcW w:w="37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3700" w:type="dxa"/>
            <w:vAlign w:val="bottom"/>
          </w:tcPr>
          <w:p>
            <w:pPr>
              <w:ind w:left="100"/>
              <w:spacing w:after="0"/>
              <w:rPr>
                <w:sz w:val="20"/>
                <w:szCs w:val="20"/>
                <w:color w:val="auto"/>
              </w:rPr>
            </w:pPr>
            <w:r>
              <w:rPr>
                <w:rFonts w:ascii="Arial" w:cs="Arial" w:eastAsia="Arial" w:hAnsi="Arial"/>
                <w:sz w:val="18"/>
                <w:szCs w:val="18"/>
                <w:color w:val="auto"/>
              </w:rPr>
              <w:t>Amendment; Waiver</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37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370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4.06</w:t>
            </w:r>
          </w:p>
        </w:tc>
        <w:tc>
          <w:tcPr>
            <w:tcW w:w="370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37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4.08  Jurisdiction; WAIVER OF JURY TRIAL</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4.09</w:t>
            </w:r>
          </w:p>
        </w:tc>
        <w:tc>
          <w:tcPr>
            <w:tcW w:w="370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370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37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4.12  Table of Contents, Headings and Captions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37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4.14  Subsequent Acquisition of Securities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370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AGREEMENT</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Stockholders Agreement is entered into as of [•], 2021, by and among (i) Bakkt Holdings, Inc., a Delaware corporation (“</w:t>
      </w:r>
      <w:r>
        <w:rPr>
          <w:rFonts w:ascii="Arial" w:cs="Arial" w:eastAsia="Arial" w:hAnsi="Arial"/>
          <w:sz w:val="18"/>
          <w:szCs w:val="18"/>
          <w:u w:val="single" w:color="auto"/>
          <w:color w:val="auto"/>
        </w:rPr>
        <w:t>Pubco</w:t>
      </w:r>
      <w:r>
        <w:rPr>
          <w:rFonts w:ascii="Arial" w:cs="Arial" w:eastAsia="Arial" w:hAnsi="Arial"/>
          <w:sz w:val="18"/>
          <w:szCs w:val="18"/>
          <w:color w:val="auto"/>
        </w:rPr>
        <w:t xml:space="preserve">”), (ii) 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and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together with the Bakkt Equity Holders,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WHEREAS, Pubco, Pylon Merger Company LLC, a Delaware limited liability company and wholly 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entered into that certain Agreement and Plan of Merger, dated as of January 11,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being the surviving limited liability company of the Merger;</w:t>
      </w:r>
    </w:p>
    <w:p>
      <w:pPr>
        <w:spacing w:after="0" w:line="18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WHEREAS, (i) prior to the consummation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Arial" w:cs="Arial" w:eastAsia="Arial" w:hAnsi="Arial"/>
          <w:sz w:val="16"/>
          <w:szCs w:val="16"/>
          <w:u w:val="single" w:color="auto"/>
          <w:color w:val="auto"/>
        </w:rPr>
        <w:t>Domestication</w:t>
      </w:r>
      <w:r>
        <w:rPr>
          <w:rFonts w:ascii="Arial" w:cs="Arial" w:eastAsia="Arial" w:hAnsi="Arial"/>
          <w:sz w:val="16"/>
          <w:szCs w:val="16"/>
          <w:color w:val="auto"/>
        </w:rPr>
        <w:t>”);</w:t>
      </w:r>
    </w:p>
    <w:p>
      <w:pPr>
        <w:spacing w:after="0" w:line="14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Arial" w:cs="Arial" w:eastAsia="Arial" w:hAnsi="Arial"/>
          <w:sz w:val="16"/>
          <w:szCs w:val="16"/>
          <w:u w:val="single" w:color="auto"/>
          <w:color w:val="auto"/>
        </w:rPr>
        <w:t>Pubco Common Stock Conversion</w:t>
      </w:r>
      <w:r>
        <w:rPr>
          <w:rFonts w:ascii="Arial" w:cs="Arial" w:eastAsia="Arial" w:hAnsi="Arial"/>
          <w:sz w:val="16"/>
          <w:szCs w:val="16"/>
          <w:color w:val="auto"/>
        </w:rPr>
        <w:t>”);</w:t>
      </w:r>
    </w:p>
    <w:p>
      <w:pPr>
        <w:spacing w:after="0" w:line="16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ectPr>
          <w:pgSz w:w="11900" w:h="16838" w:orient="portrait"/>
          <w:cols w:equalWidth="0" w:num="1">
            <w:col w:w="11000"/>
          </w:cols>
          <w:pgMar w:left="440" w:top="270" w:right="459" w:bottom="1440" w:gutter="0" w:footer="0" w:header="0"/>
        </w:sectPr>
      </w:pPr>
    </w:p>
    <w:bookmarkStart w:id="15" w:name="page16"/>
    <w:bookmarkEnd w:id="15"/>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INTRODUCTORY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this Agreement, the following terms have the following meanings: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such specified Person.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Equity Holders Lock-Up Shares</w:t>
      </w:r>
      <w:r>
        <w:rPr>
          <w:rFonts w:ascii="Arial" w:cs="Arial" w:eastAsia="Arial" w:hAnsi="Arial"/>
          <w:sz w:val="17"/>
          <w:szCs w:val="17"/>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Common Units</w:t>
      </w:r>
      <w:r>
        <w:rPr>
          <w:rFonts w:ascii="Arial" w:cs="Arial" w:eastAsia="Arial" w:hAnsi="Arial"/>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promulgated under the Exchange Act.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Pubco, adopted on or substantially around the date of this Agreement, as the same may be amended or restated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16" w:name="page17"/>
    <w:bookmarkEnd w:id="16"/>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left="4" w:right="80" w:hanging="4"/>
        <w:spacing w:after="0" w:line="271" w:lineRule="auto"/>
        <w:tabs>
          <w:tab w:leader="none" w:pos="259"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78"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left="4" w:right="360" w:hanging="4"/>
        <w:spacing w:after="0" w:line="260" w:lineRule="auto"/>
        <w:tabs>
          <w:tab w:leader="none" w:pos="2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84"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does not include information:</w:t>
      </w:r>
    </w:p>
    <w:p>
      <w:pPr>
        <w:spacing w:after="0" w:line="80" w:lineRule="exact"/>
        <w:rPr>
          <w:sz w:val="20"/>
          <w:szCs w:val="20"/>
          <w:color w:val="auto"/>
        </w:rPr>
      </w:pPr>
    </w:p>
    <w:p>
      <w:pPr>
        <w:ind w:left="444" w:right="1140" w:firstLine="419"/>
        <w:spacing w:after="0" w:line="277" w:lineRule="auto"/>
        <w:tabs>
          <w:tab w:leader="none" w:pos="111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such Stockholder or any of its Designated Representatives in violation of this Agreement;</w:t>
      </w:r>
    </w:p>
    <w:p>
      <w:pPr>
        <w:spacing w:after="0" w:line="62" w:lineRule="exact"/>
        <w:rPr>
          <w:rFonts w:ascii="Arial" w:cs="Arial" w:eastAsia="Arial" w:hAnsi="Arial"/>
          <w:sz w:val="18"/>
          <w:szCs w:val="18"/>
          <w:color w:val="auto"/>
        </w:rPr>
      </w:pPr>
    </w:p>
    <w:p>
      <w:pPr>
        <w:ind w:left="444" w:firstLine="419"/>
        <w:spacing w:after="0" w:line="263" w:lineRule="auto"/>
        <w:tabs>
          <w:tab w:leader="none" w:pos="11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7" w:name="page18"/>
    <w:bookmarkEnd w:id="17"/>
    <w:p>
      <w:pPr>
        <w:ind w:left="440" w:right="260" w:firstLine="419"/>
        <w:spacing w:after="0" w:line="311" w:lineRule="auto"/>
        <w:tabs>
          <w:tab w:leader="none" w:pos="1108" w:val="left"/>
        </w:tabs>
        <w:numPr>
          <w:ilvl w:val="1"/>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40" w:lineRule="exact"/>
        <w:rPr>
          <w:rFonts w:ascii="Arial" w:cs="Arial" w:eastAsia="Arial" w:hAnsi="Arial"/>
          <w:sz w:val="16"/>
          <w:szCs w:val="16"/>
          <w:color w:val="auto"/>
        </w:rPr>
      </w:pPr>
    </w:p>
    <w:p>
      <w:pPr>
        <w:ind w:left="440" w:right="200" w:firstLine="419"/>
        <w:spacing w:after="0" w:line="308" w:lineRule="auto"/>
        <w:tabs>
          <w:tab w:leader="none" w:pos="1118" w:val="left"/>
        </w:tabs>
        <w:numPr>
          <w:ilvl w:val="1"/>
          <w:numId w:val="8"/>
        </w:numPr>
        <w:rPr>
          <w:rFonts w:ascii="Arial" w:cs="Arial" w:eastAsia="Arial" w:hAnsi="Arial"/>
          <w:sz w:val="17"/>
          <w:szCs w:val="17"/>
          <w:color w:val="auto"/>
        </w:rPr>
      </w:pPr>
      <w:r>
        <w:rPr>
          <w:rFonts w:ascii="Arial" w:cs="Arial" w:eastAsia="Arial" w:hAnsi="Arial"/>
          <w:sz w:val="17"/>
          <w:szCs w:val="17"/>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38" w:lineRule="exact"/>
        <w:rPr>
          <w:rFonts w:ascii="Arial" w:cs="Arial" w:eastAsia="Arial" w:hAnsi="Arial"/>
          <w:sz w:val="17"/>
          <w:szCs w:val="17"/>
          <w:color w:val="auto"/>
        </w:rPr>
      </w:pPr>
    </w:p>
    <w:p>
      <w:pPr>
        <w:ind w:left="440" w:firstLine="419"/>
        <w:spacing w:after="0" w:line="291" w:lineRule="auto"/>
        <w:tabs>
          <w:tab w:leader="none" w:pos="1108"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that such Stockholder or any of its Designated Representatives is required or requested, in the good faith determination of such Stockholder or such Designated Representative, to disclose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or such Designated Representative,</w:t>
      </w:r>
    </w:p>
    <w:p>
      <w:pPr>
        <w:ind w:left="440" w:right="80" w:hanging="4"/>
        <w:spacing w:after="0" w:line="271"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 w:name="page19"/>
    <w:bookmarkEnd w:id="1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 2021, by and among Pubco, Bakkt Opco and the other parties thereto.</w:t>
      </w:r>
    </w:p>
    <w:p>
      <w:pPr>
        <w:spacing w:after="0" w:line="24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Board</w:t>
      </w:r>
      <w:r>
        <w:rPr>
          <w:rFonts w:ascii="Arial" w:cs="Arial" w:eastAsia="Arial" w:hAnsi="Arial"/>
          <w:sz w:val="18"/>
          <w:szCs w:val="18"/>
          <w:color w:val="auto"/>
        </w:rPr>
        <w:t>” means the Board of Directors of Pubco immediately following the consummation of the Transactions.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as of September 22, 2020, by and among Pubco, the Sponsor and the other signatories thereto.</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Periods</w:t>
      </w:r>
      <w:r>
        <w:rPr>
          <w:rFonts w:ascii="Arial" w:cs="Arial" w:eastAsia="Arial" w:hAnsi="Arial"/>
          <w:sz w:val="16"/>
          <w:szCs w:val="16"/>
          <w:color w:val="auto"/>
        </w:rPr>
        <w:t>” means the Bakkt Equity Holders Lock-Up Period, the Private Placement Lock- Up Period and the Sponsor Lock-Up Period.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Shares</w:t>
      </w:r>
      <w:r>
        <w:rPr>
          <w:rFonts w:ascii="Arial" w:cs="Arial" w:eastAsia="Arial" w:hAnsi="Arial"/>
          <w:sz w:val="16"/>
          <w:szCs w:val="16"/>
          <w:color w:val="auto"/>
        </w:rPr>
        <w:t>” means the Bakkt Equity Holders Lock-Up Shares, the Private Placement Lock- Up Shares and the Sponsor Lock-Up Shares.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 “</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19" w:name="page20"/>
    <w:bookmarkEnd w:id="19"/>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the New York Stock Exchange.</w:t>
      </w:r>
    </w:p>
    <w:p>
      <w:pPr>
        <w:spacing w:after="0" w:line="225"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2" w:lineRule="exact"/>
        <w:rPr>
          <w:sz w:val="20"/>
          <w:szCs w:val="20"/>
          <w:color w:val="auto"/>
        </w:rPr>
      </w:pPr>
    </w:p>
    <w:p>
      <w:pPr>
        <w:ind w:left="4" w:right="200" w:hanging="4"/>
        <w:spacing w:after="0" w:line="260" w:lineRule="auto"/>
        <w:tabs>
          <w:tab w:leader="none" w:pos="24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 Stockholder: (a) any Sponsor Member, (b) any Immediate Family Member of such Stockholder,</w:t>
      </w:r>
    </w:p>
    <w:p>
      <w:pPr>
        <w:spacing w:after="0" w:line="46" w:lineRule="exact"/>
        <w:rPr>
          <w:sz w:val="20"/>
          <w:szCs w:val="20"/>
          <w:color w:val="auto"/>
        </w:rPr>
      </w:pPr>
    </w:p>
    <w:p>
      <w:pPr>
        <w:ind w:left="4" w:right="540" w:hanging="4"/>
        <w:spacing w:after="0" w:line="260"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Affiliate of such Stockholder, (d) any Affiliate of any Sponsor Member or any Immediate Family Member of such Stockholder, or (e) any Controlled Entity of such Stockholder.</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Lock-Up Period</w:t>
      </w:r>
      <w:r>
        <w:rPr>
          <w:rFonts w:ascii="Arial" w:cs="Arial" w:eastAsia="Arial" w:hAnsi="Arial"/>
          <w:sz w:val="16"/>
          <w:szCs w:val="16"/>
          <w:color w:val="auto"/>
        </w:rPr>
        <w:t>” means the Private Placement Warrants Lock-up Period (as defined in the Insider Letter as of the date hereof).</w:t>
      </w:r>
    </w:p>
    <w:p>
      <w:pPr>
        <w:spacing w:after="0" w:line="24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Shares</w:t>
      </w:r>
      <w:r>
        <w:rPr>
          <w:rFonts w:ascii="Arial" w:cs="Arial" w:eastAsia="Arial" w:hAnsi="Arial"/>
          <w:sz w:val="18"/>
          <w:szCs w:val="18"/>
          <w:color w:val="auto"/>
        </w:rPr>
        <w:t>” means the Sponsor Warrants and any shares of Class A Common Stock resulting from the exercise of any Sponsor Warrant.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means the Founder Shares Lock-up Period (as defined in the Insider Letter as of the date hereof).</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0" w:name="page21"/>
    <w:bookmarkEnd w:id="20"/>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Sponsor Lock-Up Shares</w:t>
      </w:r>
      <w:r>
        <w:rPr>
          <w:rFonts w:ascii="Arial" w:cs="Arial" w:eastAsia="Arial" w:hAnsi="Arial"/>
          <w:sz w:val="18"/>
          <w:szCs w:val="18"/>
          <w:color w:val="auto"/>
        </w:rPr>
        <w:t xml:space="preserve">” means the Equity Securities of Pubco, including shares of Class A Common Stock, Beneficially Owned or otherwise held, directly or indirectly, by the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w:t>
      </w:r>
      <w:r>
        <w:rPr>
          <w:rFonts w:ascii="Arial" w:cs="Arial" w:eastAsia="Arial" w:hAnsi="Arial"/>
          <w:sz w:val="18"/>
          <w:szCs w:val="18"/>
          <w:color w:val="auto"/>
        </w:rPr>
        <w:t>” means any direct or indirect equityholder of Sponsor as of the date of this Agreement.</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Warrants</w:t>
      </w:r>
      <w:r>
        <w:rPr>
          <w:rFonts w:ascii="Arial" w:cs="Arial" w:eastAsia="Arial" w:hAnsi="Arial"/>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Purchaser</w:t>
      </w:r>
      <w:r>
        <w:rPr>
          <w:rFonts w:ascii="Arial" w:cs="Arial" w:eastAsia="Arial" w:hAnsi="Arial"/>
          <w:sz w:val="18"/>
          <w:szCs w:val="18"/>
          <w:color w:val="auto"/>
        </w:rPr>
        <w:t>” means any Person who, immediately prior to the contemplated transaction, does not Beneficially Own or directly or indirectly have the right to acquire any outstanding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other forms of the word “Transfer” shall have correlative meanings.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w:t>
      </w:r>
      <w:r>
        <w:rPr>
          <w:rFonts w:ascii="Arial" w:cs="Arial" w:eastAsia="Arial" w:hAnsi="Arial"/>
          <w:sz w:val="16"/>
          <w:szCs w:val="16"/>
          <w:b w:val="1"/>
          <w:bCs w:val="1"/>
          <w:color w:val="auto"/>
        </w:rPr>
        <w:t xml:space="preserve"> </w:t>
      </w:r>
      <w:r>
        <w:rPr>
          <w:rFonts w:ascii="Arial" w:cs="Arial" w:eastAsia="Arial" w:hAnsi="Arial"/>
          <w:sz w:val="16"/>
          <w:szCs w:val="16"/>
          <w:color w:val="auto"/>
        </w:rPr>
        <w:t>intent, and no rule of strict construction will be applied against any party. When used in this Agreement, unless the context otherwise requires: (a) “</w:t>
      </w:r>
      <w:r>
        <w:rPr>
          <w:rFonts w:ascii="Arial" w:cs="Arial" w:eastAsia="Arial" w:hAnsi="Arial"/>
          <w:sz w:val="16"/>
          <w:szCs w:val="16"/>
          <w:u w:val="single" w:color="auto"/>
          <w:color w:val="auto"/>
        </w:rPr>
        <w:t>or</w:t>
      </w:r>
      <w:r>
        <w:rPr>
          <w:rFonts w:ascii="Arial" w:cs="Arial" w:eastAsia="Arial" w:hAnsi="Arial"/>
          <w:sz w:val="16"/>
          <w:szCs w:val="16"/>
          <w:color w:val="auto"/>
        </w:rPr>
        <w:t>” is disjunctive but not exclusive, (b) terms defined in the singular have a comparable meaning when used in the plural, and vice versa, (c) the words “</w:t>
      </w:r>
      <w:r>
        <w:rPr>
          <w:rFonts w:ascii="Arial" w:cs="Arial" w:eastAsia="Arial" w:hAnsi="Arial"/>
          <w:sz w:val="16"/>
          <w:szCs w:val="16"/>
          <w:u w:val="single" w:color="auto"/>
          <w:color w:val="auto"/>
        </w:rPr>
        <w:t>hereof</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4" w:lineRule="auto"/>
        <w:tabs>
          <w:tab w:leader="none" w:pos="16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Pubco and each Stockholder shall take all Necessary Action to cause the Initial Board to be comprised of </w:t>
      </w:r>
      <w:r>
        <w:rPr>
          <w:rFonts w:ascii="Arial" w:cs="Arial" w:eastAsia="Arial" w:hAnsi="Arial"/>
          <w:sz w:val="17"/>
          <w:szCs w:val="17"/>
          <w:b w:val="1"/>
          <w:bCs w:val="1"/>
          <w:color w:val="auto"/>
        </w:rPr>
        <w:t>[five to nine]</w:t>
      </w:r>
      <w:r>
        <w:rPr>
          <w:rFonts w:ascii="Arial" w:cs="Arial" w:eastAsia="Arial" w:hAnsi="Arial"/>
          <w:sz w:val="17"/>
          <w:szCs w:val="17"/>
          <w:color w:val="auto"/>
        </w:rPr>
        <w:t xml:space="preserve"> (</w:t>
      </w:r>
      <w:r>
        <w:rPr>
          <w:rFonts w:ascii="Arial" w:cs="Arial" w:eastAsia="Arial" w:hAnsi="Arial"/>
          <w:sz w:val="17"/>
          <w:szCs w:val="17"/>
          <w:b w:val="1"/>
          <w:bCs w:val="1"/>
          <w:color w:val="auto"/>
        </w:rPr>
        <w:t>[5 to 9]</w:t>
      </w:r>
      <w:r>
        <w:rPr>
          <w:rFonts w:ascii="Arial" w:cs="Arial" w:eastAsia="Arial" w:hAnsi="Arial"/>
          <w:sz w:val="17"/>
          <w:szCs w:val="17"/>
          <w:color w:val="auto"/>
        </w:rPr>
        <w:t>) Directors, (i) one (1) of whom has been designated by the Sponsor (the “</w:t>
      </w:r>
      <w:r>
        <w:rPr>
          <w:rFonts w:ascii="Arial" w:cs="Arial" w:eastAsia="Arial" w:hAnsi="Arial"/>
          <w:sz w:val="17"/>
          <w:szCs w:val="17"/>
          <w:u w:val="single" w:color="auto"/>
          <w:color w:val="auto"/>
        </w:rPr>
        <w:t>Sponsor Director</w:t>
      </w:r>
      <w:r>
        <w:rPr>
          <w:rFonts w:ascii="Arial" w:cs="Arial" w:eastAsia="Arial" w:hAnsi="Arial"/>
          <w:sz w:val="17"/>
          <w:szCs w:val="17"/>
          <w:color w:val="auto"/>
        </w:rPr>
        <w:t>”), who shall initially be Gordon Watson, (ii) one (1) of whom has been designated by Bakkt Opco (the “</w:t>
      </w:r>
      <w:r>
        <w:rPr>
          <w:rFonts w:ascii="Arial" w:cs="Arial" w:eastAsia="Arial" w:hAnsi="Arial"/>
          <w:sz w:val="17"/>
          <w:szCs w:val="17"/>
          <w:u w:val="single" w:color="auto"/>
          <w:color w:val="auto"/>
        </w:rPr>
        <w:t>Bakkt Opco Director</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and (iii) the remaining of whom have been jointly designated by the Sponsor and Bakkt Opco and a majority of whom qualify as “independent directors” under NYSE listing rules (the “</w:t>
      </w:r>
      <w:r>
        <w:rPr>
          <w:rFonts w:ascii="Arial" w:cs="Arial" w:eastAsia="Arial" w:hAnsi="Arial"/>
          <w:sz w:val="17"/>
          <w:szCs w:val="17"/>
          <w:u w:val="single" w:color="auto"/>
          <w:color w:val="auto"/>
        </w:rPr>
        <w:t>Unaffiliated Directors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w:t>
      </w:r>
      <w:r>
        <w:rPr>
          <w:rFonts w:ascii="Arial" w:cs="Arial" w:eastAsia="Arial" w:hAnsi="Arial"/>
          <w:sz w:val="17"/>
          <w:szCs w:val="17"/>
          <w:color w:val="auto"/>
        </w:rPr>
        <w:t>•</w:t>
      </w:r>
      <w:r>
        <w:rPr>
          <w:rFonts w:ascii="Arial" w:cs="Arial" w:eastAsia="Arial" w:hAnsi="Arial"/>
          <w:sz w:val="17"/>
          <w:szCs w:val="17"/>
          <w:b w:val="1"/>
          <w:bCs w:val="1"/>
          <w:color w:val="auto"/>
        </w:rPr>
        <w:t>], [•], [</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 Pubco and each Stockholder shall take all Necessary Action to cause the foregoing Directors to be divided into three (3) classes of Directors, with each class serving for staggered three (3)-year terms as follows:</w:t>
      </w:r>
    </w:p>
    <w:p>
      <w:pPr>
        <w:spacing w:after="0" w:line="65" w:lineRule="exact"/>
        <w:rPr>
          <w:sz w:val="20"/>
          <w:szCs w:val="20"/>
          <w:color w:val="auto"/>
        </w:rPr>
      </w:pPr>
    </w:p>
    <w:p>
      <w:pPr>
        <w:ind w:left="1640" w:hanging="212"/>
        <w:spacing w:after="0"/>
        <w:tabs>
          <w:tab w:leader="none" w:pos="1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Class 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700" w:hanging="272"/>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Class II Directors shall include [</w:t>
      </w:r>
      <w:r>
        <w:rPr>
          <w:rFonts w:ascii="Arial" w:cs="Arial" w:eastAsia="Arial" w:hAnsi="Arial"/>
          <w:sz w:val="17"/>
          <w:szCs w:val="17"/>
          <w:b w:val="1"/>
          <w:bCs w:val="1"/>
          <w:color w:val="auto"/>
        </w:rPr>
        <w:t>one (1)</w:t>
      </w:r>
      <w:r>
        <w:rPr>
          <w:rFonts w:ascii="Arial" w:cs="Arial" w:eastAsia="Arial" w:hAnsi="Arial"/>
          <w:sz w:val="17"/>
          <w:szCs w:val="17"/>
          <w:color w:val="auto"/>
        </w:rPr>
        <w:t xml:space="preserve"> Unaffiliated Director,] the Sponsor Director and the Bakkt Opco Director; and</w:t>
      </w:r>
    </w:p>
    <w:p>
      <w:pPr>
        <w:spacing w:after="0" w:line="128" w:lineRule="exact"/>
        <w:rPr>
          <w:rFonts w:ascii="Arial" w:cs="Arial" w:eastAsia="Arial" w:hAnsi="Arial"/>
          <w:sz w:val="17"/>
          <w:szCs w:val="17"/>
          <w:color w:val="auto"/>
        </w:rPr>
      </w:pPr>
    </w:p>
    <w:p>
      <w:pPr>
        <w:ind w:left="1740" w:hanging="312"/>
        <w:spacing w:after="0"/>
        <w:tabs>
          <w:tab w:leader="none" w:pos="1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Class III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initial term of the Class I Directors shall expire at the first (1</w:t>
      </w:r>
      <w:r>
        <w:rPr>
          <w:rFonts w:ascii="Arial" w:cs="Arial" w:eastAsia="Arial" w:hAnsi="Arial"/>
          <w:sz w:val="15"/>
          <w:szCs w:val="15"/>
          <w:color w:val="auto"/>
        </w:rPr>
        <w:t>st</w:t>
      </w:r>
      <w:r>
        <w:rPr>
          <w:rFonts w:ascii="Arial" w:cs="Arial" w:eastAsia="Arial" w:hAnsi="Arial"/>
          <w:sz w:val="18"/>
          <w:szCs w:val="18"/>
          <w:color w:val="auto"/>
        </w:rPr>
        <w:t>) annual meeting of stockholders of Pubco following the Closing Date at which Directors are elected. The initial term of the Class II Directors shall expire at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The initial term of the Class III Directors shall expire at the third (3</w:t>
      </w:r>
      <w:r>
        <w:rPr>
          <w:rFonts w:ascii="Arial" w:cs="Arial" w:eastAsia="Arial" w:hAnsi="Arial"/>
          <w:sz w:val="15"/>
          <w:szCs w:val="15"/>
          <w:color w:val="auto"/>
        </w:rPr>
        <w:t>rd</w:t>
      </w:r>
      <w:r>
        <w:rPr>
          <w:rFonts w:ascii="Arial" w:cs="Arial" w:eastAsia="Arial" w:hAnsi="Arial"/>
          <w:sz w:val="18"/>
          <w:szCs w:val="18"/>
          <w:color w:val="auto"/>
        </w:rPr>
        <w:t>) annual meeting of stockholders of Pubco following the Closing Date at which Directors are elected.</w:t>
      </w:r>
    </w:p>
    <w:p>
      <w:pPr>
        <w:spacing w:after="0" w:line="79" w:lineRule="exact"/>
        <w:rPr>
          <w:sz w:val="20"/>
          <w:szCs w:val="20"/>
          <w:color w:val="auto"/>
        </w:rPr>
      </w:pPr>
    </w:p>
    <w:p>
      <w:pPr>
        <w:ind w:right="100" w:firstLine="1428"/>
        <w:spacing w:after="0" w:line="263" w:lineRule="auto"/>
        <w:tabs>
          <w:tab w:leader="none" w:pos="168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75" w:lineRule="exact"/>
        <w:rPr>
          <w:rFonts w:ascii="Arial" w:cs="Arial" w:eastAsia="Arial" w:hAnsi="Arial"/>
          <w:sz w:val="18"/>
          <w:szCs w:val="18"/>
          <w:color w:val="auto"/>
        </w:rPr>
      </w:pPr>
    </w:p>
    <w:p>
      <w:pPr>
        <w:ind w:right="20" w:firstLine="1428"/>
        <w:spacing w:after="0" w:line="254" w:lineRule="auto"/>
        <w:tabs>
          <w:tab w:leader="none" w:pos="1677"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to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9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In accordance with the Organizational Documents of Pubco, (i) the Board shall establish and maintain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2" w:name="page23"/>
    <w:bookmarkEnd w:id="22"/>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Arial" w:cs="Arial" w:eastAsia="Arial" w:hAnsi="Arial"/>
          <w:sz w:val="18"/>
          <w:szCs w:val="18"/>
          <w:b w:val="1"/>
          <w:bCs w:val="1"/>
          <w:u w:val="single" w:color="auto"/>
          <w:color w:val="auto"/>
        </w:rPr>
        <w:t>Independent Directors</w:t>
      </w:r>
      <w:r>
        <w:rPr>
          <w:rFonts w:ascii="Arial" w:cs="Arial" w:eastAsia="Arial" w:hAnsi="Arial"/>
          <w:sz w:val="18"/>
          <w:szCs w:val="18"/>
          <w:color w:val="auto"/>
        </w:rPr>
        <w:t>. Pubco has determined that the Initial Board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requisite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8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Compensation; Reimbursement of Expenses</w:t>
      </w:r>
      <w:r>
        <w:rPr>
          <w:rFonts w:ascii="Arial" w:cs="Arial" w:eastAsia="Arial" w:hAnsi="Arial"/>
          <w:sz w:val="18"/>
          <w:szCs w:val="18"/>
          <w:color w:val="auto"/>
        </w:rPr>
        <w:t>. Except to the extent the Sponsor, in respect of the Sponsor Director, or ICE,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Pubco shall enter into an indemnification agreement with each of the Sponsor Director and the Bakkt Opco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77"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u w:val="single" w:color="auto"/>
          <w:color w:val="auto"/>
        </w:rPr>
        <w:t>D&amp;O Insurance</w:t>
      </w:r>
      <w:r>
        <w:rPr>
          <w:rFonts w:ascii="Arial" w:cs="Arial" w:eastAsia="Arial" w:hAnsi="Arial"/>
          <w:sz w:val="18"/>
          <w:szCs w:val="18"/>
          <w:color w:val="auto"/>
        </w:rPr>
        <w:t>. Pubco shall (i) purchase directors’ and officers’ liability insurance in an amount determined by the Board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Information Sharing</w:t>
      </w:r>
      <w:r>
        <w:rPr>
          <w:rFonts w:ascii="Arial" w:cs="Arial" w:eastAsia="Arial" w:hAnsi="Arial"/>
          <w:sz w:val="18"/>
          <w:szCs w:val="18"/>
          <w:color w:val="auto"/>
        </w:rPr>
        <w:t>. To the extent permitted by applicable Law, each party hereto acknowledges and agrees that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8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2.08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of the Sponsor and ICE agrees (severally, and not jointly) that it will, and will direct its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Representatives to, keep confidential and not disclose any Confidential Information to any other Person (other than Pubco and its Designated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each Designated Representative shall be under an obligation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23" w:name="page24"/>
    <w:bookmarkEnd w:id="23"/>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confidentiality to Pubco or the Sponsor or ICE (as applicable) with respect to such Confidential Information and (ii) each of the Sponsor and ICE agrees (severally, and not jointly) to be responsible for any breaches of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ON TRANSFER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General Restrictions on Transfer</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63"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1428"/>
        <w:spacing w:after="0" w:line="277" w:lineRule="auto"/>
        <w:tabs>
          <w:tab w:leader="none" w:pos="1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Private Placement Lock-Up Shares during the Private Placement Lock-Up Period.</w:t>
      </w:r>
    </w:p>
    <w:p>
      <w:pPr>
        <w:spacing w:after="0" w:line="62" w:lineRule="exact"/>
        <w:rPr>
          <w:rFonts w:ascii="Arial" w:cs="Arial" w:eastAsia="Arial" w:hAnsi="Arial"/>
          <w:sz w:val="18"/>
          <w:szCs w:val="18"/>
          <w:color w:val="auto"/>
        </w:rPr>
      </w:pPr>
    </w:p>
    <w:p>
      <w:pPr>
        <w:ind w:right="40" w:firstLine="1428"/>
        <w:spacing w:after="0" w:line="277" w:lineRule="auto"/>
        <w:tabs>
          <w:tab w:leader="none" w:pos="167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Sponsor Lock-Up Shares during the Sponsor Lock-Up Period.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Permitted Transfers</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59" w:lineRule="auto"/>
        <w:tabs>
          <w:tab w:leader="none" w:pos="16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No prohibition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apply to: (i) Transfers permitted by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3.02(c)</w:t>
      </w:r>
      <w:r>
        <w:rPr>
          <w:rFonts w:ascii="Arial" w:cs="Arial" w:eastAsia="Arial" w:hAnsi="Arial"/>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 Up Period.</w:t>
      </w:r>
    </w:p>
    <w:p>
      <w:pPr>
        <w:spacing w:after="0" w:line="78" w:lineRule="exact"/>
        <w:rPr>
          <w:rFonts w:ascii="Arial" w:cs="Arial" w:eastAsia="Arial" w:hAnsi="Arial"/>
          <w:sz w:val="18"/>
          <w:szCs w:val="18"/>
          <w:color w:val="auto"/>
        </w:rPr>
      </w:pPr>
    </w:p>
    <w:p>
      <w:pPr>
        <w:ind w:firstLine="1428"/>
        <w:spacing w:after="0" w:line="263" w:lineRule="auto"/>
        <w:tabs>
          <w:tab w:leader="none" w:pos="1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(including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3.02(c)</w:t>
      </w:r>
      <w:r>
        <w:rPr>
          <w:rFonts w:ascii="Arial" w:cs="Arial" w:eastAsia="Arial" w:hAnsi="Arial"/>
          <w:sz w:val="18"/>
          <w:szCs w:val="18"/>
          <w:color w:val="auto"/>
        </w:rPr>
        <w:t>, during the Lock-Up Period applicable to such Person, each Bakkt Equity Holder and the Sponsor may Transfer, without the consent of any other party hereto, any of such Person’s Lock-Up Shares:</w:t>
      </w:r>
    </w:p>
    <w:p>
      <w:pPr>
        <w:spacing w:after="0" w:line="75" w:lineRule="exact"/>
        <w:rPr>
          <w:rFonts w:ascii="Arial" w:cs="Arial" w:eastAsia="Arial" w:hAnsi="Arial"/>
          <w:sz w:val="18"/>
          <w:szCs w:val="18"/>
          <w:color w:val="auto"/>
        </w:rPr>
      </w:pPr>
    </w:p>
    <w:p>
      <w:pPr>
        <w:ind w:left="440" w:right="20" w:firstLine="1371"/>
        <w:spacing w:after="0" w:line="257" w:lineRule="auto"/>
        <w:tabs>
          <w:tab w:leader="none" w:pos="20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to any of such Person’s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Transfers to an Immediate Family Member or an Affiliate of such Person (other than pursuant to </w:t>
      </w:r>
      <w:r>
        <w:rPr>
          <w:rFonts w:ascii="Arial" w:cs="Arial" w:eastAsia="Arial" w:hAnsi="Arial"/>
          <w:sz w:val="18"/>
          <w:szCs w:val="18"/>
          <w:u w:val="single" w:color="auto"/>
          <w:color w:val="auto"/>
        </w:rPr>
        <w:t>Section 3.02(b)(iii)</w:t>
      </w:r>
      <w:r>
        <w:rPr>
          <w:rFonts w:ascii="Arial" w:cs="Arial" w:eastAsia="Arial" w:hAnsi="Arial"/>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 w:name="page25"/>
    <w:bookmarkEnd w:id="24"/>
    <w:p>
      <w:pPr>
        <w:ind w:left="440" w:right="100" w:firstLine="1371"/>
        <w:spacing w:after="0" w:line="263" w:lineRule="auto"/>
        <w:tabs>
          <w:tab w:leader="none" w:pos="2080" w:val="left"/>
        </w:tabs>
        <w:numPr>
          <w:ilvl w:val="1"/>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75" w:lineRule="exact"/>
        <w:rPr>
          <w:rFonts w:ascii="Arial" w:cs="Arial" w:eastAsia="Arial" w:hAnsi="Arial"/>
          <w:sz w:val="18"/>
          <w:szCs w:val="18"/>
          <w:color w:val="auto"/>
        </w:rPr>
      </w:pPr>
    </w:p>
    <w:p>
      <w:pPr>
        <w:ind w:left="440" w:right="380" w:firstLine="1371"/>
        <w:spacing w:after="0" w:line="342" w:lineRule="auto"/>
        <w:tabs>
          <w:tab w:leader="none" w:pos="213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15" w:lineRule="exact"/>
        <w:rPr>
          <w:rFonts w:ascii="Arial" w:cs="Arial" w:eastAsia="Arial" w:hAnsi="Arial"/>
          <w:sz w:val="16"/>
          <w:szCs w:val="16"/>
          <w:color w:val="auto"/>
        </w:rPr>
      </w:pPr>
    </w:p>
    <w:p>
      <w:pPr>
        <w:ind w:right="40" w:firstLine="1428"/>
        <w:spacing w:after="0" w:line="270" w:lineRule="auto"/>
        <w:tabs>
          <w:tab w:leader="none" w:pos="1677"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In respect of any Transfers permitted by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whereupon such Transferee will be treated as a party hereto (with the same rights and obligations as the Transferor (including, for the avoidance of doubt, the restrictions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the restrictions and obligations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continue to apply to such Lock-Up Shares for the Lock-Up Period applicable to the initial Transferor.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Miscellaneous Provisions Relating to Transfers</w:t>
      </w:r>
      <w:r>
        <w:rPr>
          <w:rFonts w:ascii="Arial" w:cs="Arial" w:eastAsia="Arial" w:hAnsi="Arial"/>
          <w:sz w:val="18"/>
          <w:szCs w:val="18"/>
          <w:color w:val="auto"/>
        </w:rPr>
        <w:t>.</w:t>
      </w:r>
    </w:p>
    <w:p>
      <w:pPr>
        <w:spacing w:after="0" w:line="121" w:lineRule="exact"/>
        <w:rPr>
          <w:sz w:val="20"/>
          <w:szCs w:val="20"/>
          <w:color w:val="auto"/>
        </w:rPr>
      </w:pPr>
    </w:p>
    <w:p>
      <w:pPr>
        <w:ind w:right="180" w:firstLine="1428"/>
        <w:spacing w:after="0" w:line="311" w:lineRule="auto"/>
        <w:tabs>
          <w:tab w:leader="none" w:pos="16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40" w:lineRule="exact"/>
        <w:rPr>
          <w:rFonts w:ascii="Arial" w:cs="Arial" w:eastAsia="Arial" w:hAnsi="Arial"/>
          <w:sz w:val="16"/>
          <w:szCs w:val="16"/>
          <w:color w:val="auto"/>
        </w:rPr>
      </w:pPr>
    </w:p>
    <w:p>
      <w:pPr>
        <w:ind w:right="220" w:firstLine="1428"/>
        <w:spacing w:after="0" w:line="311" w:lineRule="auto"/>
        <w:tabs>
          <w:tab w:leader="none" w:pos="16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40" w:lineRule="exact"/>
        <w:rPr>
          <w:rFonts w:ascii="Arial" w:cs="Arial" w:eastAsia="Arial" w:hAnsi="Arial"/>
          <w:sz w:val="16"/>
          <w:szCs w:val="16"/>
          <w:color w:val="auto"/>
        </w:rPr>
      </w:pPr>
    </w:p>
    <w:p>
      <w:pPr>
        <w:ind w:firstLine="1428"/>
        <w:spacing w:after="0" w:line="257" w:lineRule="auto"/>
        <w:tabs>
          <w:tab w:leader="none" w:pos="1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5" w:name="page26"/>
    <w:bookmarkEnd w:id="2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sz w:val="20"/>
          <w:szCs w:val="20"/>
          <w:color w:val="auto"/>
        </w:rPr>
      </w:pPr>
    </w:p>
    <w:p>
      <w:pPr>
        <w:ind w:left="4" w:right="80" w:firstLine="1428"/>
        <w:spacing w:after="0" w:line="287" w:lineRule="auto"/>
        <w:tabs>
          <w:tab w:leader="none" w:pos="1681" w:val="left"/>
        </w:tabs>
        <w:numPr>
          <w:ilvl w:val="1"/>
          <w:numId w:val="20"/>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immediately following the second (2</w:t>
      </w:r>
      <w:r>
        <w:rPr>
          <w:rFonts w:ascii="Arial" w:cs="Arial" w:eastAsia="Arial" w:hAnsi="Arial"/>
          <w:sz w:val="14"/>
          <w:szCs w:val="14"/>
          <w:color w:val="auto"/>
        </w:rPr>
        <w:t>nd</w:t>
      </w:r>
      <w:r>
        <w:rPr>
          <w:rFonts w:ascii="Arial" w:cs="Arial" w:eastAsia="Arial" w:hAnsi="Arial"/>
          <w:sz w:val="17"/>
          <w:szCs w:val="17"/>
          <w:color w:val="auto"/>
        </w:rPr>
        <w:t>) annual meeting of stockholders of Pubco following the Closing Date at which Directors are elected.</w:t>
      </w:r>
    </w:p>
    <w:p>
      <w:pPr>
        <w:spacing w:after="0" w:line="114" w:lineRule="exact"/>
        <w:rPr>
          <w:rFonts w:ascii="Arial" w:cs="Arial" w:eastAsia="Arial" w:hAnsi="Arial"/>
          <w:sz w:val="17"/>
          <w:szCs w:val="17"/>
          <w:color w:val="auto"/>
        </w:rPr>
      </w:pPr>
    </w:p>
    <w:p>
      <w:pPr>
        <w:ind w:left="1684" w:hanging="252"/>
        <w:spacing w:after="0"/>
        <w:tabs>
          <w:tab w:leader="none" w:pos="1684" w:val="left"/>
        </w:tabs>
        <w:numPr>
          <w:ilvl w:val="1"/>
          <w:numId w:val="21"/>
        </w:numPr>
        <w:rPr>
          <w:rFonts w:ascii="Arial" w:cs="Arial" w:eastAsia="Arial" w:hAnsi="Arial"/>
          <w:sz w:val="17"/>
          <w:szCs w:val="17"/>
          <w:color w:val="auto"/>
        </w:rPr>
      </w:pPr>
      <w:r>
        <w:rPr>
          <w:rFonts w:ascii="Arial" w:cs="Arial" w:eastAsia="Arial" w:hAnsi="Arial"/>
          <w:sz w:val="17"/>
          <w:szCs w:val="17"/>
          <w:color w:val="auto"/>
        </w:rPr>
        <w:t>The termination of this Agreement, whether in respect of any particular Stockholder and/or all parties hereto, shall not affect:</w:t>
      </w:r>
    </w:p>
    <w:p>
      <w:pPr>
        <w:spacing w:after="0" w:line="34" w:lineRule="exact"/>
        <w:rPr>
          <w:rFonts w:ascii="Arial" w:cs="Arial" w:eastAsia="Arial" w:hAnsi="Arial"/>
          <w:sz w:val="17"/>
          <w:szCs w:val="17"/>
          <w:color w:val="auto"/>
        </w:rPr>
      </w:pPr>
    </w:p>
    <w:p>
      <w:pPr>
        <w:ind w:left="4" w:right="460" w:hanging="4"/>
        <w:spacing w:after="0" w:line="253" w:lineRule="auto"/>
        <w:tabs>
          <w:tab w:leader="none" w:pos="2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notices, designations, requests, requests for consent or consents shall be sent to the addresses indicated below:</w:t>
      </w:r>
    </w:p>
    <w:p>
      <w:pPr>
        <w:spacing w:after="0" w:line="88"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Pubco,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marc.dannuzio@bakkt.com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300 West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864"/>
        <w:spacing w:after="0"/>
        <w:tabs>
          <w:tab w:leader="none" w:pos="160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Matt.Lyons@Shearman.com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the Sponsor,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Victory Park Management, LLC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c/o VPC Impact Acquisition Holdings Sponsor, LLC</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Scott Zemnick</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szemnick@vpcadvisors.com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6" w:name="page27"/>
    <w:bookmarkEnd w:id="26"/>
    <w:p>
      <w:pPr>
        <w:ind w:left="8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8"/>
          <w:szCs w:val="18"/>
          <w:color w:val="auto"/>
        </w:rPr>
        <w:t>Attention:</w:t>
        <w:tab/>
        <w:t>Raymond Bogenrief</w:t>
      </w:r>
    </w:p>
    <w:p>
      <w:pPr>
        <w:spacing w:after="0" w:line="9"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(312) 881-5450</w:t>
      </w:r>
    </w:p>
    <w:p>
      <w:pPr>
        <w:spacing w:after="0" w:line="9"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Raymond.Bogenrief@whitecase.com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if to any Bakkt Equity Holder,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address of such Bakkt Equity Holder set forth on its signature page hereto.</w:t>
      </w:r>
    </w:p>
    <w:p>
      <w:pPr>
        <w:spacing w:after="0" w:line="2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This Agreement may be amended, supplemented or otherwise modified only by a written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(a) Pubco and each Qualified Stockholder at the time of such amendment, supplement or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waiver of any provision or default under, nor any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the party asserted to have granted such waiver or consent.</w:t>
      </w:r>
    </w:p>
    <w:p>
      <w:pPr>
        <w:spacing w:after="0" w:line="171"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to this Agreement shall cooperate and take such action as may be reasonably requested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this Agreement in order to carry out the provisions and purposes of this Agreement and the transactions contemplated hereby.</w:t>
      </w:r>
    </w:p>
    <w:p>
      <w:pPr>
        <w:spacing w:after="0" w:line="11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4.05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No party may assign this Agreement nor any right or obligation of such party, in whole or in part, without the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written consent of (a) Pubco and (b) each Qualified Stockholder at the time of such amendment, supplement or modification, and any attempted assignment in violation of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shall be null and void and of no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Transfer pursuant to and permitted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each case, without the prior consent of any other party, or (y) to any other Person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7" w:name="page28"/>
    <w:bookmarkEnd w:id="27"/>
    <w:p>
      <w:pPr>
        <w:jc w:val="both"/>
        <w:ind w:right="30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4.06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Nothing in this Agreement, express or implied, is intended to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6" w:lineRule="exact"/>
        <w:rPr>
          <w:sz w:val="20"/>
          <w:szCs w:val="20"/>
          <w:color w:val="auto"/>
        </w:rPr>
      </w:pPr>
    </w:p>
    <w:p>
      <w:pPr>
        <w:ind w:right="300" w:firstLine="440"/>
        <w:spacing w:after="0" w:line="258"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ITS ENFORCEMENT AND ANY CONTROVERSY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4.08 </w:t>
      </w:r>
      <w:r>
        <w:rPr>
          <w:rFonts w:ascii="Arial" w:cs="Arial" w:eastAsia="Arial" w:hAnsi="Arial"/>
          <w:sz w:val="17"/>
          <w:szCs w:val="17"/>
          <w:b w:val="1"/>
          <w:bCs w:val="1"/>
          <w:u w:val="single" w:color="auto"/>
          <w:color w:val="auto"/>
        </w:rPr>
        <w:t>Jurisdiction; WAIVER OF JURY TRIAL</w:t>
      </w:r>
      <w:r>
        <w:rPr>
          <w:rFonts w:ascii="Arial" w:cs="Arial" w:eastAsia="Arial" w:hAnsi="Arial"/>
          <w:sz w:val="17"/>
          <w:szCs w:val="17"/>
          <w:color w:val="auto"/>
        </w:rPr>
        <w:t>. Each party hereto hereby (i) agrees that any action directly or indirectly arising out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 irrevocably and unconditionally consents and submits to the exclusive jurisdiction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(B) irrevocably and unconditionally waives any objection to the laying of venue in any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(C) irrevocably and unconditionally waives and agrees not to plead or claim that any of the courts identified in such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79"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5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8" w:name="page29"/>
    <w:bookmarkEnd w:id="28"/>
    <w:p>
      <w:pPr>
        <w:ind w:right="1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of such provision to any Person or circumstance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68" w:lineRule="exact"/>
        <w:rPr>
          <w:sz w:val="20"/>
          <w:szCs w:val="20"/>
          <w:color w:val="auto"/>
        </w:rPr>
      </w:pPr>
    </w:p>
    <w:p>
      <w:pPr>
        <w:jc w:val="both"/>
        <w:ind w:right="20" w:firstLine="440"/>
        <w:spacing w:after="0" w:line="347"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included for convenience of reference only, and in no way define, limit or describe the scope of this Agreement or the intent of any provision hereof.</w:t>
      </w:r>
    </w:p>
    <w:p>
      <w:pPr>
        <w:spacing w:after="0" w:line="11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pdf or other electronic document transmission), each of which shall be deemed an original, but all of which taken together shall constitute one Agreement (or amendment, as applicable).</w:t>
      </w:r>
    </w:p>
    <w:p>
      <w:pPr>
        <w:spacing w:after="0" w:line="176"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Subsequent Acquisition of Securities</w:t>
      </w:r>
      <w:r>
        <w:rPr>
          <w:rFonts w:ascii="Arial" w:cs="Arial" w:eastAsia="Arial" w:hAnsi="Arial"/>
          <w:sz w:val="16"/>
          <w:szCs w:val="16"/>
          <w:color w:val="auto"/>
        </w:rPr>
        <w:t>. Each Stockholder agrees that any Equity Securities of Pubco or Bakkt Opco which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4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VPC IMPACT ACQUISITION HOLDINGS SPONSOR,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w:t>
      </w:r>
    </w:p>
    <w:p>
      <w:pPr>
        <w:sectPr>
          <w:pgSz w:w="11900" w:h="16838" w:orient="portrait"/>
          <w:cols w:equalWidth="0" w:num="1">
            <w:col w:w="10300"/>
          </w:cols>
          <w:pgMar w:left="880" w:top="274" w:right="719" w:bottom="1440" w:gutter="0" w:footer="0" w:header="0"/>
        </w:sectPr>
      </w:pP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Victory Park Management, LLC Manager</w:t>
      </w:r>
    </w:p>
    <w:p>
      <w:pPr>
        <w:spacing w:after="0" w:line="170" w:lineRule="exact"/>
        <w:rPr>
          <w:sz w:val="20"/>
          <w:szCs w:val="20"/>
          <w:color w:val="auto"/>
        </w:rPr>
      </w:pPr>
    </w:p>
    <w:p>
      <w:pPr>
        <w:sectPr>
          <w:pgSz w:w="11900" w:h="16838" w:orient="portrait"/>
          <w:cols w:equalWidth="0" w:num="2">
            <w:col w:w="6560" w:space="200"/>
            <w:col w:w="3540"/>
          </w:cols>
          <w:pgMar w:left="880" w:top="274" w:right="719"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Zemnick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Authorized Signatory</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10300"/>
          </w:cols>
          <w:pgMar w:left="880" w:top="274" w:right="719" w:bottom="1440" w:gutter="0" w:footer="0" w:header="0"/>
          <w:type w:val="continuous"/>
        </w:sectPr>
      </w:pPr>
    </w:p>
    <w:bookmarkStart w:id="32" w:name="page33"/>
    <w:bookmarkEnd w:id="32"/>
    <w:p>
      <w:pPr>
        <w:jc w:val="center"/>
        <w:ind w:right="-98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b w:val="1"/>
          <w:bCs w:val="1"/>
          <w:color w:val="auto"/>
        </w:rPr>
        <w:t>BAKKT EQUITY HOLDERS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[TO BE INCLUDED]</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All members of Bakkt Holdings, LLC that will receive shares in Pubco to be listed.</w:t>
      </w:r>
    </w:p>
    <w:p>
      <w:pPr>
        <w:sectPr>
          <w:pgSz w:w="11900" w:h="16838" w:orient="portrait"/>
          <w:cols w:equalWidth="0" w:num="1">
            <w:col w:w="10023"/>
          </w:cols>
          <w:pgMar w:left="436" w:top="270" w:right="1440"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FORM OF JOINDER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4" w:name="page35"/>
    <w:bookmarkEnd w:id="34"/>
    <w:tbl>
      <w:tblPr>
        <w:tblLayout w:type="fixed"/>
        <w:tblInd w:w="4"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JOINDER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0" w:type="dxa"/>
            <w:vAlign w:val="bottom"/>
            <w:gridSpan w:val="14"/>
          </w:tcPr>
          <w:p>
            <w:pPr>
              <w:ind w:left="440"/>
              <w:spacing w:after="0"/>
              <w:rPr>
                <w:sz w:val="20"/>
                <w:szCs w:val="20"/>
                <w:color w:val="auto"/>
              </w:rPr>
            </w:pPr>
            <w:r>
              <w:rPr>
                <w:rFonts w:ascii="Arial" w:cs="Arial" w:eastAsia="Arial" w:hAnsi="Arial"/>
                <w:sz w:val="18"/>
                <w:szCs w:val="18"/>
                <w:color w:val="auto"/>
                <w:w w:val="91"/>
              </w:rPr>
              <w:t>This Joinder (this “Joinder”) to the Stockholders Agreement is made and entered into as of</w:t>
            </w:r>
          </w:p>
        </w:tc>
        <w:tc>
          <w:tcPr>
            <w:tcW w:w="3560" w:type="dxa"/>
            <w:vAlign w:val="bottom"/>
            <w:gridSpan w:val="2"/>
          </w:tcPr>
          <w:p>
            <w:pPr>
              <w:ind w:left="2040"/>
              <w:spacing w:after="0"/>
              <w:rPr>
                <w:sz w:val="20"/>
                <w:szCs w:val="20"/>
                <w:color w:val="auto"/>
              </w:rPr>
            </w:pPr>
            <w:r>
              <w:rPr>
                <w:rFonts w:ascii="Arial" w:cs="Arial" w:eastAsia="Arial" w:hAnsi="Arial"/>
                <w:sz w:val="18"/>
                <w:szCs w:val="18"/>
                <w:color w:val="auto"/>
              </w:rPr>
              <w:t>, is between</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color w:val="auto"/>
              </w:rPr>
              <w:t>________________, (“Transferor”) and _____________________(“Transferee”).</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w w:val="87"/>
              </w:rPr>
              <w:t>[shares of Class A Common Stock/shares of Class V Common</w:t>
            </w:r>
          </w:p>
        </w:tc>
        <w:tc>
          <w:tcPr>
            <w:tcW w:w="0" w:type="dxa"/>
            <w:vAlign w:val="bottom"/>
          </w:tcPr>
          <w:p>
            <w:pPr>
              <w:spacing w:after="0" w:line="20" w:lineRule="exact"/>
              <w:rPr>
                <w:sz w:val="1"/>
                <w:szCs w:val="1"/>
                <w:color w:val="auto"/>
              </w:rPr>
            </w:pPr>
          </w:p>
        </w:tc>
      </w:tr>
      <w:tr>
        <w:trPr>
          <w:trHeight w:val="412"/>
        </w:trPr>
        <w:tc>
          <w:tcPr>
            <w:tcW w:w="4600" w:type="dxa"/>
            <w:vAlign w:val="bottom"/>
            <w:gridSpan w:val="9"/>
          </w:tcPr>
          <w:p>
            <w:pPr>
              <w:ind w:left="440"/>
              <w:spacing w:after="0"/>
              <w:rPr>
                <w:sz w:val="20"/>
                <w:szCs w:val="20"/>
                <w:color w:val="auto"/>
              </w:rPr>
            </w:pPr>
            <w:r>
              <w:rPr>
                <w:rFonts w:ascii="Arial" w:cs="Arial" w:eastAsia="Arial" w:hAnsi="Arial"/>
                <w:sz w:val="18"/>
                <w:szCs w:val="18"/>
                <w:color w:val="auto"/>
                <w:w w:val="90"/>
              </w:rPr>
              <w:t>WHEREAS, as of the date hereof, Transferee is acquiring</w:t>
            </w:r>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 xml:space="preserve">Stock/Bakkt Opco Common Units] </w:t>
            </w:r>
            <w:r>
              <w:rPr>
                <w:rFonts w:ascii="Arial" w:cs="Arial" w:eastAsia="Arial" w:hAnsi="Arial"/>
                <w:sz w:val="18"/>
                <w:szCs w:val="18"/>
                <w:color w:val="auto"/>
              </w:rPr>
              <w:t>(the “Acquired Interests”) from Transferor;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firstLine="440"/>
        <w:spacing w:after="0" w:line="277" w:lineRule="auto"/>
        <w:rPr>
          <w:sz w:val="20"/>
          <w:szCs w:val="20"/>
          <w:color w:val="auto"/>
        </w:rPr>
      </w:pPr>
      <w:r>
        <w:rPr>
          <w:rFonts w:ascii="Arial" w:cs="Arial" w:eastAsia="Arial" w:hAnsi="Arial"/>
          <w:sz w:val="18"/>
          <w:szCs w:val="18"/>
          <w:color w:val="auto"/>
        </w:rPr>
        <w:t>WHEREAS, Transferor is a party to that certain Stockholders Agreement, dated as of [•], among Bakkt Holdings, Inc. and the other persons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Stockholders Agreement,</w:t>
      </w:r>
    </w:p>
    <w:p>
      <w:pPr>
        <w:spacing w:after="0" w:line="46" w:lineRule="exact"/>
        <w:rPr>
          <w:sz w:val="20"/>
          <w:szCs w:val="20"/>
          <w:color w:val="auto"/>
        </w:rPr>
      </w:pPr>
    </w:p>
    <w:p>
      <w:pPr>
        <w:ind w:left="264" w:hanging="264"/>
        <w:spacing w:after="0"/>
        <w:tabs>
          <w:tab w:leader="none" w:pos="2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such Transferee is acquiring the Acquired Interests in accordance with and subject to the terms and conditions of the Stockholders Agreement and</w:t>
      </w:r>
    </w:p>
    <w:p>
      <w:pPr>
        <w:spacing w:after="0" w:line="32" w:lineRule="exact"/>
        <w:rPr>
          <w:rFonts w:ascii="Arial" w:cs="Arial" w:eastAsia="Arial" w:hAnsi="Arial"/>
          <w:sz w:val="16"/>
          <w:szCs w:val="16"/>
          <w:color w:val="auto"/>
        </w:rPr>
      </w:pPr>
    </w:p>
    <w:p>
      <w:pPr>
        <w:ind w:left="4" w:right="100" w:hanging="4"/>
        <w:spacing w:after="0" w:line="260"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Transferee will be treated as a party to the Stockholders Agreement (with the same rights and obligations as the Transferor) for all purposes of the Stockholders Agreement.</w:t>
      </w:r>
    </w:p>
    <w:p>
      <w:pPr>
        <w:spacing w:after="0" w:line="18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944"/>
          </w:cols>
          <w:pgMar w:left="436" w:top="257" w:right="51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5715</wp:posOffset>
            </wp:positionV>
            <wp:extent cx="22288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BAKKT HOLDINGS,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 2021</w:t>
      </w:r>
    </w:p>
    <w:p>
      <w:pPr>
        <w:sectPr>
          <w:pgSz w:w="11900" w:h="16838" w:orient="portrait"/>
          <w:cols w:equalWidth="0" w:num="1">
            <w:col w:w="10020"/>
          </w:cols>
          <w:pgMar w:left="1440" w:top="121"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6340" w:type="dxa"/>
            <w:vAlign w:val="bottom"/>
          </w:tcPr>
          <w:p>
            <w:pPr>
              <w:ind w:left="140"/>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9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340" w:type="dxa"/>
            <w:vAlign w:val="bottom"/>
          </w:tcPr>
          <w:p>
            <w:pPr>
              <w:ind w:left="6040"/>
              <w:spacing w:after="0"/>
              <w:rPr>
                <w:sz w:val="20"/>
                <w:szCs w:val="20"/>
                <w:color w:val="auto"/>
              </w:rPr>
            </w:pPr>
            <w:r>
              <w:rPr>
                <w:rFonts w:ascii="Arial" w:cs="Arial" w:eastAsia="Arial" w:hAnsi="Arial"/>
                <w:sz w:val="14"/>
                <w:szCs w:val="14"/>
                <w:b w:val="1"/>
                <w:bCs w:val="1"/>
                <w:color w:val="auto"/>
                <w:w w:val="83"/>
              </w:rPr>
              <w:t>Page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37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6340" w:type="dxa"/>
            <w:vAlign w:val="bottom"/>
          </w:tcPr>
          <w:p>
            <w:pPr>
              <w:ind w:left="6040"/>
              <w:spacing w:after="0"/>
              <w:rPr>
                <w:sz w:val="20"/>
                <w:szCs w:val="20"/>
                <w:color w:val="auto"/>
              </w:rPr>
            </w:pPr>
            <w:r>
              <w:rPr>
                <w:rFonts w:ascii="Arial" w:cs="Arial" w:eastAsia="Arial" w:hAnsi="Arial"/>
                <w:sz w:val="18"/>
                <w:szCs w:val="18"/>
                <w:color w:val="auto"/>
              </w:rPr>
              <w:t>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370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6340" w:type="dxa"/>
            <w:vAlign w:val="bottom"/>
          </w:tcPr>
          <w:p>
            <w:pPr>
              <w:ind w:left="6040"/>
              <w:spacing w:after="0"/>
              <w:rPr>
                <w:sz w:val="20"/>
                <w:szCs w:val="20"/>
                <w:color w:val="auto"/>
              </w:rPr>
            </w:pPr>
            <w:r>
              <w:rPr>
                <w:rFonts w:ascii="Arial" w:cs="Arial" w:eastAsia="Arial" w:hAnsi="Arial"/>
                <w:sz w:val="18"/>
                <w:szCs w:val="18"/>
                <w:color w:val="auto"/>
              </w:rPr>
              <w:t>7</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 CORPORATE GOVERNANCE MATTERS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2.01  Election of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370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6340" w:type="dxa"/>
            <w:vAlign w:val="bottom"/>
          </w:tcPr>
          <w:p>
            <w:pPr>
              <w:ind w:left="6040"/>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2.03</w:t>
            </w:r>
          </w:p>
        </w:tc>
        <w:tc>
          <w:tcPr>
            <w:tcW w:w="3700" w:type="dxa"/>
            <w:vAlign w:val="bottom"/>
          </w:tcPr>
          <w:p>
            <w:pPr>
              <w:ind w:left="100"/>
              <w:spacing w:after="0"/>
              <w:rPr>
                <w:sz w:val="20"/>
                <w:szCs w:val="20"/>
                <w:color w:val="auto"/>
              </w:rPr>
            </w:pPr>
            <w:r>
              <w:rPr>
                <w:rFonts w:ascii="Arial" w:cs="Arial" w:eastAsia="Arial" w:hAnsi="Arial"/>
                <w:sz w:val="18"/>
                <w:szCs w:val="18"/>
                <w:color w:val="auto"/>
              </w:rPr>
              <w:t>Independent Directors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w w:val="99"/>
              </w:rPr>
              <w:t>Section 2.04  Compensation; Reimbursement of Expenses</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37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3700" w:type="dxa"/>
            <w:vAlign w:val="bottom"/>
          </w:tcPr>
          <w:p>
            <w:pPr>
              <w:ind w:left="100"/>
              <w:spacing w:after="0"/>
              <w:rPr>
                <w:sz w:val="20"/>
                <w:szCs w:val="20"/>
                <w:color w:val="auto"/>
              </w:rPr>
            </w:pPr>
            <w:r>
              <w:rPr>
                <w:rFonts w:ascii="Arial" w:cs="Arial" w:eastAsia="Arial" w:hAnsi="Arial"/>
                <w:sz w:val="18"/>
                <w:szCs w:val="18"/>
                <w:color w:val="auto"/>
              </w:rPr>
              <w:t>D&amp;O Insurance</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3700" w:type="dxa"/>
            <w:vAlign w:val="bottom"/>
          </w:tcPr>
          <w:p>
            <w:pPr>
              <w:ind w:left="100"/>
              <w:spacing w:after="0"/>
              <w:rPr>
                <w:sz w:val="20"/>
                <w:szCs w:val="20"/>
                <w:color w:val="auto"/>
              </w:rPr>
            </w:pPr>
            <w:r>
              <w:rPr>
                <w:rFonts w:ascii="Arial" w:cs="Arial" w:eastAsia="Arial" w:hAnsi="Arial"/>
                <w:sz w:val="18"/>
                <w:szCs w:val="18"/>
                <w:color w:val="auto"/>
              </w:rPr>
              <w:t>Information Sharing</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37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340" w:type="dxa"/>
            <w:vAlign w:val="bottom"/>
          </w:tcPr>
          <w:p>
            <w:pPr>
              <w:ind w:left="6040"/>
              <w:spacing w:after="0"/>
              <w:rPr>
                <w:sz w:val="20"/>
                <w:szCs w:val="20"/>
                <w:color w:val="auto"/>
              </w:rPr>
            </w:pPr>
            <w:r>
              <w:rPr>
                <w:rFonts w:ascii="Arial" w:cs="Arial" w:eastAsia="Arial" w:hAnsi="Arial"/>
                <w:sz w:val="18"/>
                <w:szCs w:val="18"/>
                <w:color w:val="auto"/>
              </w:rPr>
              <w:t>9</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III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3.01  General Restrictions on Transfer</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3.02</w:t>
            </w:r>
          </w:p>
        </w:tc>
        <w:tc>
          <w:tcPr>
            <w:tcW w:w="3700" w:type="dxa"/>
            <w:vAlign w:val="bottom"/>
          </w:tcPr>
          <w:p>
            <w:pPr>
              <w:ind w:left="100"/>
              <w:spacing w:after="0"/>
              <w:rPr>
                <w:sz w:val="20"/>
                <w:szCs w:val="20"/>
                <w:color w:val="auto"/>
              </w:rPr>
            </w:pPr>
            <w:r>
              <w:rPr>
                <w:rFonts w:ascii="Arial" w:cs="Arial" w:eastAsia="Arial" w:hAnsi="Arial"/>
                <w:sz w:val="18"/>
                <w:szCs w:val="18"/>
                <w:color w:val="auto"/>
              </w:rPr>
              <w:t>Permitted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10</w:t>
            </w: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5"/>
              </w:rPr>
              <w:t>Section 3.03  Miscellaneous Provisions Relating to Transfers.</w:t>
            </w:r>
          </w:p>
        </w:tc>
        <w:tc>
          <w:tcPr>
            <w:tcW w:w="6340" w:type="dxa"/>
            <w:vAlign w:val="bottom"/>
          </w:tcPr>
          <w:p>
            <w:pPr>
              <w:ind w:left="6040"/>
              <w:spacing w:after="0"/>
              <w:rPr>
                <w:sz w:val="20"/>
                <w:szCs w:val="20"/>
                <w:color w:val="auto"/>
              </w:rPr>
            </w:pPr>
            <w:r>
              <w:rPr>
                <w:rFonts w:ascii="Arial" w:cs="Arial" w:eastAsia="Arial" w:hAnsi="Arial"/>
                <w:sz w:val="18"/>
                <w:szCs w:val="18"/>
                <w:color w:val="auto"/>
              </w:rPr>
              <w:t>11</w:t>
            </w:r>
          </w:p>
        </w:tc>
      </w:tr>
      <w:tr>
        <w:trPr>
          <w:trHeight w:val="310"/>
        </w:trPr>
        <w:tc>
          <w:tcPr>
            <w:tcW w:w="4680" w:type="dxa"/>
            <w:vAlign w:val="bottom"/>
            <w:gridSpan w:val="2"/>
          </w:tcPr>
          <w:p>
            <w:pPr>
              <w:spacing w:after="0"/>
              <w:rPr>
                <w:sz w:val="20"/>
                <w:szCs w:val="20"/>
                <w:color w:val="auto"/>
              </w:rPr>
            </w:pPr>
            <w:r>
              <w:rPr>
                <w:rFonts w:ascii="Arial" w:cs="Arial" w:eastAsia="Arial" w:hAnsi="Arial"/>
                <w:sz w:val="18"/>
                <w:szCs w:val="18"/>
                <w:color w:val="auto"/>
              </w:rPr>
              <w:t>ARTICLE IV GENERAL PROVISIONS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4.01</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4.02</w:t>
            </w:r>
          </w:p>
        </w:tc>
        <w:tc>
          <w:tcPr>
            <w:tcW w:w="370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40" w:type="dxa"/>
            <w:vAlign w:val="bottom"/>
          </w:tcPr>
          <w:p>
            <w:pPr>
              <w:ind w:left="6040"/>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3700" w:type="dxa"/>
            <w:vAlign w:val="bottom"/>
          </w:tcPr>
          <w:p>
            <w:pPr>
              <w:ind w:left="100"/>
              <w:spacing w:after="0"/>
              <w:rPr>
                <w:sz w:val="20"/>
                <w:szCs w:val="20"/>
                <w:color w:val="auto"/>
              </w:rPr>
            </w:pPr>
            <w:r>
              <w:rPr>
                <w:rFonts w:ascii="Arial" w:cs="Arial" w:eastAsia="Arial" w:hAnsi="Arial"/>
                <w:sz w:val="18"/>
                <w:szCs w:val="18"/>
                <w:color w:val="auto"/>
              </w:rPr>
              <w:t>Amendment; Waiver</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370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370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4.06</w:t>
            </w:r>
          </w:p>
        </w:tc>
        <w:tc>
          <w:tcPr>
            <w:tcW w:w="370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37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4.08  Jurisdiction; WAIVER OF JURY TRIAL</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4.09</w:t>
            </w:r>
          </w:p>
        </w:tc>
        <w:tc>
          <w:tcPr>
            <w:tcW w:w="370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370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370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40" w:type="dxa"/>
            <w:vAlign w:val="bottom"/>
          </w:tcPr>
          <w:p>
            <w:pPr>
              <w:ind w:left="6040"/>
              <w:spacing w:after="0"/>
              <w:rPr>
                <w:sz w:val="20"/>
                <w:szCs w:val="20"/>
                <w:color w:val="auto"/>
              </w:rPr>
            </w:pPr>
            <w:r>
              <w:rPr>
                <w:rFonts w:ascii="Arial" w:cs="Arial" w:eastAsia="Arial" w:hAnsi="Arial"/>
                <w:sz w:val="18"/>
                <w:szCs w:val="18"/>
                <w:color w:val="auto"/>
              </w:rPr>
              <w:t>14</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4.12  Table of Contents, Headings and Captions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37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Section 4.14  Subsequent Acquisition of Securities</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370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40" w:type="dxa"/>
            <w:vAlign w:val="bottom"/>
          </w:tcPr>
          <w:p>
            <w:pPr>
              <w:ind w:left="6040"/>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0" w:right="4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AGREEMENT</w:t>
      </w:r>
    </w:p>
    <w:p>
      <w:pPr>
        <w:spacing w:after="0" w:line="229"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This Stockholders Agreement is entered into as of [•], 2021, by and among (i) Bakkt Holdings, Inc., a Delaware corporation (“</w:t>
      </w:r>
      <w:r>
        <w:rPr>
          <w:rFonts w:ascii="Arial" w:cs="Arial" w:eastAsia="Arial" w:hAnsi="Arial"/>
          <w:sz w:val="18"/>
          <w:szCs w:val="18"/>
          <w:u w:val="single" w:color="auto"/>
          <w:color w:val="auto"/>
        </w:rPr>
        <w:t>Pubco</w:t>
      </w:r>
      <w:r>
        <w:rPr>
          <w:rFonts w:ascii="Arial" w:cs="Arial" w:eastAsia="Arial" w:hAnsi="Arial"/>
          <w:sz w:val="18"/>
          <w:szCs w:val="18"/>
          <w:color w:val="auto"/>
        </w:rPr>
        <w:t xml:space="preserve">”), (ii) 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and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together with the Bakkt Equity Holders,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WHEREAS, Pubco, Pylon Merger Company LLC, a Delaware limited liability company and wholly 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entered into that certain Agreement and Plan of Merger, dated as of January 11,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being the surviving limited liability company of the Merger;</w:t>
      </w:r>
    </w:p>
    <w:p>
      <w:pPr>
        <w:spacing w:after="0" w:line="187"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WHEREAS, (i) prior to the consummation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Arial" w:cs="Arial" w:eastAsia="Arial" w:hAnsi="Arial"/>
          <w:sz w:val="16"/>
          <w:szCs w:val="16"/>
          <w:u w:val="single" w:color="auto"/>
          <w:color w:val="auto"/>
        </w:rPr>
        <w:t>Domestication</w:t>
      </w:r>
      <w:r>
        <w:rPr>
          <w:rFonts w:ascii="Arial" w:cs="Arial" w:eastAsia="Arial" w:hAnsi="Arial"/>
          <w:sz w:val="16"/>
          <w:szCs w:val="16"/>
          <w:color w:val="auto"/>
        </w:rPr>
        <w:t>”);</w:t>
      </w:r>
    </w:p>
    <w:p>
      <w:pPr>
        <w:spacing w:after="0" w:line="149"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Arial" w:cs="Arial" w:eastAsia="Arial" w:hAnsi="Arial"/>
          <w:sz w:val="16"/>
          <w:szCs w:val="16"/>
          <w:u w:val="single" w:color="auto"/>
          <w:color w:val="auto"/>
        </w:rPr>
        <w:t>Pubco Common Stock Conversion</w:t>
      </w:r>
      <w:r>
        <w:rPr>
          <w:rFonts w:ascii="Arial" w:cs="Arial" w:eastAsia="Arial" w:hAnsi="Arial"/>
          <w:sz w:val="16"/>
          <w:szCs w:val="16"/>
          <w:color w:val="auto"/>
        </w:rPr>
        <w:t>”);</w:t>
      </w:r>
    </w:p>
    <w:p>
      <w:pPr>
        <w:spacing w:after="0" w:line="16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7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ectPr>
          <w:pgSz w:w="11900" w:h="16838" w:orient="portrait"/>
          <w:cols w:equalWidth="0" w:num="1">
            <w:col w:w="11000"/>
          </w:cols>
          <w:pgMar w:left="440" w:top="270" w:right="459" w:bottom="1440" w:gutter="0" w:footer="0" w:header="0"/>
        </w:sectPr>
      </w:pPr>
    </w:p>
    <w:bookmarkStart w:id="40" w:name="page41"/>
    <w:bookmarkEnd w:id="40"/>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INTRODUCTORY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this Agreement, the following terms have the following meanings:</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such specified Person.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Equity Holders Lock-Up Shares</w:t>
      </w:r>
      <w:r>
        <w:rPr>
          <w:rFonts w:ascii="Arial" w:cs="Arial" w:eastAsia="Arial" w:hAnsi="Arial"/>
          <w:sz w:val="17"/>
          <w:szCs w:val="17"/>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Common Units</w:t>
      </w:r>
      <w:r>
        <w:rPr>
          <w:rFonts w:ascii="Arial" w:cs="Arial" w:eastAsia="Arial" w:hAnsi="Arial"/>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Third Amended and Restated LLC Agreement of Bakkt Opco, dated as of [•], 2021, by and among Bakkt Opco, Pubco and the Bakkt Equity Holders, as the same may be amended, supplemented, restated or otherwise modified from time to time in accordance with the terms thereof.</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promulgated under the Exchange Act.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Pubco, adopted on or substantially around the date of this Agreement, as the same may be amended or restated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41" w:name="page42"/>
    <w:bookmarkEnd w:id="41"/>
    <w:p>
      <w:pPr>
        <w:ind w:left="4"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left="4" w:right="80" w:hanging="4"/>
        <w:spacing w:after="0" w:line="271" w:lineRule="auto"/>
        <w:tabs>
          <w:tab w:leader="none" w:pos="259"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78"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left="4" w:right="360" w:hanging="4"/>
        <w:spacing w:after="0" w:line="260"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84"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does not include information:</w:t>
      </w:r>
    </w:p>
    <w:p>
      <w:pPr>
        <w:spacing w:after="0" w:line="80" w:lineRule="exact"/>
        <w:rPr>
          <w:sz w:val="20"/>
          <w:szCs w:val="20"/>
          <w:color w:val="auto"/>
        </w:rPr>
      </w:pPr>
    </w:p>
    <w:p>
      <w:pPr>
        <w:ind w:left="444" w:right="1140" w:firstLine="419"/>
        <w:spacing w:after="0" w:line="277" w:lineRule="auto"/>
        <w:tabs>
          <w:tab w:leader="none" w:pos="11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such Stockholder or any of its Designated Representatives in violation of this Agreement;</w:t>
      </w:r>
    </w:p>
    <w:p>
      <w:pPr>
        <w:spacing w:after="0" w:line="62" w:lineRule="exact"/>
        <w:rPr>
          <w:rFonts w:ascii="Arial" w:cs="Arial" w:eastAsia="Arial" w:hAnsi="Arial"/>
          <w:sz w:val="18"/>
          <w:szCs w:val="18"/>
          <w:color w:val="auto"/>
        </w:rPr>
      </w:pPr>
    </w:p>
    <w:p>
      <w:pPr>
        <w:ind w:left="444" w:firstLine="419"/>
        <w:spacing w:after="0" w:line="263" w:lineRule="auto"/>
        <w:tabs>
          <w:tab w:leader="none" w:pos="11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2" w:name="page43"/>
    <w:bookmarkEnd w:id="42"/>
    <w:p>
      <w:pPr>
        <w:ind w:left="440" w:right="260" w:firstLine="419"/>
        <w:spacing w:after="0" w:line="311" w:lineRule="auto"/>
        <w:tabs>
          <w:tab w:leader="none" w:pos="1108" w:val="left"/>
        </w:tabs>
        <w:numPr>
          <w:ilvl w:val="1"/>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40" w:lineRule="exact"/>
        <w:rPr>
          <w:rFonts w:ascii="Arial" w:cs="Arial" w:eastAsia="Arial" w:hAnsi="Arial"/>
          <w:sz w:val="16"/>
          <w:szCs w:val="16"/>
          <w:color w:val="auto"/>
        </w:rPr>
      </w:pPr>
    </w:p>
    <w:p>
      <w:pPr>
        <w:ind w:left="440" w:right="200" w:firstLine="419"/>
        <w:spacing w:after="0" w:line="308" w:lineRule="auto"/>
        <w:tabs>
          <w:tab w:leader="none" w:pos="11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38" w:lineRule="exact"/>
        <w:rPr>
          <w:rFonts w:ascii="Arial" w:cs="Arial" w:eastAsia="Arial" w:hAnsi="Arial"/>
          <w:sz w:val="17"/>
          <w:szCs w:val="17"/>
          <w:color w:val="auto"/>
        </w:rPr>
      </w:pPr>
    </w:p>
    <w:p>
      <w:pPr>
        <w:ind w:left="440" w:firstLine="419"/>
        <w:spacing w:after="0" w:line="291" w:lineRule="auto"/>
        <w:tabs>
          <w:tab w:leader="none" w:pos="1108"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that such Stockholder or any of its Designated Representatives is required or requested, in the good faith determination of such Stockholder or such Designated Representative, to disclose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or such Designated Representative,</w:t>
      </w:r>
    </w:p>
    <w:p>
      <w:pPr>
        <w:ind w:left="440" w:right="80" w:hanging="4"/>
        <w:spacing w:after="0" w:line="271"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3" w:name="page44"/>
    <w:bookmarkEnd w:id="43"/>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Agreement</w:t>
      </w:r>
      <w:r>
        <w:rPr>
          <w:rFonts w:ascii="Arial" w:cs="Arial" w:eastAsia="Arial" w:hAnsi="Arial"/>
          <w:sz w:val="16"/>
          <w:szCs w:val="16"/>
          <w:color w:val="auto"/>
        </w:rPr>
        <w:t>” means the Exchange Agreement, dated as of [•], 2021, by and among Pubco, Bakkt Opco and the other parties thereto.</w:t>
      </w:r>
    </w:p>
    <w:p>
      <w:pPr>
        <w:spacing w:after="0" w:line="248"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Board</w:t>
      </w:r>
      <w:r>
        <w:rPr>
          <w:rFonts w:ascii="Arial" w:cs="Arial" w:eastAsia="Arial" w:hAnsi="Arial"/>
          <w:sz w:val="18"/>
          <w:szCs w:val="18"/>
          <w:color w:val="auto"/>
        </w:rPr>
        <w:t>” means the Board of Directors of Pubco immediately following the consummation of the Transactions.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as of September 22, 2020, by and among Pubco, the Sponsor and the other signatories thereto.</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Periods</w:t>
      </w:r>
      <w:r>
        <w:rPr>
          <w:rFonts w:ascii="Arial" w:cs="Arial" w:eastAsia="Arial" w:hAnsi="Arial"/>
          <w:sz w:val="16"/>
          <w:szCs w:val="16"/>
          <w:color w:val="auto"/>
        </w:rPr>
        <w:t>” means the Bakkt Equity Holders Lock-Up Period, the Private Placement Lock- Up Period and the Sponsor Lock-Up Period.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Shares</w:t>
      </w:r>
      <w:r>
        <w:rPr>
          <w:rFonts w:ascii="Arial" w:cs="Arial" w:eastAsia="Arial" w:hAnsi="Arial"/>
          <w:sz w:val="16"/>
          <w:szCs w:val="16"/>
          <w:color w:val="auto"/>
        </w:rPr>
        <w:t>” means the Bakkt Equity Holders Lock-Up Shares, the Private Placement Lock- Up Shares and the Sponsor Lock-Up Shares.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 “</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44" w:name="page45"/>
    <w:bookmarkEnd w:id="44"/>
    <w:p>
      <w:pPr>
        <w:ind w:left="4"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calculating a quorum, (c) voting or providing a written consent or proxy, if applicable in each case, with respect to shares of Common Stock, (d) voting in favor of the adoption of stockholders’ resolutions and amendments to the Organizational Documents of Pubco, (e) 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the New York Stock Exchange.</w:t>
      </w:r>
    </w:p>
    <w:p>
      <w:pPr>
        <w:spacing w:after="0" w:line="225"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2" w:lineRule="exact"/>
        <w:rPr>
          <w:sz w:val="20"/>
          <w:szCs w:val="20"/>
          <w:color w:val="auto"/>
        </w:rPr>
      </w:pPr>
    </w:p>
    <w:p>
      <w:pPr>
        <w:ind w:left="4" w:right="200" w:hanging="4"/>
        <w:spacing w:after="0" w:line="260"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 Stockholder: (a) any Sponsor Member, (b) any Immediate Family Member of such Stockholder,</w:t>
      </w:r>
    </w:p>
    <w:p>
      <w:pPr>
        <w:spacing w:after="0" w:line="46" w:lineRule="exact"/>
        <w:rPr>
          <w:sz w:val="20"/>
          <w:szCs w:val="20"/>
          <w:color w:val="auto"/>
        </w:rPr>
      </w:pPr>
    </w:p>
    <w:p>
      <w:pPr>
        <w:ind w:left="4" w:right="540" w:hanging="4"/>
        <w:spacing w:after="0" w:line="260" w:lineRule="auto"/>
        <w:tabs>
          <w:tab w:leader="none" w:pos="249"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Affiliate of such Stockholder, (d) any Affiliate of any Sponsor Member or any Immediate Family Member of such Stockholder, or (e) any Controlled Entity of such Stockholder.</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Lock-Up Period</w:t>
      </w:r>
      <w:r>
        <w:rPr>
          <w:rFonts w:ascii="Arial" w:cs="Arial" w:eastAsia="Arial" w:hAnsi="Arial"/>
          <w:sz w:val="16"/>
          <w:szCs w:val="16"/>
          <w:color w:val="auto"/>
        </w:rPr>
        <w:t>” means the Private Placement Warrants Lock-up Period (as defined in the Insider Letter as of the date hereof).</w:t>
      </w:r>
    </w:p>
    <w:p>
      <w:pPr>
        <w:spacing w:after="0" w:line="24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Shares</w:t>
      </w:r>
      <w:r>
        <w:rPr>
          <w:rFonts w:ascii="Arial" w:cs="Arial" w:eastAsia="Arial" w:hAnsi="Arial"/>
          <w:sz w:val="18"/>
          <w:szCs w:val="18"/>
          <w:color w:val="auto"/>
        </w:rPr>
        <w:t>” means the Sponsor Warrants and any shares of Class A Common Stock resulting from the exercise of any Sponsor Warrant.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means the Founder Shares Lock-up Period (as defined in the Insider Letter as of the date hereof).</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5" w:name="page46"/>
    <w:bookmarkEnd w:id="45"/>
    <w:p>
      <w:pPr>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Sponsor Lock-Up Shares</w:t>
      </w:r>
      <w:r>
        <w:rPr>
          <w:rFonts w:ascii="Arial" w:cs="Arial" w:eastAsia="Arial" w:hAnsi="Arial"/>
          <w:sz w:val="18"/>
          <w:szCs w:val="18"/>
          <w:color w:val="auto"/>
        </w:rPr>
        <w:t xml:space="preserve">” means the Equity Securities of Pubco, including shares of Class A Common Stock, Beneficially Owned or otherwise held, directly or indirectly, by the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w:t>
      </w:r>
      <w:r>
        <w:rPr>
          <w:rFonts w:ascii="Arial" w:cs="Arial" w:eastAsia="Arial" w:hAnsi="Arial"/>
          <w:sz w:val="18"/>
          <w:szCs w:val="18"/>
          <w:color w:val="auto"/>
        </w:rPr>
        <w:t>” means any direct or indirect equityholder of Sponsor as of the date of this Agreement.</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Warrants</w:t>
      </w:r>
      <w:r>
        <w:rPr>
          <w:rFonts w:ascii="Arial" w:cs="Arial" w:eastAsia="Arial" w:hAnsi="Arial"/>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Purchaser</w:t>
      </w:r>
      <w:r>
        <w:rPr>
          <w:rFonts w:ascii="Arial" w:cs="Arial" w:eastAsia="Arial" w:hAnsi="Arial"/>
          <w:sz w:val="18"/>
          <w:szCs w:val="18"/>
          <w:color w:val="auto"/>
        </w:rPr>
        <w:t>” means any Person who, immediately prior to the contemplated transaction, does not Beneficially Own or directly or indirectly have the right to acquire any outstanding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other forms of the word “Transfer” shall have correlative meanings.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1.02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language used in this Agreement will be deemed to be the language chosen by the parties to express their mutual</w:t>
      </w:r>
      <w:r>
        <w:rPr>
          <w:rFonts w:ascii="Arial" w:cs="Arial" w:eastAsia="Arial" w:hAnsi="Arial"/>
          <w:sz w:val="16"/>
          <w:szCs w:val="16"/>
          <w:b w:val="1"/>
          <w:bCs w:val="1"/>
          <w:color w:val="auto"/>
        </w:rPr>
        <w:t xml:space="preserve"> </w:t>
      </w:r>
      <w:r>
        <w:rPr>
          <w:rFonts w:ascii="Arial" w:cs="Arial" w:eastAsia="Arial" w:hAnsi="Arial"/>
          <w:sz w:val="16"/>
          <w:szCs w:val="16"/>
          <w:color w:val="auto"/>
        </w:rPr>
        <w:t>intent, and no rule of strict construction will be applied against any party. When used in this Agreement, unless the context otherwise requires: (a) “</w:t>
      </w:r>
      <w:r>
        <w:rPr>
          <w:rFonts w:ascii="Arial" w:cs="Arial" w:eastAsia="Arial" w:hAnsi="Arial"/>
          <w:sz w:val="16"/>
          <w:szCs w:val="16"/>
          <w:u w:val="single" w:color="auto"/>
          <w:color w:val="auto"/>
        </w:rPr>
        <w:t>or</w:t>
      </w:r>
      <w:r>
        <w:rPr>
          <w:rFonts w:ascii="Arial" w:cs="Arial" w:eastAsia="Arial" w:hAnsi="Arial"/>
          <w:sz w:val="16"/>
          <w:szCs w:val="16"/>
          <w:color w:val="auto"/>
        </w:rPr>
        <w:t>” is disjunctive but not exclusive, (b) terms defined in the singular have a comparable meaning when used in the plural, and vice versa, (c) the words “</w:t>
      </w:r>
      <w:r>
        <w:rPr>
          <w:rFonts w:ascii="Arial" w:cs="Arial" w:eastAsia="Arial" w:hAnsi="Arial"/>
          <w:sz w:val="16"/>
          <w:szCs w:val="16"/>
          <w:u w:val="single" w:color="auto"/>
          <w:color w:val="auto"/>
        </w:rPr>
        <w:t>hereof</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Election of Directors</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74" w:lineRule="auto"/>
        <w:tabs>
          <w:tab w:leader="none" w:pos="167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Pubco and each Stockholder shall take all Necessary Action to cause the Initial Board to be comprised of </w:t>
      </w:r>
      <w:r>
        <w:rPr>
          <w:rFonts w:ascii="Arial" w:cs="Arial" w:eastAsia="Arial" w:hAnsi="Arial"/>
          <w:sz w:val="17"/>
          <w:szCs w:val="17"/>
          <w:b w:val="1"/>
          <w:bCs w:val="1"/>
          <w:color w:val="auto"/>
        </w:rPr>
        <w:t>[five to nine]</w:t>
      </w:r>
      <w:r>
        <w:rPr>
          <w:rFonts w:ascii="Arial" w:cs="Arial" w:eastAsia="Arial" w:hAnsi="Arial"/>
          <w:sz w:val="17"/>
          <w:szCs w:val="17"/>
          <w:color w:val="auto"/>
        </w:rPr>
        <w:t xml:space="preserve"> (</w:t>
      </w:r>
      <w:r>
        <w:rPr>
          <w:rFonts w:ascii="Arial" w:cs="Arial" w:eastAsia="Arial" w:hAnsi="Arial"/>
          <w:sz w:val="17"/>
          <w:szCs w:val="17"/>
          <w:b w:val="1"/>
          <w:bCs w:val="1"/>
          <w:color w:val="auto"/>
        </w:rPr>
        <w:t>[5 to 9]</w:t>
      </w:r>
      <w:r>
        <w:rPr>
          <w:rFonts w:ascii="Arial" w:cs="Arial" w:eastAsia="Arial" w:hAnsi="Arial"/>
          <w:sz w:val="17"/>
          <w:szCs w:val="17"/>
          <w:color w:val="auto"/>
        </w:rPr>
        <w:t>) Directors, (i) one (1) of whom has been designated by the Sponsor (the “</w:t>
      </w:r>
      <w:r>
        <w:rPr>
          <w:rFonts w:ascii="Arial" w:cs="Arial" w:eastAsia="Arial" w:hAnsi="Arial"/>
          <w:sz w:val="17"/>
          <w:szCs w:val="17"/>
          <w:u w:val="single" w:color="auto"/>
          <w:color w:val="auto"/>
        </w:rPr>
        <w:t>Sponsor Director</w:t>
      </w:r>
      <w:r>
        <w:rPr>
          <w:rFonts w:ascii="Arial" w:cs="Arial" w:eastAsia="Arial" w:hAnsi="Arial"/>
          <w:sz w:val="17"/>
          <w:szCs w:val="17"/>
          <w:color w:val="auto"/>
        </w:rPr>
        <w:t>”), who shall initially be Gordon Watson, (ii) one (1) of whom has been designated by Bakkt Opco (the “</w:t>
      </w:r>
      <w:r>
        <w:rPr>
          <w:rFonts w:ascii="Arial" w:cs="Arial" w:eastAsia="Arial" w:hAnsi="Arial"/>
          <w:sz w:val="17"/>
          <w:szCs w:val="17"/>
          <w:u w:val="single" w:color="auto"/>
          <w:color w:val="auto"/>
        </w:rPr>
        <w:t>Bakkt Opco Director</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and (iii) the remaining of whom have been jointly designated by the Sponsor and Bakkt Opco and a majority of whom qualify as “independent directors” under NYSE listing rules (the “</w:t>
      </w:r>
      <w:r>
        <w:rPr>
          <w:rFonts w:ascii="Arial" w:cs="Arial" w:eastAsia="Arial" w:hAnsi="Arial"/>
          <w:sz w:val="17"/>
          <w:szCs w:val="17"/>
          <w:u w:val="single" w:color="auto"/>
          <w:color w:val="auto"/>
        </w:rPr>
        <w:t>Unaffiliated Directors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w:t>
      </w:r>
      <w:r>
        <w:rPr>
          <w:rFonts w:ascii="Arial" w:cs="Arial" w:eastAsia="Arial" w:hAnsi="Arial"/>
          <w:sz w:val="17"/>
          <w:szCs w:val="17"/>
          <w:color w:val="auto"/>
        </w:rPr>
        <w:t>•</w:t>
      </w:r>
      <w:r>
        <w:rPr>
          <w:rFonts w:ascii="Arial" w:cs="Arial" w:eastAsia="Arial" w:hAnsi="Arial"/>
          <w:sz w:val="17"/>
          <w:szCs w:val="17"/>
          <w:b w:val="1"/>
          <w:bCs w:val="1"/>
          <w:color w:val="auto"/>
        </w:rPr>
        <w:t>], [•], [</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 Pubco and each Stockholder shall take all Necessary Action to cause the foregoing Directors to be divided into three (3) classes of Directors, with each class serving for staggered three (3)-year terms as follows:</w:t>
      </w:r>
    </w:p>
    <w:p>
      <w:pPr>
        <w:spacing w:after="0" w:line="65" w:lineRule="exact"/>
        <w:rPr>
          <w:sz w:val="20"/>
          <w:szCs w:val="20"/>
          <w:color w:val="auto"/>
        </w:rPr>
      </w:pPr>
    </w:p>
    <w:p>
      <w:pPr>
        <w:ind w:left="1640" w:hanging="212"/>
        <w:spacing w:after="0"/>
        <w:tabs>
          <w:tab w:leader="none" w:pos="16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Class 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700" w:hanging="27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Class II Directors shall include [</w:t>
      </w:r>
      <w:r>
        <w:rPr>
          <w:rFonts w:ascii="Arial" w:cs="Arial" w:eastAsia="Arial" w:hAnsi="Arial"/>
          <w:sz w:val="17"/>
          <w:szCs w:val="17"/>
          <w:b w:val="1"/>
          <w:bCs w:val="1"/>
          <w:color w:val="auto"/>
        </w:rPr>
        <w:t>one (1)</w:t>
      </w:r>
      <w:r>
        <w:rPr>
          <w:rFonts w:ascii="Arial" w:cs="Arial" w:eastAsia="Arial" w:hAnsi="Arial"/>
          <w:sz w:val="17"/>
          <w:szCs w:val="17"/>
          <w:color w:val="auto"/>
        </w:rPr>
        <w:t xml:space="preserve"> Unaffiliated Director,] the Sponsor Director and the Bakkt Opco Director; and</w:t>
      </w:r>
    </w:p>
    <w:p>
      <w:pPr>
        <w:spacing w:after="0" w:line="128" w:lineRule="exact"/>
        <w:rPr>
          <w:rFonts w:ascii="Arial" w:cs="Arial" w:eastAsia="Arial" w:hAnsi="Arial"/>
          <w:sz w:val="17"/>
          <w:szCs w:val="17"/>
          <w:color w:val="auto"/>
        </w:rPr>
      </w:pPr>
    </w:p>
    <w:p>
      <w:pPr>
        <w:ind w:left="1740" w:hanging="312"/>
        <w:spacing w:after="0"/>
        <w:tabs>
          <w:tab w:leader="none" w:pos="17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the Class III Directors shall include </w:t>
      </w:r>
      <w:r>
        <w:rPr>
          <w:rFonts w:ascii="Arial" w:cs="Arial" w:eastAsia="Arial" w:hAnsi="Arial"/>
          <w:sz w:val="17"/>
          <w:szCs w:val="17"/>
          <w:b w:val="1"/>
          <w:bCs w:val="1"/>
          <w:color w:val="auto"/>
        </w:rPr>
        <w:t>[one/two/three]</w:t>
      </w:r>
      <w:r>
        <w:rPr>
          <w:rFonts w:ascii="Arial" w:cs="Arial" w:eastAsia="Arial" w:hAnsi="Arial"/>
          <w:sz w:val="17"/>
          <w:szCs w:val="17"/>
          <w:color w:val="auto"/>
        </w:rPr>
        <w:t xml:space="preserve"> (</w:t>
      </w:r>
      <w:r>
        <w:rPr>
          <w:rFonts w:ascii="Arial" w:cs="Arial" w:eastAsia="Arial" w:hAnsi="Arial"/>
          <w:sz w:val="17"/>
          <w:szCs w:val="17"/>
          <w:b w:val="1"/>
          <w:bCs w:val="1"/>
          <w:color w:val="auto"/>
        </w:rPr>
        <w:t>[1/2/3]</w:t>
      </w:r>
      <w:r>
        <w:rPr>
          <w:rFonts w:ascii="Arial" w:cs="Arial" w:eastAsia="Arial" w:hAnsi="Arial"/>
          <w:sz w:val="17"/>
          <w:szCs w:val="17"/>
          <w:color w:val="auto"/>
        </w:rPr>
        <w:t>) Unaffiliated Director</w:t>
      </w:r>
      <w:r>
        <w:rPr>
          <w:rFonts w:ascii="Arial" w:cs="Arial" w:eastAsia="Arial" w:hAnsi="Arial"/>
          <w:sz w:val="17"/>
          <w:szCs w:val="17"/>
          <w:b w:val="1"/>
          <w:bCs w:val="1"/>
          <w:color w:val="auto"/>
        </w:rPr>
        <w:t>[s]</w:t>
      </w:r>
      <w:r>
        <w:rPr>
          <w:rFonts w:ascii="Arial" w:cs="Arial" w:eastAsia="Arial" w:hAnsi="Arial"/>
          <w:sz w:val="17"/>
          <w:szCs w:val="17"/>
          <w:color w:val="auto"/>
        </w:rPr>
        <w:t xml:space="preserve">, who shall initially be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 and [</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24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initial term of the Class I Directors shall expire at the first (1</w:t>
      </w:r>
      <w:r>
        <w:rPr>
          <w:rFonts w:ascii="Arial" w:cs="Arial" w:eastAsia="Arial" w:hAnsi="Arial"/>
          <w:sz w:val="15"/>
          <w:szCs w:val="15"/>
          <w:color w:val="auto"/>
        </w:rPr>
        <w:t>st</w:t>
      </w:r>
      <w:r>
        <w:rPr>
          <w:rFonts w:ascii="Arial" w:cs="Arial" w:eastAsia="Arial" w:hAnsi="Arial"/>
          <w:sz w:val="18"/>
          <w:szCs w:val="18"/>
          <w:color w:val="auto"/>
        </w:rPr>
        <w:t>) annual meeting of stockholders of Pubco following the Closing Date at which Directors are elected. The initial term of the Class II Directors shall expire at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The initial term of the Class III Directors shall expire at the third (3</w:t>
      </w:r>
      <w:r>
        <w:rPr>
          <w:rFonts w:ascii="Arial" w:cs="Arial" w:eastAsia="Arial" w:hAnsi="Arial"/>
          <w:sz w:val="15"/>
          <w:szCs w:val="15"/>
          <w:color w:val="auto"/>
        </w:rPr>
        <w:t>rd</w:t>
      </w:r>
      <w:r>
        <w:rPr>
          <w:rFonts w:ascii="Arial" w:cs="Arial" w:eastAsia="Arial" w:hAnsi="Arial"/>
          <w:sz w:val="18"/>
          <w:szCs w:val="18"/>
          <w:color w:val="auto"/>
        </w:rPr>
        <w:t>) annual meeting of stockholders of Pubco following the Closing Date at which Directors are elected.</w:t>
      </w:r>
    </w:p>
    <w:p>
      <w:pPr>
        <w:spacing w:after="0" w:line="79" w:lineRule="exact"/>
        <w:rPr>
          <w:sz w:val="20"/>
          <w:szCs w:val="20"/>
          <w:color w:val="auto"/>
        </w:rPr>
      </w:pPr>
    </w:p>
    <w:p>
      <w:pPr>
        <w:ind w:right="100" w:firstLine="1428"/>
        <w:spacing w:after="0" w:line="263" w:lineRule="auto"/>
        <w:tabs>
          <w:tab w:leader="none" w:pos="1687"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75" w:lineRule="exact"/>
        <w:rPr>
          <w:rFonts w:ascii="Arial" w:cs="Arial" w:eastAsia="Arial" w:hAnsi="Arial"/>
          <w:sz w:val="18"/>
          <w:szCs w:val="18"/>
          <w:color w:val="auto"/>
        </w:rPr>
      </w:pPr>
    </w:p>
    <w:p>
      <w:pPr>
        <w:ind w:right="20" w:firstLine="1428"/>
        <w:spacing w:after="0" w:line="254" w:lineRule="auto"/>
        <w:tabs>
          <w:tab w:leader="none" w:pos="16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91"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In accordance with the Organizational Documents of Pubco, (i) the Board shall establish and maintain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7" w:name="page48"/>
    <w:bookmarkEnd w:id="47"/>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Arial" w:cs="Arial" w:eastAsia="Arial" w:hAnsi="Arial"/>
          <w:sz w:val="18"/>
          <w:szCs w:val="18"/>
          <w:b w:val="1"/>
          <w:bCs w:val="1"/>
          <w:u w:val="single" w:color="auto"/>
          <w:color w:val="auto"/>
        </w:rPr>
        <w:t>Independent Directors</w:t>
      </w:r>
      <w:r>
        <w:rPr>
          <w:rFonts w:ascii="Arial" w:cs="Arial" w:eastAsia="Arial" w:hAnsi="Arial"/>
          <w:sz w:val="18"/>
          <w:szCs w:val="18"/>
          <w:color w:val="auto"/>
        </w:rPr>
        <w:t>. Pubco has determined that the Initial Board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requisite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8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Compensation; Reimbursement of Expenses</w:t>
      </w:r>
      <w:r>
        <w:rPr>
          <w:rFonts w:ascii="Arial" w:cs="Arial" w:eastAsia="Arial" w:hAnsi="Arial"/>
          <w:sz w:val="18"/>
          <w:szCs w:val="18"/>
          <w:color w:val="auto"/>
        </w:rPr>
        <w:t>. Except to the extent the Sponsor, in respect of the Sponsor Director, or ICE,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Pubco shall enter into an indemnification agreement with each of the Sponsor Director and the Bakkt Opco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77"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u w:val="single" w:color="auto"/>
          <w:color w:val="auto"/>
        </w:rPr>
        <w:t>D&amp;O Insurance</w:t>
      </w:r>
      <w:r>
        <w:rPr>
          <w:rFonts w:ascii="Arial" w:cs="Arial" w:eastAsia="Arial" w:hAnsi="Arial"/>
          <w:sz w:val="18"/>
          <w:szCs w:val="18"/>
          <w:color w:val="auto"/>
        </w:rPr>
        <w:t>. Pubco shall (i) purchase directors’ and officers’ liability insurance in an amount determined by the Board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Information Sharing</w:t>
      </w:r>
      <w:r>
        <w:rPr>
          <w:rFonts w:ascii="Arial" w:cs="Arial" w:eastAsia="Arial" w:hAnsi="Arial"/>
          <w:sz w:val="18"/>
          <w:szCs w:val="18"/>
          <w:color w:val="auto"/>
        </w:rPr>
        <w:t>. To the extent permitted by applicable Law, each party hereto acknowledges and agrees that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8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2.08 </w:t>
      </w: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Each of the Sponsor and ICE agrees (severally, and not jointly) that it will, and will direct its Designated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Representatives to, keep confidential and not disclose any Confidential Information to any other Person (other than Pubco and its Designated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each Designated Representative shall be under an obligation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48" w:name="page49"/>
    <w:bookmarkEnd w:id="48"/>
    <w:p>
      <w:pPr>
        <w:ind w:right="10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confidentiality to Pubco or the Sponsor or ICE (as applicable) with respect to such Confidential Information and (ii) each of the Sponsor and ICE agrees (severally, and not jointly) to be responsible for any breaches of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Arial" w:cs="Arial" w:eastAsia="Arial" w:hAnsi="Arial"/>
          <w:sz w:val="17"/>
          <w:szCs w:val="17"/>
          <w:u w:val="single" w:color="auto"/>
          <w:color w:val="auto"/>
        </w:rPr>
        <w:t>Section 2.08</w:t>
      </w:r>
      <w:r>
        <w:rPr>
          <w:rFonts w:ascii="Arial" w:cs="Arial" w:eastAsia="Arial" w:hAnsi="Arial"/>
          <w:sz w:val="17"/>
          <w:szCs w:val="17"/>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ON TRANSFER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General Restrictions on Transfer</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63" w:lineRule="auto"/>
        <w:tabs>
          <w:tab w:leader="none" w:pos="16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no Bakkt Equity Holder shall Transfer, or make a public announcement of any intention to Transfer, any Bakkt Equity Holders Lock-Up Shares during the period commencing on the Closing Date and continuing until the six (6)-month anniversary of the Closing Date (the “</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1428"/>
        <w:spacing w:after="0" w:line="277" w:lineRule="auto"/>
        <w:tabs>
          <w:tab w:leader="none" w:pos="168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Private Placement Lock-Up Shares during the Private Placement Lock-Up Period.</w:t>
      </w:r>
    </w:p>
    <w:p>
      <w:pPr>
        <w:spacing w:after="0" w:line="62" w:lineRule="exact"/>
        <w:rPr>
          <w:rFonts w:ascii="Arial" w:cs="Arial" w:eastAsia="Arial" w:hAnsi="Arial"/>
          <w:sz w:val="18"/>
          <w:szCs w:val="18"/>
          <w:color w:val="auto"/>
        </w:rPr>
      </w:pPr>
    </w:p>
    <w:p>
      <w:pPr>
        <w:ind w:right="40" w:firstLine="1428"/>
        <w:spacing w:after="0" w:line="277" w:lineRule="auto"/>
        <w:tabs>
          <w:tab w:leader="none" w:pos="1677"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Sponsor Lock-Up Shares during the Sponsor Lock-Up Period.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Permitted</w:t>
      </w:r>
      <w:r>
        <w:rPr>
          <w:rFonts w:ascii="Arial" w:cs="Arial" w:eastAsia="Arial" w:hAnsi="Arial"/>
          <w:sz w:val="18"/>
          <w:szCs w:val="18"/>
          <w:b w:val="1"/>
          <w:bCs w:val="1"/>
          <w:color w:val="auto"/>
        </w:rPr>
        <w:t xml:space="preserve"> Transfers</w:t>
      </w:r>
      <w:r>
        <w:rPr>
          <w:rFonts w:ascii="Arial" w:cs="Arial" w:eastAsia="Arial" w:hAnsi="Arial"/>
          <w:sz w:val="18"/>
          <w:szCs w:val="18"/>
          <w:color w:val="auto"/>
        </w:rPr>
        <w:t>.</w:t>
      </w:r>
    </w:p>
    <w:p>
      <w:pPr>
        <w:spacing w:after="0" w:line="121" w:lineRule="exact"/>
        <w:rPr>
          <w:sz w:val="20"/>
          <w:szCs w:val="20"/>
          <w:color w:val="auto"/>
        </w:rPr>
      </w:pPr>
    </w:p>
    <w:p>
      <w:pPr>
        <w:ind w:right="140" w:firstLine="1428"/>
        <w:spacing w:after="0" w:line="259" w:lineRule="auto"/>
        <w:tabs>
          <w:tab w:leader="none" w:pos="16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 prohibition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apply to: (i) Transfers permitted by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3.02(c)</w:t>
      </w:r>
      <w:r>
        <w:rPr>
          <w:rFonts w:ascii="Arial" w:cs="Arial" w:eastAsia="Arial" w:hAnsi="Arial"/>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 Up Period.</w:t>
      </w:r>
    </w:p>
    <w:p>
      <w:pPr>
        <w:spacing w:after="0" w:line="78" w:lineRule="exact"/>
        <w:rPr>
          <w:rFonts w:ascii="Arial" w:cs="Arial" w:eastAsia="Arial" w:hAnsi="Arial"/>
          <w:sz w:val="18"/>
          <w:szCs w:val="18"/>
          <w:color w:val="auto"/>
        </w:rPr>
      </w:pPr>
    </w:p>
    <w:p>
      <w:pPr>
        <w:ind w:firstLine="1428"/>
        <w:spacing w:after="0" w:line="263" w:lineRule="auto"/>
        <w:tabs>
          <w:tab w:leader="none" w:pos="16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(including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3.02(c)</w:t>
      </w:r>
      <w:r>
        <w:rPr>
          <w:rFonts w:ascii="Arial" w:cs="Arial" w:eastAsia="Arial" w:hAnsi="Arial"/>
          <w:sz w:val="18"/>
          <w:szCs w:val="18"/>
          <w:color w:val="auto"/>
        </w:rPr>
        <w:t>, during the Lock-Up Period applicable to such Person, each Bakkt Equity Holder and the Sponsor may Transfer, without the consent of any other party hereto, any of such Person’s Lock-Up Shares:</w:t>
      </w:r>
    </w:p>
    <w:p>
      <w:pPr>
        <w:spacing w:after="0" w:line="75" w:lineRule="exact"/>
        <w:rPr>
          <w:rFonts w:ascii="Arial" w:cs="Arial" w:eastAsia="Arial" w:hAnsi="Arial"/>
          <w:sz w:val="18"/>
          <w:szCs w:val="18"/>
          <w:color w:val="auto"/>
        </w:rPr>
      </w:pPr>
    </w:p>
    <w:p>
      <w:pPr>
        <w:ind w:left="440" w:right="20" w:firstLine="1371"/>
        <w:spacing w:after="0" w:line="257" w:lineRule="auto"/>
        <w:tabs>
          <w:tab w:leader="none" w:pos="20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to any of such Person’s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Transfers to an Immediate Family Member or an Affiliate of such Person (other than pursuant to </w:t>
      </w:r>
      <w:r>
        <w:rPr>
          <w:rFonts w:ascii="Arial" w:cs="Arial" w:eastAsia="Arial" w:hAnsi="Arial"/>
          <w:sz w:val="18"/>
          <w:szCs w:val="18"/>
          <w:u w:val="single" w:color="auto"/>
          <w:color w:val="auto"/>
        </w:rPr>
        <w:t>Section 3.02(b)(iii)</w:t>
      </w:r>
      <w:r>
        <w:rPr>
          <w:rFonts w:ascii="Arial" w:cs="Arial" w:eastAsia="Arial" w:hAnsi="Arial"/>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9" w:name="page50"/>
    <w:bookmarkEnd w:id="49"/>
    <w:p>
      <w:pPr>
        <w:ind w:left="440" w:right="100" w:firstLine="1371"/>
        <w:spacing w:after="0" w:line="263" w:lineRule="auto"/>
        <w:tabs>
          <w:tab w:leader="none" w:pos="2080"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75" w:lineRule="exact"/>
        <w:rPr>
          <w:rFonts w:ascii="Arial" w:cs="Arial" w:eastAsia="Arial" w:hAnsi="Arial"/>
          <w:sz w:val="18"/>
          <w:szCs w:val="18"/>
          <w:color w:val="auto"/>
        </w:rPr>
      </w:pPr>
    </w:p>
    <w:p>
      <w:pPr>
        <w:ind w:left="440" w:right="380" w:firstLine="1371"/>
        <w:spacing w:after="0" w:line="342" w:lineRule="auto"/>
        <w:tabs>
          <w:tab w:leader="none" w:pos="2130" w:val="left"/>
        </w:tabs>
        <w:numPr>
          <w:ilvl w:val="1"/>
          <w:numId w:val="37"/>
        </w:numPr>
        <w:rPr>
          <w:rFonts w:ascii="Arial" w:cs="Arial" w:eastAsia="Arial" w:hAnsi="Arial"/>
          <w:sz w:val="16"/>
          <w:szCs w:val="16"/>
          <w:color w:val="auto"/>
        </w:rPr>
      </w:pPr>
      <w:r>
        <w:rPr>
          <w:rFonts w:ascii="Arial" w:cs="Arial" w:eastAsia="Arial" w:hAnsi="Arial"/>
          <w:sz w:val="16"/>
          <w:szCs w:val="16"/>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15" w:lineRule="exact"/>
        <w:rPr>
          <w:rFonts w:ascii="Arial" w:cs="Arial" w:eastAsia="Arial" w:hAnsi="Arial"/>
          <w:sz w:val="16"/>
          <w:szCs w:val="16"/>
          <w:color w:val="auto"/>
        </w:rPr>
      </w:pPr>
    </w:p>
    <w:p>
      <w:pPr>
        <w:ind w:right="40" w:firstLine="1428"/>
        <w:spacing w:after="0" w:line="270" w:lineRule="auto"/>
        <w:tabs>
          <w:tab w:leader="none" w:pos="1677"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In respect of any Transfers permitted by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whereupon such Transferee will be treated as a party hereto (with the same rights and obligations as the Transferor (including, for the avoidance of doubt, the restrictions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the restrictions and obligations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continue to apply to such Lock-Up Shares for the Lock-Up Period applicable to the initial Transferor.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Miscellaneous Provisions Relating to Transfers</w:t>
      </w:r>
      <w:r>
        <w:rPr>
          <w:rFonts w:ascii="Arial" w:cs="Arial" w:eastAsia="Arial" w:hAnsi="Arial"/>
          <w:sz w:val="18"/>
          <w:szCs w:val="18"/>
          <w:color w:val="auto"/>
        </w:rPr>
        <w:t>.</w:t>
      </w:r>
    </w:p>
    <w:p>
      <w:pPr>
        <w:spacing w:after="0" w:line="121" w:lineRule="exact"/>
        <w:rPr>
          <w:sz w:val="20"/>
          <w:szCs w:val="20"/>
          <w:color w:val="auto"/>
        </w:rPr>
      </w:pPr>
    </w:p>
    <w:p>
      <w:pPr>
        <w:ind w:right="180" w:firstLine="1428"/>
        <w:spacing w:after="0" w:line="311" w:lineRule="auto"/>
        <w:tabs>
          <w:tab w:leader="none" w:pos="16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40" w:lineRule="exact"/>
        <w:rPr>
          <w:rFonts w:ascii="Arial" w:cs="Arial" w:eastAsia="Arial" w:hAnsi="Arial"/>
          <w:sz w:val="16"/>
          <w:szCs w:val="16"/>
          <w:color w:val="auto"/>
        </w:rPr>
      </w:pPr>
    </w:p>
    <w:p>
      <w:pPr>
        <w:ind w:right="220" w:firstLine="1428"/>
        <w:spacing w:after="0" w:line="311" w:lineRule="auto"/>
        <w:tabs>
          <w:tab w:leader="none" w:pos="1687"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40" w:lineRule="exact"/>
        <w:rPr>
          <w:rFonts w:ascii="Arial" w:cs="Arial" w:eastAsia="Arial" w:hAnsi="Arial"/>
          <w:sz w:val="16"/>
          <w:szCs w:val="16"/>
          <w:color w:val="auto"/>
        </w:rPr>
      </w:pPr>
    </w:p>
    <w:p>
      <w:pPr>
        <w:ind w:firstLine="1428"/>
        <w:spacing w:after="0" w:line="257" w:lineRule="auto"/>
        <w:tabs>
          <w:tab w:leader="none" w:pos="16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50" w:name="page51"/>
    <w:bookmarkEnd w:id="5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121" w:lineRule="exact"/>
        <w:rPr>
          <w:sz w:val="20"/>
          <w:szCs w:val="20"/>
          <w:color w:val="auto"/>
        </w:rPr>
      </w:pPr>
    </w:p>
    <w:p>
      <w:pPr>
        <w:ind w:left="4" w:right="80" w:firstLine="1428"/>
        <w:spacing w:after="0" w:line="287" w:lineRule="auto"/>
        <w:tabs>
          <w:tab w:leader="none" w:pos="1681"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immediately following the second (2</w:t>
      </w:r>
      <w:r>
        <w:rPr>
          <w:rFonts w:ascii="Arial" w:cs="Arial" w:eastAsia="Arial" w:hAnsi="Arial"/>
          <w:sz w:val="14"/>
          <w:szCs w:val="14"/>
          <w:color w:val="auto"/>
        </w:rPr>
        <w:t>nd</w:t>
      </w:r>
      <w:r>
        <w:rPr>
          <w:rFonts w:ascii="Arial" w:cs="Arial" w:eastAsia="Arial" w:hAnsi="Arial"/>
          <w:sz w:val="17"/>
          <w:szCs w:val="17"/>
          <w:color w:val="auto"/>
        </w:rPr>
        <w:t>) annual meeting of stockholders of Pubco following the Closing Date at which Directors are elected.</w:t>
      </w:r>
    </w:p>
    <w:p>
      <w:pPr>
        <w:spacing w:after="0" w:line="114" w:lineRule="exact"/>
        <w:rPr>
          <w:rFonts w:ascii="Arial" w:cs="Arial" w:eastAsia="Arial" w:hAnsi="Arial"/>
          <w:sz w:val="17"/>
          <w:szCs w:val="17"/>
          <w:color w:val="auto"/>
        </w:rPr>
      </w:pPr>
    </w:p>
    <w:p>
      <w:pPr>
        <w:ind w:left="1684" w:hanging="252"/>
        <w:spacing w:after="0"/>
        <w:tabs>
          <w:tab w:leader="none" w:pos="1684"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termination of this Agreement, whether in respect of any particular Stockholder and/or all parties hereto, shall not affect:</w:t>
      </w:r>
    </w:p>
    <w:p>
      <w:pPr>
        <w:spacing w:after="0" w:line="34" w:lineRule="exact"/>
        <w:rPr>
          <w:rFonts w:ascii="Arial" w:cs="Arial" w:eastAsia="Arial" w:hAnsi="Arial"/>
          <w:sz w:val="17"/>
          <w:szCs w:val="17"/>
          <w:color w:val="auto"/>
        </w:rPr>
      </w:pPr>
    </w:p>
    <w:p>
      <w:pPr>
        <w:ind w:left="4" w:right="460" w:hanging="4"/>
        <w:spacing w:after="0" w:line="253" w:lineRule="auto"/>
        <w:tabs>
          <w:tab w:leader="none" w:pos="2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notices, designations, requests, requests for consent or consents shall be sent to the addresses indicated below:</w:t>
      </w:r>
    </w:p>
    <w:p>
      <w:pPr>
        <w:spacing w:after="0" w:line="88"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Pubco,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marc.dannuzio@bakkt.com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Shearman &amp; Sterling LLP</w:t>
      </w:r>
    </w:p>
    <w:p>
      <w:pPr>
        <w:spacing w:after="0" w:line="2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300 West 6</w:t>
      </w:r>
      <w:r>
        <w:rPr>
          <w:rFonts w:ascii="Arial" w:cs="Arial" w:eastAsia="Arial" w:hAnsi="Arial"/>
          <w:sz w:val="15"/>
          <w:szCs w:val="15"/>
          <w:color w:val="auto"/>
        </w:rPr>
        <w:t>th</w:t>
      </w:r>
      <w:r>
        <w:rPr>
          <w:rFonts w:ascii="Arial" w:cs="Arial" w:eastAsia="Arial" w:hAnsi="Arial"/>
          <w:sz w:val="18"/>
          <w:szCs w:val="18"/>
          <w:color w:val="auto"/>
        </w:rPr>
        <w:t xml:space="preserve"> Street, 22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1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864"/>
        <w:spacing w:after="0"/>
        <w:tabs>
          <w:tab w:leader="none" w:pos="160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Matt.Lyons@Shearman.com</w:t>
      </w:r>
    </w:p>
    <w:p>
      <w:pPr>
        <w:spacing w:after="0" w:line="103" w:lineRule="exact"/>
        <w:rPr>
          <w:sz w:val="20"/>
          <w:szCs w:val="20"/>
          <w:color w:val="auto"/>
        </w:rPr>
      </w:pPr>
    </w:p>
    <w:p>
      <w:pPr>
        <w:ind w:left="864"/>
        <w:spacing w:after="0"/>
        <w:rPr>
          <w:sz w:val="20"/>
          <w:szCs w:val="20"/>
          <w:color w:val="auto"/>
        </w:rPr>
      </w:pPr>
      <w:r>
        <w:rPr>
          <w:rFonts w:ascii="Arial" w:cs="Arial" w:eastAsia="Arial" w:hAnsi="Arial"/>
          <w:sz w:val="18"/>
          <w:szCs w:val="18"/>
          <w:u w:val="single" w:color="auto"/>
          <w:color w:val="auto"/>
        </w:rPr>
        <w:t>if to the Sponsor, to</w:t>
      </w:r>
      <w:r>
        <w:rPr>
          <w:rFonts w:ascii="Arial" w:cs="Arial" w:eastAsia="Arial" w:hAnsi="Arial"/>
          <w:sz w:val="18"/>
          <w:szCs w:val="18"/>
          <w:color w:val="auto"/>
        </w:rPr>
        <w: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Victory Park Management, LLC</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c/o VPC Impact Acquisition Holdings Sponsor, LLC</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Attention: Scott Zemnick</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E-mail: szemnick@vpcadvisors.com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51" w:name="page52"/>
    <w:bookmarkEnd w:id="51"/>
    <w:p>
      <w:pPr>
        <w:ind w:left="8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860"/>
        <w:spacing w:after="0"/>
        <w:tabs>
          <w:tab w:leader="none" w:pos="1800" w:val="left"/>
        </w:tabs>
        <w:rPr>
          <w:sz w:val="20"/>
          <w:szCs w:val="20"/>
          <w:color w:val="auto"/>
        </w:rPr>
      </w:pPr>
      <w:r>
        <w:rPr>
          <w:rFonts w:ascii="Arial" w:cs="Arial" w:eastAsia="Arial" w:hAnsi="Arial"/>
          <w:sz w:val="18"/>
          <w:szCs w:val="18"/>
          <w:color w:val="auto"/>
        </w:rPr>
        <w:t>Attention:</w:t>
        <w:tab/>
        <w:t>Raymond Bogenrief</w:t>
      </w:r>
    </w:p>
    <w:p>
      <w:pPr>
        <w:spacing w:after="0" w:line="9" w:lineRule="exact"/>
        <w:rPr>
          <w:sz w:val="20"/>
          <w:szCs w:val="20"/>
          <w:color w:val="auto"/>
        </w:rPr>
      </w:pPr>
    </w:p>
    <w:p>
      <w:pPr>
        <w:ind w:left="860"/>
        <w:spacing w:after="0"/>
        <w:tabs>
          <w:tab w:leader="none" w:pos="176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6"/>
          <w:szCs w:val="16"/>
          <w:color w:val="auto"/>
        </w:rPr>
        <w:t>(312) 881-5450</w:t>
      </w:r>
    </w:p>
    <w:p>
      <w:pPr>
        <w:spacing w:after="0" w:line="9" w:lineRule="exact"/>
        <w:rPr>
          <w:sz w:val="20"/>
          <w:szCs w:val="20"/>
          <w:color w:val="auto"/>
        </w:rPr>
      </w:pPr>
    </w:p>
    <w:p>
      <w:pPr>
        <w:ind w:left="860"/>
        <w:spacing w:after="0"/>
        <w:tabs>
          <w:tab w:leader="none" w:pos="17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Raymond.Bogenrief@whitecase.com</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if to any Bakkt Equity Holder,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address of such Bakkt Equity Holder set forth on its signature page hereto.</w:t>
      </w:r>
    </w:p>
    <w:p>
      <w:pPr>
        <w:spacing w:after="0" w:line="22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 xml:space="preserve">Section 4.03 </w:t>
      </w:r>
      <w:r>
        <w:rPr>
          <w:rFonts w:ascii="Arial" w:cs="Arial" w:eastAsia="Arial" w:hAnsi="Arial"/>
          <w:sz w:val="16"/>
          <w:szCs w:val="16"/>
          <w:b w:val="1"/>
          <w:bCs w:val="1"/>
          <w:u w:val="single" w:color="auto"/>
          <w:color w:val="auto"/>
        </w:rPr>
        <w:t>Amendment; Waiver</w:t>
      </w:r>
      <w:r>
        <w:rPr>
          <w:rFonts w:ascii="Arial" w:cs="Arial" w:eastAsia="Arial" w:hAnsi="Arial"/>
          <w:sz w:val="16"/>
          <w:szCs w:val="16"/>
          <w:color w:val="auto"/>
        </w:rPr>
        <w:t>. This Agreement may be amended, supplemented or otherwise modified only by a written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executed by (a) Pubco and each Qualified Stockholder at the time of such amendment, supplement or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no waiver of any provision or default under, nor any consent to any exception to, the terms and provisions of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effective unless in writing and signed by each of (i) Pubco, (ii) for so long as the Bakkt Equity Holders or their respective Permitted Transferees continue to Beneficially Own or otherwise hold Common Stock, ICE, (iii) for so long as the Sponsor or its Permitted Transferees continue to Beneficially Own or otherwise hold Common Stock, the Sponsor, and (iv) if such party hereto is not already required to sign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the party asserted to have granted such waiver or consent.</w:t>
      </w:r>
    </w:p>
    <w:p>
      <w:pPr>
        <w:spacing w:after="0" w:line="171" w:lineRule="exact"/>
        <w:rPr>
          <w:sz w:val="20"/>
          <w:szCs w:val="20"/>
          <w:color w:val="auto"/>
        </w:rPr>
      </w:pPr>
    </w:p>
    <w:p>
      <w:pPr>
        <w:ind w:right="100" w:firstLine="440"/>
        <w:spacing w:after="0" w:line="347"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to this Agreement shall cooperate and take such action as may be reasonably requested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this Agreement in order to carry out the provisions and purposes of this Agreement and the transactions contemplated hereby.</w:t>
      </w:r>
    </w:p>
    <w:p>
      <w:pPr>
        <w:spacing w:after="0" w:line="11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b w:val="1"/>
          <w:bCs w:val="1"/>
          <w:color w:val="auto"/>
        </w:rPr>
        <w:t xml:space="preserve">Section 4.05 </w:t>
      </w:r>
      <w:r>
        <w:rPr>
          <w:rFonts w:ascii="Arial" w:cs="Arial" w:eastAsia="Arial" w:hAnsi="Arial"/>
          <w:sz w:val="17"/>
          <w:szCs w:val="17"/>
          <w:b w:val="1"/>
          <w:bCs w:val="1"/>
          <w:u w:val="single" w:color="auto"/>
          <w:color w:val="auto"/>
        </w:rPr>
        <w:t>Assignment</w:t>
      </w:r>
      <w:r>
        <w:rPr>
          <w:rFonts w:ascii="Arial" w:cs="Arial" w:eastAsia="Arial" w:hAnsi="Arial"/>
          <w:sz w:val="17"/>
          <w:szCs w:val="17"/>
          <w:color w:val="auto"/>
        </w:rPr>
        <w:t>. No party may assign this Agreement nor any right or obligation of such party, in whole or in part, without the express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prior written consent of (a) Pubco and (b) each Qualified Stockholder at the time of such amendment, supplement or modification, and any attempted assignment in violation of this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shall be null and void and of no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Transfer pursuant to and permitted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in each case, without the prior consent of any other party, or (y) to any other Person in compliance with, and to the extent not expressly prohibited by </w:t>
      </w:r>
      <w:r>
        <w:rPr>
          <w:rFonts w:ascii="Arial" w:cs="Arial" w:eastAsia="Arial" w:hAnsi="Arial"/>
          <w:sz w:val="17"/>
          <w:szCs w:val="17"/>
          <w:u w:val="single" w:color="auto"/>
          <w:color w:val="auto"/>
        </w:rPr>
        <w:t>Article III</w:t>
      </w:r>
      <w:r>
        <w:rPr>
          <w:rFonts w:ascii="Arial" w:cs="Arial" w:eastAsia="Arial" w:hAnsi="Arial"/>
          <w:sz w:val="17"/>
          <w:szCs w:val="17"/>
          <w:color w:val="auto"/>
        </w:rPr>
        <w:t>, in each case, with the express prior written consent of Pubco. 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52" w:name="page53"/>
    <w:bookmarkEnd w:id="52"/>
    <w:p>
      <w:pPr>
        <w:jc w:val="both"/>
        <w:ind w:right="30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Nothing in this Agreement, express or implied, is intended to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6" w:lineRule="exact"/>
        <w:rPr>
          <w:sz w:val="20"/>
          <w:szCs w:val="20"/>
          <w:color w:val="auto"/>
        </w:rPr>
      </w:pPr>
    </w:p>
    <w:p>
      <w:pPr>
        <w:ind w:right="300" w:firstLine="440"/>
        <w:spacing w:after="0" w:line="258"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ITS ENFORCEMENT AND ANY CONTROVERSY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3"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b w:val="1"/>
          <w:bCs w:val="1"/>
          <w:color w:val="auto"/>
        </w:rPr>
        <w:t xml:space="preserve">Section 4.08 </w:t>
      </w:r>
      <w:r>
        <w:rPr>
          <w:rFonts w:ascii="Arial" w:cs="Arial" w:eastAsia="Arial" w:hAnsi="Arial"/>
          <w:sz w:val="17"/>
          <w:szCs w:val="17"/>
          <w:b w:val="1"/>
          <w:bCs w:val="1"/>
          <w:u w:val="single" w:color="auto"/>
          <w:color w:val="auto"/>
        </w:rPr>
        <w:t>Jurisdiction; WAIVER OF JURY TRIAL</w:t>
      </w:r>
      <w:r>
        <w:rPr>
          <w:rFonts w:ascii="Arial" w:cs="Arial" w:eastAsia="Arial" w:hAnsi="Arial"/>
          <w:sz w:val="17"/>
          <w:szCs w:val="17"/>
          <w:color w:val="auto"/>
        </w:rPr>
        <w:t>. Each party hereto hereby (i) agrees that any action directly or indirectly arising out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(A) irrevocably and unconditionally consents and submits to the exclusive jurisdiction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(B) irrevocably and unconditionally waives any objection to the laying of venue in any of the courts identified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(C) irrevocably and unconditionally waives and agrees not to plead or claim that any of the courts identified in such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is an inconvenient forum or does not have personal jurisdiction over any party hereto, and (D) 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79"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5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53" w:name="page54"/>
    <w:bookmarkEnd w:id="53"/>
    <w:p>
      <w:pPr>
        <w:ind w:right="1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of such provision to any Person or circumstance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68" w:lineRule="exact"/>
        <w:rPr>
          <w:sz w:val="20"/>
          <w:szCs w:val="20"/>
          <w:color w:val="auto"/>
        </w:rPr>
      </w:pPr>
    </w:p>
    <w:p>
      <w:pPr>
        <w:jc w:val="both"/>
        <w:ind w:right="20" w:firstLine="440"/>
        <w:spacing w:after="0" w:line="347"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included for convenience of reference only, and in no way define, limit or describe the scope of this Agreement or the intent of any provision hereof.</w:t>
      </w:r>
    </w:p>
    <w:p>
      <w:pPr>
        <w:spacing w:after="0" w:line="11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pdf or other electronic document transmission), each of which shall be deemed an original, but all of which taken together shall constitute one Agreement (or amendment, as applicable).</w:t>
      </w:r>
    </w:p>
    <w:p>
      <w:pPr>
        <w:spacing w:after="0" w:line="176"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Subsequent Acquisition of Securities</w:t>
      </w:r>
      <w:r>
        <w:rPr>
          <w:rFonts w:ascii="Arial" w:cs="Arial" w:eastAsia="Arial" w:hAnsi="Arial"/>
          <w:sz w:val="16"/>
          <w:szCs w:val="16"/>
          <w:color w:val="auto"/>
        </w:rPr>
        <w:t>. Each Stockholder agrees that any Equity Securities of Pubco or Bakkt Opco which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4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VPC IMPACT ACQUISITION HOLDINGS SPONSOR,</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w:t>
      </w:r>
    </w:p>
    <w:p>
      <w:pPr>
        <w:sectPr>
          <w:pgSz w:w="11900" w:h="16838" w:orient="portrait"/>
          <w:cols w:equalWidth="0" w:num="1">
            <w:col w:w="10300"/>
          </w:cols>
          <w:pgMar w:left="880" w:top="274" w:right="719" w:bottom="1440" w:gutter="0" w:footer="0" w:header="0"/>
        </w:sectPr>
      </w:pP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20"/>
        <w:spacing w:after="0" w:line="277" w:lineRule="auto"/>
        <w:rPr>
          <w:sz w:val="20"/>
          <w:szCs w:val="20"/>
          <w:color w:val="auto"/>
        </w:rPr>
      </w:pPr>
      <w:r>
        <w:rPr>
          <w:rFonts w:ascii="Arial" w:cs="Arial" w:eastAsia="Arial" w:hAnsi="Arial"/>
          <w:sz w:val="18"/>
          <w:szCs w:val="18"/>
          <w:color w:val="auto"/>
        </w:rPr>
        <w:t>Victory Park Management, LLC Manager</w:t>
      </w:r>
    </w:p>
    <w:p>
      <w:pPr>
        <w:spacing w:after="0" w:line="170" w:lineRule="exact"/>
        <w:rPr>
          <w:sz w:val="20"/>
          <w:szCs w:val="20"/>
          <w:color w:val="auto"/>
        </w:rPr>
      </w:pPr>
    </w:p>
    <w:p>
      <w:pPr>
        <w:sectPr>
          <w:pgSz w:w="11900" w:h="16838" w:orient="portrait"/>
          <w:cols w:equalWidth="0" w:num="2">
            <w:col w:w="6560" w:space="200"/>
            <w:col w:w="3540"/>
          </w:cols>
          <w:pgMar w:left="880" w:top="274" w:right="719" w:bottom="1440" w:gutter="0" w:footer="0" w:header="0"/>
          <w:type w:val="continuous"/>
        </w:sect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Zemnick</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Authorized Signatory</w:t>
      </w:r>
    </w:p>
    <w:p>
      <w:pPr>
        <w:spacing w:after="0" w:line="23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10300"/>
          </w:cols>
          <w:pgMar w:left="880" w:top="274" w:right="719" w:bottom="1440" w:gutter="0" w:footer="0" w:header="0"/>
          <w:type w:val="continuous"/>
        </w:sectPr>
      </w:pPr>
    </w:p>
    <w:bookmarkStart w:id="57" w:name="page58"/>
    <w:bookmarkEnd w:id="57"/>
    <w:p>
      <w:pPr>
        <w:jc w:val="center"/>
        <w:ind w:right="-98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ind w:left="4344"/>
        <w:spacing w:after="0"/>
        <w:rPr>
          <w:sz w:val="20"/>
          <w:szCs w:val="20"/>
          <w:color w:val="auto"/>
        </w:rPr>
      </w:pPr>
      <w:r>
        <w:rPr>
          <w:rFonts w:ascii="Arial" w:cs="Arial" w:eastAsia="Arial" w:hAnsi="Arial"/>
          <w:sz w:val="18"/>
          <w:szCs w:val="18"/>
          <w:b w:val="1"/>
          <w:bCs w:val="1"/>
          <w:color w:val="auto"/>
        </w:rPr>
        <w:t>BAKKT EQUITY HOLDERS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[TO BE INCLUDED]</w:t>
      </w:r>
      <w:r>
        <w:rPr>
          <w:rFonts w:ascii="Arial" w:cs="Arial" w:eastAsia="Arial" w:hAnsi="Arial"/>
          <w:sz w:val="15"/>
          <w:szCs w:val="15"/>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Note to Draft</w:t>
      </w:r>
      <w:r>
        <w:rPr>
          <w:rFonts w:ascii="Arial" w:cs="Arial" w:eastAsia="Arial" w:hAnsi="Arial"/>
          <w:sz w:val="16"/>
          <w:szCs w:val="16"/>
          <w:color w:val="auto"/>
        </w:rPr>
        <w:t>: All members of Bakkt Holdings, LLC that will receive shares in Pubco to be listed.</w:t>
      </w:r>
    </w:p>
    <w:p>
      <w:pPr>
        <w:sectPr>
          <w:pgSz w:w="11900" w:h="16838" w:orient="portrait"/>
          <w:cols w:equalWidth="0" w:num="1">
            <w:col w:w="10023"/>
          </w:cols>
          <w:pgMar w:left="436" w:top="270"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FORM OF JOINDER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59" w:name="page60"/>
    <w:bookmarkEnd w:id="59"/>
    <w:tbl>
      <w:tblPr>
        <w:tblLayout w:type="fixed"/>
        <w:tblInd w:w="4"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JOINDER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0" w:type="dxa"/>
            <w:vAlign w:val="bottom"/>
            <w:gridSpan w:val="14"/>
          </w:tcPr>
          <w:p>
            <w:pPr>
              <w:ind w:left="440"/>
              <w:spacing w:after="0"/>
              <w:rPr>
                <w:sz w:val="20"/>
                <w:szCs w:val="20"/>
                <w:color w:val="auto"/>
              </w:rPr>
            </w:pPr>
            <w:r>
              <w:rPr>
                <w:rFonts w:ascii="Arial" w:cs="Arial" w:eastAsia="Arial" w:hAnsi="Arial"/>
                <w:sz w:val="18"/>
                <w:szCs w:val="18"/>
                <w:color w:val="auto"/>
                <w:w w:val="91"/>
              </w:rPr>
              <w:t>This Joinder (this “Joinder”) to the Stockholders Agreement is made and entered into as of</w:t>
            </w:r>
          </w:p>
        </w:tc>
        <w:tc>
          <w:tcPr>
            <w:tcW w:w="3560" w:type="dxa"/>
            <w:vAlign w:val="bottom"/>
            <w:gridSpan w:val="2"/>
          </w:tcPr>
          <w:p>
            <w:pPr>
              <w:ind w:left="2040"/>
              <w:spacing w:after="0"/>
              <w:rPr>
                <w:sz w:val="20"/>
                <w:szCs w:val="20"/>
                <w:color w:val="auto"/>
              </w:rPr>
            </w:pPr>
            <w:r>
              <w:rPr>
                <w:rFonts w:ascii="Arial" w:cs="Arial" w:eastAsia="Arial" w:hAnsi="Arial"/>
                <w:sz w:val="18"/>
                <w:szCs w:val="18"/>
                <w:color w:val="auto"/>
              </w:rPr>
              <w:t>, is between</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color w:val="auto"/>
              </w:rPr>
              <w:t>________________, (“Transferor”) and _____________________(“Transferee”).</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w w:val="87"/>
              </w:rPr>
              <w:t>[shares of Class A Common Stock/shares of Class V Common</w:t>
            </w:r>
          </w:p>
        </w:tc>
        <w:tc>
          <w:tcPr>
            <w:tcW w:w="0" w:type="dxa"/>
            <w:vAlign w:val="bottom"/>
          </w:tcPr>
          <w:p>
            <w:pPr>
              <w:spacing w:after="0" w:line="20" w:lineRule="exact"/>
              <w:rPr>
                <w:sz w:val="1"/>
                <w:szCs w:val="1"/>
                <w:color w:val="auto"/>
              </w:rPr>
            </w:pPr>
          </w:p>
        </w:tc>
      </w:tr>
      <w:tr>
        <w:trPr>
          <w:trHeight w:val="412"/>
        </w:trPr>
        <w:tc>
          <w:tcPr>
            <w:tcW w:w="4600" w:type="dxa"/>
            <w:vAlign w:val="bottom"/>
            <w:gridSpan w:val="9"/>
          </w:tcPr>
          <w:p>
            <w:pPr>
              <w:ind w:left="440"/>
              <w:spacing w:after="0"/>
              <w:rPr>
                <w:sz w:val="20"/>
                <w:szCs w:val="20"/>
                <w:color w:val="auto"/>
              </w:rPr>
            </w:pPr>
            <w:r>
              <w:rPr>
                <w:rFonts w:ascii="Arial" w:cs="Arial" w:eastAsia="Arial" w:hAnsi="Arial"/>
                <w:sz w:val="18"/>
                <w:szCs w:val="18"/>
                <w:color w:val="auto"/>
                <w:w w:val="90"/>
              </w:rPr>
              <w:t>WHEREAS, as of the date hereof, Transferee is acquiring</w:t>
            </w:r>
          </w:p>
        </w:tc>
        <w:tc>
          <w:tcPr>
            <w:tcW w:w="50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486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0" w:type="dxa"/>
            <w:vAlign w:val="bottom"/>
            <w:gridSpan w:val="14"/>
          </w:tcPr>
          <w:p>
            <w:pPr>
              <w:spacing w:after="0" w:line="196" w:lineRule="exact"/>
              <w:rPr>
                <w:sz w:val="20"/>
                <w:szCs w:val="20"/>
                <w:color w:val="auto"/>
              </w:rPr>
            </w:pPr>
            <w:r>
              <w:rPr>
                <w:rFonts w:ascii="Arial" w:cs="Arial" w:eastAsia="Arial" w:hAnsi="Arial"/>
                <w:sz w:val="18"/>
                <w:szCs w:val="18"/>
                <w:b w:val="1"/>
                <w:bCs w:val="1"/>
                <w:color w:val="auto"/>
              </w:rPr>
              <w:t xml:space="preserve">Stock/Bakkt Opco Common Units] </w:t>
            </w:r>
            <w:r>
              <w:rPr>
                <w:rFonts w:ascii="Arial" w:cs="Arial" w:eastAsia="Arial" w:hAnsi="Arial"/>
                <w:sz w:val="18"/>
                <w:szCs w:val="18"/>
                <w:color w:val="auto"/>
              </w:rPr>
              <w:t>(the “Acquired Interests”) from Transferor;</w:t>
            </w:r>
          </w:p>
        </w:tc>
        <w:tc>
          <w:tcPr>
            <w:tcW w:w="20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firstLine="440"/>
        <w:spacing w:after="0" w:line="277" w:lineRule="auto"/>
        <w:rPr>
          <w:sz w:val="20"/>
          <w:szCs w:val="20"/>
          <w:color w:val="auto"/>
        </w:rPr>
      </w:pPr>
      <w:r>
        <w:rPr>
          <w:rFonts w:ascii="Arial" w:cs="Arial" w:eastAsia="Arial" w:hAnsi="Arial"/>
          <w:sz w:val="18"/>
          <w:szCs w:val="18"/>
          <w:color w:val="auto"/>
        </w:rPr>
        <w:t>WHEREAS, Transferor is a party to that certain Stockholders Agreement, dated as of [•], among Bakkt Holdings, Inc. and the other persons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Stockholders Agreement,</w:t>
      </w:r>
    </w:p>
    <w:p>
      <w:pPr>
        <w:spacing w:after="0" w:line="46" w:lineRule="exact"/>
        <w:rPr>
          <w:sz w:val="20"/>
          <w:szCs w:val="20"/>
          <w:color w:val="auto"/>
        </w:rPr>
      </w:pPr>
    </w:p>
    <w:p>
      <w:pPr>
        <w:ind w:left="264" w:hanging="264"/>
        <w:spacing w:after="0"/>
        <w:tabs>
          <w:tab w:leader="none" w:pos="2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such Transferee is acquiring the Acquired Interests in accordance with and subject to the terms and conditions of the Stockholders Agreement and</w:t>
      </w:r>
    </w:p>
    <w:p>
      <w:pPr>
        <w:spacing w:after="0" w:line="32" w:lineRule="exact"/>
        <w:rPr>
          <w:rFonts w:ascii="Arial" w:cs="Arial" w:eastAsia="Arial" w:hAnsi="Arial"/>
          <w:sz w:val="16"/>
          <w:szCs w:val="16"/>
          <w:color w:val="auto"/>
        </w:rPr>
      </w:pPr>
    </w:p>
    <w:p>
      <w:pPr>
        <w:ind w:left="4" w:right="100" w:hanging="4"/>
        <w:spacing w:after="0" w:line="260"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Transferee will be treated as a party to the Stockholders Agreement (with the same rights and obligations as the Transferor) for all purposes of the Stockholders Agreement.</w:t>
      </w:r>
    </w:p>
    <w:p>
      <w:pPr>
        <w:spacing w:after="0" w:line="18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944"/>
          </w:cols>
          <w:pgMar w:left="436" w:top="257" w:right="51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TRANSFEROR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5715</wp:posOffset>
            </wp:positionV>
            <wp:extent cx="23145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4398645</wp:posOffset>
            </wp:positionH>
            <wp:positionV relativeFrom="paragraph">
              <wp:posOffset>14605</wp:posOffset>
            </wp:positionV>
            <wp:extent cx="2314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580390</wp:posOffset>
            </wp:positionV>
            <wp:extent cx="27946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871855</wp:posOffset>
            </wp:positionV>
            <wp:extent cx="27946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4484370</wp:posOffset>
            </wp:positionH>
            <wp:positionV relativeFrom="paragraph">
              <wp:posOffset>14605</wp:posOffset>
            </wp:positionV>
            <wp:extent cx="22288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w:t>
      </w:r>
      <w:r>
        <w:rPr>
          <w:rFonts w:ascii="Arial" w:cs="Arial" w:eastAsia="Arial" w:hAnsi="Arial"/>
          <w:sz w:val="18"/>
          <w:szCs w:val="18"/>
          <w:color w:val="auto"/>
        </w:rPr>
        <w:t>]</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75A2A8D4"/>
    <w:multiLevelType w:val="hybridMultilevel"/>
    <w:lvl w:ilvl="0">
      <w:lvlJc w:val="left"/>
      <w:lvlText w:val="%1."/>
      <w:numFmt w:val="decimal"/>
      <w:start w:val="4"/>
    </w:lvl>
    <w:lvl w:ilvl="1">
      <w:lvlJc w:val="left"/>
      <w:lvlText w:val="*"/>
      <w:numFmt w:val="bullet"/>
      <w:start w:val="1"/>
    </w:lvl>
  </w:abstractNum>
  <w:abstractNum w:abstractNumId="4">
    <w:nsid w:val="8EDBDAB"/>
    <w:multiLevelType w:val="hybridMultilevel"/>
    <w:lvl w:ilvl="0">
      <w:lvlJc w:val="left"/>
      <w:lvlText w:val="(%1)"/>
      <w:numFmt w:val="lowerLetter"/>
      <w:start w:val="2"/>
    </w:lvl>
  </w:abstractNum>
  <w:abstractNum w:abstractNumId="5">
    <w:nsid w:val="79838CB2"/>
    <w:multiLevelType w:val="hybridMultilevel"/>
    <w:lvl w:ilvl="0">
      <w:lvlJc w:val="left"/>
      <w:lvlText w:val="(%1)"/>
      <w:numFmt w:val="lowerLetter"/>
      <w:start w:val="2"/>
    </w:lvl>
  </w:abstractNum>
  <w:abstractNum w:abstractNumId="6">
    <w:nsid w:val="4353D0CD"/>
    <w:multiLevelType w:val="hybridMultilevel"/>
    <w:lvl w:ilvl="0">
      <w:lvlJc w:val="left"/>
      <w:lvlText w:val="(%1)"/>
      <w:numFmt w:val="lowerLetter"/>
      <w:start w:val="1"/>
    </w:lvl>
  </w:abstractNum>
  <w:abstractNum w:abstractNumId="7">
    <w:nsid w:val="B03E0C6"/>
    <w:multiLevelType w:val="hybridMultilevel"/>
    <w:lvl w:ilvl="0">
      <w:lvlJc w:val="left"/>
      <w:lvlText w:val="%1"/>
      <w:numFmt w:val="lowerLetter"/>
      <w:start w:val="1"/>
    </w:lvl>
    <w:lvl w:ilvl="1">
      <w:lvlJc w:val="left"/>
      <w:lvlText w:val="(%2)"/>
      <w:numFmt w:val="lowerLetter"/>
      <w:start w:val="3"/>
    </w:lvl>
  </w:abstractNum>
  <w:abstractNum w:abstractNumId="8">
    <w:nsid w:val="189A769B"/>
    <w:multiLevelType w:val="hybridMultilevel"/>
    <w:lvl w:ilvl="0">
      <w:lvlJc w:val="left"/>
      <w:lvlText w:val="(%1)"/>
      <w:numFmt w:val="lowerLetter"/>
      <w:start w:val="9"/>
    </w:lvl>
    <w:lvl w:ilvl="1">
      <w:lvlJc w:val="left"/>
      <w:lvlText w:val="%2"/>
      <w:numFmt w:val="lowerLetter"/>
      <w:start w:val="1"/>
    </w:lvl>
  </w:abstractNum>
  <w:abstractNum w:abstractNumId="9">
    <w:nsid w:val="54E49EB4"/>
    <w:multiLevelType w:val="hybridMultilevel"/>
    <w:lvl w:ilvl="0">
      <w:lvlJc w:val="left"/>
      <w:lvlText w:val="(%1)"/>
      <w:numFmt w:val="lowerLetter"/>
      <w:start w:val="5"/>
    </w:lvl>
  </w:abstractNum>
  <w:abstractNum w:abstractNumId="10">
    <w:nsid w:val="71F32454"/>
    <w:multiLevelType w:val="hybridMultilevel"/>
    <w:lvl w:ilvl="0">
      <w:lvlJc w:val="left"/>
      <w:lvlText w:val="(%1)"/>
      <w:numFmt w:val="lowerLetter"/>
      <w:start w:val="3"/>
    </w:lvl>
  </w:abstractNum>
  <w:abstractNum w:abstractNumId="11">
    <w:nsid w:val="2CA88611"/>
    <w:multiLevelType w:val="hybridMultilevel"/>
    <w:lvl w:ilvl="0">
      <w:lvlJc w:val="left"/>
      <w:lvlText w:val="(%1)"/>
      <w:numFmt w:val="lowerLetter"/>
      <w:start w:val="1"/>
    </w:lvl>
  </w:abstractNum>
  <w:abstractNum w:abstractNumId="12">
    <w:nsid w:val="836C40E"/>
    <w:multiLevelType w:val="hybridMultilevel"/>
    <w:lvl w:ilvl="0">
      <w:lvlJc w:val="left"/>
      <w:lvlText w:val="(%1)"/>
      <w:numFmt w:val="lowerRoman"/>
      <w:start w:val="1"/>
    </w:lvl>
  </w:abstractNum>
  <w:abstractNum w:abstractNumId="13">
    <w:nsid w:val="2901D82"/>
    <w:multiLevelType w:val="hybridMultilevel"/>
    <w:lvl w:ilvl="0">
      <w:lvlJc w:val="left"/>
      <w:lvlText w:val="(%1)"/>
      <w:numFmt w:val="lowerLetter"/>
      <w:start w:val="2"/>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lvl w:ilvl="1">
      <w:lvlJc w:val="left"/>
      <w:lvlText w:val="(%2)"/>
      <w:numFmt w:val="lowerLetter"/>
      <w:start w:val="9"/>
    </w:lvl>
  </w:abstractNum>
  <w:abstractNum w:abstractNumId="16">
    <w:nsid w:val="1E7FF521"/>
    <w:multiLevelType w:val="hybridMultilevel"/>
    <w:lvl w:ilvl="0">
      <w:lvlJc w:val="left"/>
      <w:lvlText w:val="%1"/>
      <w:numFmt w:val="lowerLetter"/>
      <w:start w:val="1"/>
    </w:lvl>
    <w:lvl w:ilvl="1">
      <w:lvlJc w:val="left"/>
      <w:lvlText w:val="(%2)"/>
      <w:numFmt w:val="lowerRoman"/>
      <w:start w:val="2"/>
    </w:lvl>
  </w:abstractNum>
  <w:abstractNum w:abstractNumId="17">
    <w:nsid w:val="7C3DBD3D"/>
    <w:multiLevelType w:val="hybridMultilevel"/>
    <w:lvl w:ilvl="0">
      <w:lvlJc w:val="left"/>
      <w:lvlText w:val="(%1)"/>
      <w:numFmt w:val="lowerLetter"/>
      <w:start w:val="3"/>
    </w:lvl>
    <w:lvl w:ilvl="1">
      <w:lvlJc w:val="left"/>
      <w:lvlText w:val="%2"/>
      <w:numFmt w:val="lowerRoman"/>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1"/>
      <w:numFmt w:val="lowerLetter"/>
      <w:start w:val="1"/>
    </w:lvl>
    <w:lvl w:ilvl="1">
      <w:lvlJc w:val="left"/>
      <w:lvlText w:val="(%2)"/>
      <w:numFmt w:val="lowerLetter"/>
      <w:start w:val="1"/>
    </w:lvl>
  </w:abstractNum>
  <w:abstractNum w:abstractNumId="20">
    <w:nsid w:val="22221A70"/>
    <w:multiLevelType w:val="hybridMultilevel"/>
    <w:lvl w:ilvl="0">
      <w:lvlJc w:val="left"/>
      <w:lvlText w:val="(%1)"/>
      <w:numFmt w:val="lowerLetter"/>
      <w:start w:val="25"/>
    </w:lvl>
    <w:lvl w:ilvl="1">
      <w:lvlJc w:val="left"/>
      <w:lvlText w:val="(%2)"/>
      <w:numFmt w:val="lowerLetter"/>
      <w:start w:val="2"/>
    </w:lvl>
  </w:abstractNum>
  <w:abstractNum w:abstractNumId="21">
    <w:nsid w:val="4516DDE9"/>
    <w:multiLevelType w:val="hybridMultilevel"/>
    <w:lvl w:ilvl="0">
      <w:lvlJc w:val="left"/>
      <w:lvlText w:val="(%1)"/>
      <w:numFmt w:val="lowerLetter"/>
      <w:start w:val="9"/>
    </w:lvl>
    <w:lvl w:ilvl="1">
      <w:lvlJc w:val="left"/>
      <w:lvlText w:val="%2"/>
      <w:numFmt w:val="lowerLetter"/>
      <w:start w:val="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1)"/>
      <w:numFmt w:val="lowerLetter"/>
      <w:start w:val="2"/>
    </w:lvl>
  </w:abstractNum>
  <w:abstractNum w:abstractNumId="24">
    <w:nsid w:val="419AC241"/>
    <w:multiLevelType w:val="hybridMultilevel"/>
    <w:lvl w:ilvl="0">
      <w:lvlJc w:val="left"/>
      <w:lvlText w:val="(%1)"/>
      <w:numFmt w:val="lowerLetter"/>
      <w:start w:val="2"/>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lvl w:ilvl="1">
      <w:lvlJc w:val="left"/>
      <w:lvlText w:val="(%2)"/>
      <w:numFmt w:val="lowerLetter"/>
      <w:start w:val="3"/>
    </w:lvl>
  </w:abstractNum>
  <w:abstractNum w:abstractNumId="28">
    <w:nsid w:val="3804823E"/>
    <w:multiLevelType w:val="hybridMultilevel"/>
    <w:lvl w:ilvl="0">
      <w:lvlJc w:val="left"/>
      <w:lvlText w:val="(%1)"/>
      <w:numFmt w:val="lowerLetter"/>
      <w:start w:val="9"/>
    </w:lvl>
    <w:lvl w:ilvl="1">
      <w:lvlJc w:val="left"/>
      <w:lvlText w:val="%2"/>
      <w:numFmt w:val="lowerLetter"/>
      <w:start w:val="1"/>
    </w:lvl>
  </w:abstractNum>
  <w:abstractNum w:abstractNumId="29">
    <w:nsid w:val="77465F01"/>
    <w:multiLevelType w:val="hybridMultilevel"/>
    <w:lvl w:ilvl="0">
      <w:lvlJc w:val="left"/>
      <w:lvlText w:val="(%1)"/>
      <w:numFmt w:val="lowerLetter"/>
      <w:start w:val="5"/>
    </w:lvl>
  </w:abstractNum>
  <w:abstractNum w:abstractNumId="30">
    <w:nsid w:val="7724C67E"/>
    <w:multiLevelType w:val="hybridMultilevel"/>
    <w:lvl w:ilvl="0">
      <w:lvlJc w:val="left"/>
      <w:lvlText w:val="(%1)"/>
      <w:numFmt w:val="lowerLetter"/>
      <w:start w:val="3"/>
    </w:lvl>
  </w:abstractNum>
  <w:abstractNum w:abstractNumId="31">
    <w:nsid w:val="5C482A97"/>
    <w:multiLevelType w:val="hybridMultilevel"/>
    <w:lvl w:ilvl="0">
      <w:lvlJc w:val="left"/>
      <w:lvlText w:val="(%1)"/>
      <w:numFmt w:val="lowerLetter"/>
      <w:start w:val="1"/>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lvl w:ilvl="1">
      <w:lvlJc w:val="left"/>
      <w:lvlText w:val="(%2)"/>
      <w:numFmt w:val="lowerLetter"/>
      <w:start w:val="9"/>
    </w:lvl>
  </w:abstractNum>
  <w:abstractNum w:abstractNumId="36">
    <w:nsid w:val="580BD78F"/>
    <w:multiLevelType w:val="hybridMultilevel"/>
    <w:lvl w:ilvl="0">
      <w:lvlJc w:val="left"/>
      <w:lvlText w:val="%1"/>
      <w:numFmt w:val="lowerLetter"/>
      <w:start w:val="1"/>
    </w:lvl>
    <w:lvl w:ilvl="1">
      <w:lvlJc w:val="left"/>
      <w:lvlText w:val="(%2)"/>
      <w:numFmt w:val="lowerRoman"/>
      <w:start w:val="2"/>
    </w:lvl>
  </w:abstractNum>
  <w:abstractNum w:abstractNumId="37">
    <w:nsid w:val="153EA438"/>
    <w:multiLevelType w:val="hybridMultilevel"/>
    <w:lvl w:ilvl="0">
      <w:lvlJc w:val="left"/>
      <w:lvlText w:val="(%1)"/>
      <w:numFmt w:val="lowerLetter"/>
      <w:start w:val="3"/>
    </w:lvl>
    <w:lvl w:ilvl="1">
      <w:lvlJc w:val="left"/>
      <w:lvlText w:val="%2"/>
      <w:numFmt w:val="lowerRoman"/>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1"/>
      <w:numFmt w:val="lowerLetter"/>
      <w:start w:val="1"/>
    </w:lvl>
    <w:lvl w:ilvl="1">
      <w:lvlJc w:val="left"/>
      <w:lvlText w:val="(%2)"/>
      <w:numFmt w:val="lowerLetter"/>
      <w:start w:val="1"/>
    </w:lvl>
  </w:abstractNum>
  <w:abstractNum w:abstractNumId="40">
    <w:nsid w:val="6A2342EC"/>
    <w:multiLevelType w:val="hybridMultilevel"/>
    <w:lvl w:ilvl="0">
      <w:lvlJc w:val="left"/>
      <w:lvlText w:val="(%1)"/>
      <w:numFmt w:val="lowerLetter"/>
      <w:start w:val="25"/>
    </w:lvl>
    <w:lvl w:ilvl="1">
      <w:lvlJc w:val="left"/>
      <w:lvlText w:val="(%2)"/>
      <w:numFmt w:val="lowerLetter"/>
      <w:start w:val="2"/>
    </w:lvl>
  </w:abstractNum>
  <w:abstractNum w:abstractNumId="41">
    <w:nsid w:val="2A487CB0"/>
    <w:multiLevelType w:val="hybridMultilevel"/>
    <w:lvl w:ilvl="0">
      <w:lvlJc w:val="left"/>
      <w:lvlText w:val="(%1)"/>
      <w:numFmt w:val="lowerLetter"/>
      <w:start w:val="9"/>
    </w:lvl>
    <w:lvl w:ilvl="1">
      <w:lvlJc w:val="left"/>
      <w:lvlText w:val="%2"/>
      <w:numFmt w:val="lowerLetter"/>
      <w:start w:val="1"/>
    </w:lvl>
  </w:abstractNum>
  <w:abstractNum w:abstractNumId="42">
    <w:nsid w:val="1D4ED43B"/>
    <w:multiLevelType w:val="hybridMultilevel"/>
    <w:lvl w:ilvl="0">
      <w:lvlJc w:val="left"/>
      <w:lvlText w:val="1"/>
      <w:numFmt w:val="bullet"/>
      <w:start w:val="1"/>
    </w:lvl>
  </w:abstractNum>
  <w:abstractNum w:abstractNumId="43">
    <w:nsid w:val="725A06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2021-03-31T06:05:46Z</dcterms:created>
  <dcterms:modified xsi:type="dcterms:W3CDTF">2021-03-31T06:05:46Z</dcterms:modified>
</cp:coreProperties>
</file>