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6996430" cy="510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109210"/>
                    </a:xfrm>
                    <a:prstGeom prst="rect">
                      <a:avLst/>
                    </a:prstGeom>
                    <a:noFill/>
                  </pic:spPr>
                </pic:pic>
              </a:graphicData>
            </a:graphic>
          </wp:anchor>
        </w:drawing>
      </w:r>
    </w:p>
    <w:p>
      <w:pPr>
        <w:spacing w:after="0" w:line="1152" w:lineRule="exact"/>
        <w:rPr>
          <w:sz w:val="24"/>
          <w:szCs w:val="24"/>
          <w:color w:val="auto"/>
        </w:rPr>
      </w:pPr>
    </w:p>
    <w:p>
      <w:pPr>
        <w:sectPr>
          <w:pgSz w:w="11900" w:h="16838" w:orient="portrait"/>
          <w:cols w:equalWidth="0" w:num="2">
            <w:col w:w="2280" w:space="360"/>
            <w:col w:w="8440"/>
          </w:cols>
          <w:pgMar w:left="460" w:top="215" w:right="359" w:bottom="466"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Naheta Akshay Sudhir</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Bakkt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BAKKT HOLDINGS, INC.</w:t>
            </w:r>
          </w:p>
        </w:tc>
        <w:tc>
          <w:tcPr>
            <w:tcW w:w="1220" w:type="dxa"/>
            <w:vAlign w:val="bottom"/>
          </w:tcPr>
          <w:p>
            <w:pPr>
              <w:spacing w:after="0"/>
              <w:rPr>
                <w:sz w:val="18"/>
                <w:szCs w:val="18"/>
                <w:color w:val="auto"/>
              </w:rPr>
            </w:pP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08/21/2025</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0"/>
          <w:szCs w:val="20"/>
          <w:color w:val="auto"/>
        </w:rPr>
      </w:pPr>
    </w:p>
    <w:p>
      <w:pPr>
        <w:ind w:left="959"/>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410" w:lineRule="exact"/>
        <w:rPr>
          <w:sz w:val="20"/>
          <w:szCs w:val="20"/>
          <w:color w:val="auto"/>
        </w:rPr>
      </w:pPr>
    </w:p>
    <w:p>
      <w:pPr>
        <w:sectPr>
          <w:pgSz w:w="11900" w:h="16838" w:orient="portrait"/>
          <w:cols w:equalWidth="0" w:num="2">
            <w:col w:w="7680" w:space="61"/>
            <w:col w:w="3339"/>
          </w:cols>
          <w:pgMar w:left="460" w:top="215" w:right="359" w:bottom="466" w:gutter="0" w:footer="0" w:header="0"/>
          <w:type w:val="continuous"/>
        </w:sect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0"/>
          <w:szCs w:val="20"/>
          <w:color w:val="auto"/>
        </w:rPr>
      </w:pPr>
    </w:p>
    <w:p>
      <w:pPr>
        <w:jc w:val="both"/>
        <w:ind w:left="1340"/>
        <w:spacing w:after="0"/>
        <w:tabs>
          <w:tab w:leader="none" w:pos="2540" w:val="left"/>
        </w:tabs>
        <w:rPr>
          <w:sz w:val="20"/>
          <w:szCs w:val="20"/>
          <w:color w:val="auto"/>
        </w:rPr>
      </w:pPr>
      <w:r>
        <w:rPr>
          <w:rFonts w:ascii="Times New Roman" w:cs="Times New Roman" w:eastAsia="Times New Roman" w:hAnsi="Times New Roman"/>
          <w:sz w:val="16"/>
          <w:szCs w:val="16"/>
          <w:color w:val="0000FF"/>
        </w:rPr>
        <w:t>GA</w:t>
      </w:r>
      <w:r>
        <w:rPr>
          <w:sz w:val="20"/>
          <w:szCs w:val="20"/>
          <w:color w:val="auto"/>
        </w:rPr>
        <w:tab/>
      </w:r>
      <w:r>
        <w:rPr>
          <w:rFonts w:ascii="Times New Roman" w:cs="Times New Roman" w:eastAsia="Times New Roman" w:hAnsi="Times New Roman"/>
          <w:sz w:val="16"/>
          <w:szCs w:val="16"/>
          <w:color w:val="0000FF"/>
        </w:rPr>
        <w:t>30009</w:t>
      </w:r>
    </w:p>
    <w:p>
      <w:pPr>
        <w:spacing w:after="0" w:line="32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56" w:lineRule="exact"/>
        <w:rPr>
          <w:sz w:val="20"/>
          <w:szCs w:val="20"/>
          <w:color w:val="auto"/>
        </w:rPr>
      </w:pPr>
    </w:p>
    <w:p>
      <w:pPr>
        <w:sectPr>
          <w:pgSz w:w="11900" w:h="16838" w:orient="portrait"/>
          <w:cols w:equalWidth="0" w:num="2">
            <w:col w:w="3180" w:space="720"/>
            <w:col w:w="7180"/>
          </w:cols>
          <w:pgMar w:left="460" w:top="215" w:right="359" w:bottom="46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8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jc w:val="right"/>
              <w:ind w:right="129"/>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08/21/2025</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3"/>
              </w:rPr>
              <w:t>100,000</w:t>
            </w:r>
            <w:r>
              <w:rPr>
                <w:rFonts w:ascii="Times New Roman" w:cs="Times New Roman" w:eastAsia="Times New Roman" w:hAnsi="Times New Roman"/>
                <w:sz w:val="21"/>
                <w:szCs w:val="21"/>
                <w:color w:val="008000"/>
                <w:w w:val="93"/>
                <w:vertAlign w:val="superscript"/>
              </w:rPr>
              <w:t>(1)</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8.1815</w:t>
            </w:r>
            <w:r>
              <w:rPr>
                <w:rFonts w:ascii="Times New Roman" w:cs="Times New Roman" w:eastAsia="Times New Roman" w:hAnsi="Times New Roman"/>
                <w:sz w:val="21"/>
                <w:szCs w:val="21"/>
                <w:color w:val="008000"/>
                <w:w w:val="92"/>
                <w:vertAlign w:val="superscript"/>
              </w:rPr>
              <w:t>(1)</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111,426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08/21/2025</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2"/>
              </w:rPr>
              <w:t>50,000</w:t>
            </w:r>
            <w:r>
              <w:rPr>
                <w:rFonts w:ascii="Times New Roman" w:cs="Times New Roman" w:eastAsia="Times New Roman" w:hAnsi="Times New Roman"/>
                <w:sz w:val="21"/>
                <w:szCs w:val="21"/>
                <w:color w:val="008000"/>
                <w:w w:val="92"/>
                <w:vertAlign w:val="superscript"/>
              </w:rPr>
              <w:t>(3)</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7.9973</w:t>
            </w:r>
            <w:r>
              <w:rPr>
                <w:rFonts w:ascii="Times New Roman" w:cs="Times New Roman" w:eastAsia="Times New Roman" w:hAnsi="Times New Roman"/>
                <w:sz w:val="21"/>
                <w:szCs w:val="21"/>
                <w:color w:val="008000"/>
                <w:w w:val="92"/>
                <w:vertAlign w:val="superscript"/>
              </w:rPr>
              <w:t>(3)</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161,426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08/22/2025</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gridSpan w:val="2"/>
          </w:tcPr>
          <w:p>
            <w:pPr>
              <w:jc w:val="center"/>
              <w:ind w:left="54"/>
              <w:spacing w:after="0"/>
              <w:rPr>
                <w:sz w:val="20"/>
                <w:szCs w:val="20"/>
                <w:color w:val="auto"/>
              </w:rPr>
            </w:pPr>
            <w:r>
              <w:rPr>
                <w:rFonts w:ascii="Times New Roman" w:cs="Times New Roman" w:eastAsia="Times New Roman" w:hAnsi="Times New Roman"/>
                <w:sz w:val="16"/>
                <w:szCs w:val="16"/>
                <w:color w:val="0000FF"/>
                <w:w w:val="92"/>
              </w:rPr>
              <w:t>30,000</w:t>
            </w:r>
            <w:r>
              <w:rPr>
                <w:rFonts w:ascii="Times New Roman" w:cs="Times New Roman" w:eastAsia="Times New Roman" w:hAnsi="Times New Roman"/>
                <w:sz w:val="21"/>
                <w:szCs w:val="21"/>
                <w:color w:val="008000"/>
                <w:w w:val="92"/>
                <w:vertAlign w:val="superscript"/>
              </w:rPr>
              <w:t>(4)</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8.5463</w:t>
            </w:r>
            <w:r>
              <w:rPr>
                <w:rFonts w:ascii="Times New Roman" w:cs="Times New Roman" w:eastAsia="Times New Roman" w:hAnsi="Times New Roman"/>
                <w:sz w:val="21"/>
                <w:szCs w:val="21"/>
                <w:color w:val="008000"/>
                <w:w w:val="92"/>
                <w:vertAlign w:val="superscript"/>
              </w:rPr>
              <w:t>(4)</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191,426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(6)(7)</w:t>
            </w:r>
          </w:p>
        </w:tc>
        <w:tc>
          <w:tcPr>
            <w:tcW w:w="66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1,607,717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03/21/2028</w:t>
            </w:r>
          </w:p>
        </w:tc>
        <w:tc>
          <w:tcPr>
            <w:tcW w:w="6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1,607,717</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color w:val="0000FF"/>
                <w:w w:val="94"/>
              </w:rPr>
              <w:t>Stock</w:t>
            </w: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-1891030</wp:posOffset>
            </wp:positionV>
            <wp:extent cx="28575" cy="1896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674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represents an aggregate number of shares purchased in multiple open market transactions over a range of purchase prices ranging from $8.04 to $8.41 per share. The price reported represents the weighted average price. The reporting person undertakes to provide to the staff of the SEC the number of shares purchased by the reporting person at each separate price within the ranges set forth in this footnote and in the other footnotes in this Form 4 indicating a weighted average price.</w:t>
      </w:r>
    </w:p>
    <w:p>
      <w:pPr>
        <w:spacing w:after="0" w:line="25"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11,426 restricted stock units ("RSUs"). Each RSU represents a contingent right to receive one share of the issuer's Class A Common Stock. The RSUs will vest on March 21, 2026, subject to the reporting person's continued employment with the issuer as of the vesting date.</w:t>
      </w:r>
    </w:p>
    <w:p>
      <w:pPr>
        <w:spacing w:after="0" w:line="21"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represents an aggregate number of shares purchased in multiple open market transactions over a range of purchase prices ranging from $7.97 to $8.00 per share. The price reported represents the weighted average price. The reporting person undertakes to provide to the staff of the SEC the number of shares purchased by the reporting person at each separate price within the ranges set forth in this footnote and in the other footnotes in this Form 4 indicating a weighted average price.</w:t>
      </w:r>
    </w:p>
    <w:p>
      <w:pPr>
        <w:spacing w:after="0" w:line="25"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represents an aggregate number of shares purchased in multiple open market transactions over a range of purchase prices ranging from $7.985 to $8.70 per share. The price reported represents the weighted average price. The reporting person undertakes to provide to the staff of the SEC the number of shares purchased by the reporting person at each separate price within the ranges set forth in this footnote and in the other footnotes in this Form 4 indicating a weighted average price.</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an inducement grant of performance stock units ("PSUs"). Each PSU represents a contingent right to receive one share of the issuer's Class A Common Stock.</w:t>
      </w:r>
    </w:p>
    <w:p>
      <w:pPr>
        <w:spacing w:after="0" w:line="40" w:lineRule="exact"/>
        <w:rPr>
          <w:rFonts w:ascii="Times New Roman" w:cs="Times New Roman" w:eastAsia="Times New Roman" w:hAnsi="Times New Roman"/>
          <w:sz w:val="13"/>
          <w:szCs w:val="13"/>
          <w:color w:val="008000"/>
        </w:rPr>
      </w:pPr>
    </w:p>
    <w:p>
      <w:pPr>
        <w:ind w:left="40" w:right="1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shall be eligible to vest over a three-year performance period following March 21, 2025 (the "Vesting Commencement Date") based on attainment of certain stock price metrics as provided below (the "Performance Period"). A total of 535,909 of the total PSUs will vest, subject to the reporting person's continued employment with the issuer through such vesting date, if the issuer's stock price (measured based on a rolling 90-day volume-weighted average price "VWAP") appreciates at any point during the Performance Period by100% above $9.33 per share (the "Reference Price"). [Continued to footnote 7]</w:t>
      </w:r>
    </w:p>
    <w:p>
      <w:pPr>
        <w:spacing w:after="0" w:line="25" w:lineRule="exact"/>
        <w:rPr>
          <w:rFonts w:ascii="Times New Roman" w:cs="Times New Roman" w:eastAsia="Times New Roman" w:hAnsi="Times New Roman"/>
          <w:sz w:val="13"/>
          <w:szCs w:val="13"/>
          <w:color w:val="008000"/>
        </w:rPr>
      </w:pPr>
    </w:p>
    <w:p>
      <w:pPr>
        <w:ind w:left="40" w:right="26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For each additional 25% of stock price appreciation (measured based on a rolling 90-day VWAP) above the Reference Price during the Performance Period, limited to a maximum of eight (8) additional vesting tranches, an additional 133,976PSUs will vest, subject to the reporting person's continued employment with the issuer through such vesting date. No PSUs will vest in the event that the issuer's stock price (measured based on a rolling 90-day VWAP) does not appreciate above the Reference Price by at least 100% during the Performance Period. Any PSUs that satisfy the above vesting conditions prior to the first anniversary of the Vesting Commencement Date will not vest unless and until the first anniversary of the Vesting Commencement Date.</w:t>
      </w:r>
    </w:p>
    <w:p>
      <w:pPr>
        <w:spacing w:after="0" w:line="25"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Marc D'Annunzio Attorney-</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08/25/2025</w:t>
            </w:r>
          </w:p>
        </w:tc>
        <w:tc>
          <w:tcPr>
            <w:tcW w:w="0" w:type="dxa"/>
            <w:vAlign w:val="bottom"/>
          </w:tcPr>
          <w:p>
            <w:pPr>
              <w:spacing w:after="0"/>
              <w:rPr>
                <w:sz w:val="1"/>
                <w:szCs w:val="1"/>
                <w:color w:val="auto"/>
              </w:rPr>
            </w:pPr>
          </w:p>
        </w:tc>
      </w:tr>
      <w:tr>
        <w:trPr>
          <w:trHeight w:val="81"/>
        </w:trPr>
        <w:tc>
          <w:tcPr>
            <w:tcW w:w="17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in-Fact for Akshay Naheta</w:t>
            </w:r>
          </w:p>
        </w:tc>
        <w:tc>
          <w:tcPr>
            <w:tcW w:w="38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4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4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2025-08-25T18:39:59Z</dcterms:created>
  <dcterms:modified xsi:type="dcterms:W3CDTF">2025-08-25T18:39:59Z</dcterms:modified>
</cp:coreProperties>
</file>