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As filed with the Securities and Exchange Commission on November 10, 2025</w:t>
      </w:r>
    </w:p>
    <w:p>
      <w:pPr>
        <w:spacing w:after="0" w:line="32" w:lineRule="exact"/>
        <w:rPr>
          <w:sz w:val="24"/>
          <w:szCs w:val="24"/>
          <w:color w:val="auto"/>
        </w:rPr>
      </w:pPr>
    </w:p>
    <w:p>
      <w:pPr>
        <w:ind w:left="8500"/>
        <w:spacing w:after="0"/>
        <w:rPr>
          <w:sz w:val="20"/>
          <w:szCs w:val="20"/>
          <w:color w:val="auto"/>
        </w:rPr>
      </w:pPr>
      <w:r>
        <w:rPr>
          <w:rFonts w:ascii="Times New Roman" w:cs="Times New Roman" w:eastAsia="Times New Roman" w:hAnsi="Times New Roman"/>
          <w:sz w:val="17"/>
          <w:szCs w:val="17"/>
          <w:b w:val="1"/>
          <w:bCs w:val="1"/>
          <w:color w:val="auto"/>
        </w:rPr>
        <w:t xml:space="preserve">Registration No. 333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64770</wp:posOffset>
            </wp:positionV>
            <wp:extent cx="671004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71004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106045</wp:posOffset>
            </wp:positionV>
            <wp:extent cx="671004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710045" cy="8255"/>
                    </a:xfrm>
                    <a:prstGeom prst="rect">
                      <a:avLst/>
                    </a:prstGeom>
                    <a:noFill/>
                  </pic:spPr>
                </pic:pic>
              </a:graphicData>
            </a:graphic>
          </wp:anchor>
        </w:drawing>
        <w:drawing>
          <wp:anchor simplePos="0" relativeHeight="251657728" behindDoc="1" locked="0" layoutInCell="0" allowOverlap="1">
            <wp:simplePos x="0" y="0"/>
            <wp:positionH relativeFrom="column">
              <wp:posOffset>6381750</wp:posOffset>
            </wp:positionH>
            <wp:positionV relativeFrom="paragraph">
              <wp:posOffset>-16510</wp:posOffset>
            </wp:positionV>
            <wp:extent cx="32893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8930" cy="8255"/>
                    </a:xfrm>
                    <a:prstGeom prst="rect">
                      <a:avLst/>
                    </a:prstGeom>
                    <a:noFill/>
                  </pic:spPr>
                </pic:pic>
              </a:graphicData>
            </a:graphic>
          </wp:anchor>
        </w:drawing>
      </w:r>
    </w:p>
    <w:p>
      <w:pPr>
        <w:spacing w:after="0" w:line="19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1"/>
          <w:szCs w:val="31"/>
          <w:b w:val="1"/>
          <w:bCs w:val="1"/>
          <w:color w:val="auto"/>
        </w:rPr>
        <w:t>UNITED STATES</w:t>
      </w:r>
    </w:p>
    <w:p>
      <w:pPr>
        <w:spacing w:after="0" w:line="2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1"/>
          <w:szCs w:val="31"/>
          <w:b w:val="1"/>
          <w:bCs w:val="1"/>
          <w:color w:val="auto"/>
        </w:rPr>
        <w:t>SECURITIES AND EXCHANGE COMMISSION</w:t>
      </w:r>
    </w:p>
    <w:p>
      <w:pPr>
        <w:jc w:val="center"/>
        <w:ind w:right="-39"/>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2647950</wp:posOffset>
            </wp:positionH>
            <wp:positionV relativeFrom="paragraph">
              <wp:posOffset>210820</wp:posOffset>
            </wp:positionV>
            <wp:extent cx="141414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200" w:lineRule="exact"/>
        <w:rPr>
          <w:sz w:val="24"/>
          <w:szCs w:val="24"/>
          <w:color w:val="auto"/>
        </w:rPr>
      </w:pPr>
    </w:p>
    <w:p>
      <w:pPr>
        <w:spacing w:after="0" w:line="28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1"/>
          <w:szCs w:val="31"/>
          <w:b w:val="1"/>
          <w:bCs w:val="1"/>
          <w:color w:val="auto"/>
        </w:rPr>
        <w:t>FORM S-8</w:t>
      </w:r>
    </w:p>
    <w:p>
      <w:pPr>
        <w:spacing w:after="0" w:line="2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1"/>
          <w:szCs w:val="31"/>
          <w:b w:val="1"/>
          <w:bCs w:val="1"/>
          <w:color w:val="auto"/>
        </w:rPr>
        <w:t>REGISTRATION STATEMENT</w:t>
      </w:r>
    </w:p>
    <w:p>
      <w:pPr>
        <w:jc w:val="center"/>
        <w:ind w:right="-59"/>
        <w:spacing w:after="0" w:line="231" w:lineRule="auto"/>
        <w:rPr>
          <w:sz w:val="20"/>
          <w:szCs w:val="20"/>
          <w:color w:val="auto"/>
        </w:rPr>
      </w:pPr>
      <w:r>
        <w:rPr>
          <w:rFonts w:ascii="Times New Roman" w:cs="Times New Roman" w:eastAsia="Times New Roman" w:hAnsi="Times New Roman"/>
          <w:sz w:val="21"/>
          <w:szCs w:val="21"/>
          <w:b w:val="1"/>
          <w:bCs w:val="1"/>
          <w:i w:val="1"/>
          <w:iCs w:val="1"/>
          <w:color w:val="auto"/>
        </w:rPr>
        <w:t>UNDER</w:t>
      </w:r>
    </w:p>
    <w:p>
      <w:pPr>
        <w:spacing w:after="0" w:line="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1"/>
          <w:szCs w:val="21"/>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2647950</wp:posOffset>
            </wp:positionH>
            <wp:positionV relativeFrom="paragraph">
              <wp:posOffset>210820</wp:posOffset>
            </wp:positionV>
            <wp:extent cx="141414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200" w:lineRule="exact"/>
        <w:rPr>
          <w:sz w:val="24"/>
          <w:szCs w:val="24"/>
          <w:color w:val="auto"/>
        </w:rPr>
      </w:pPr>
    </w:p>
    <w:p>
      <w:pPr>
        <w:spacing w:after="0" w:line="28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41"/>
          <w:szCs w:val="41"/>
          <w:b w:val="1"/>
          <w:bCs w:val="1"/>
          <w:color w:val="auto"/>
        </w:rPr>
        <w:t>BAKKT HOLDINGS, INC.</w:t>
      </w:r>
    </w:p>
    <w:p>
      <w:pPr>
        <w:spacing w:after="0" w:line="5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2647950</wp:posOffset>
            </wp:positionH>
            <wp:positionV relativeFrom="paragraph">
              <wp:posOffset>228600</wp:posOffset>
            </wp:positionV>
            <wp:extent cx="141414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ectPr>
          <w:pgSz w:w="11900" w:h="16838" w:orient="portrait"/>
          <w:cols w:equalWidth="0" w:num="1">
            <w:col w:w="10520"/>
          </w:cols>
          <w:pgMar w:left="660" w:top="223" w:right="71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11" w:lineRule="exact"/>
        <w:rPr>
          <w:sz w:val="24"/>
          <w:szCs w:val="24"/>
          <w:color w:val="auto"/>
        </w:rPr>
      </w:pPr>
    </w:p>
    <w:p>
      <w:pPr>
        <w:ind w:left="232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9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41-2324812</w:t>
      </w:r>
    </w:p>
    <w:p>
      <w:pPr>
        <w:spacing w:after="0" w:line="7" w:lineRule="exact"/>
        <w:rPr>
          <w:sz w:val="24"/>
          <w:szCs w:val="24"/>
          <w:color w:val="auto"/>
        </w:rPr>
      </w:pPr>
    </w:p>
    <w:p>
      <w:pPr>
        <w:sectPr>
          <w:pgSz w:w="11900" w:h="16838" w:orient="portrait"/>
          <w:cols w:equalWidth="0" w:num="2">
            <w:col w:w="6860" w:space="720"/>
            <w:col w:w="2940"/>
          </w:cols>
          <w:pgMar w:left="660" w:top="223" w:right="719" w:bottom="1440" w:gutter="0" w:footer="0" w:header="0"/>
          <w:type w:val="continuous"/>
        </w:sectPr>
      </w:pPr>
    </w:p>
    <w:p>
      <w:pPr>
        <w:ind w:left="1780"/>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p>
      <w:pPr>
        <w:ind w:left="1740"/>
        <w:spacing w:after="0"/>
        <w:rPr>
          <w:sz w:val="20"/>
          <w:szCs w:val="20"/>
          <w:color w:val="auto"/>
        </w:rPr>
      </w:pPr>
      <w:r>
        <w:rPr>
          <w:rFonts w:ascii="Times New Roman" w:cs="Times New Roman" w:eastAsia="Times New Roman" w:hAnsi="Times New Roman"/>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jc w:val="center"/>
        <w:ind w:right="184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840"/>
        <w:spacing w:after="0"/>
        <w:rPr>
          <w:sz w:val="20"/>
          <w:szCs w:val="20"/>
          <w:color w:val="auto"/>
        </w:rPr>
      </w:pPr>
      <w:r>
        <w:rPr>
          <w:rFonts w:ascii="Times New Roman" w:cs="Times New Roman" w:eastAsia="Times New Roman" w:hAnsi="Times New Roman"/>
          <w:sz w:val="13"/>
          <w:szCs w:val="13"/>
          <w:b w:val="1"/>
          <w:bCs w:val="1"/>
          <w:color w:val="auto"/>
        </w:rPr>
        <w:t>Identification Number)</w:t>
      </w:r>
    </w:p>
    <w:p>
      <w:pPr>
        <w:spacing w:after="0" w:line="199" w:lineRule="exact"/>
        <w:rPr>
          <w:sz w:val="24"/>
          <w:szCs w:val="24"/>
          <w:color w:val="auto"/>
        </w:rPr>
      </w:pPr>
    </w:p>
    <w:p>
      <w:pPr>
        <w:sectPr>
          <w:pgSz w:w="11900" w:h="16838" w:orient="portrait"/>
          <w:cols w:equalWidth="0" w:num="2">
            <w:col w:w="6600" w:space="720"/>
            <w:col w:w="3200"/>
          </w:cols>
          <w:pgMar w:left="660" w:top="223" w:right="719" w:bottom="1440" w:gutter="0" w:footer="0" w:header="0"/>
          <w:type w:val="continuous"/>
        </w:sect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One Liberty Plaza, One Liberty St., Ste. 305-306,</w:t>
      </w:r>
    </w:p>
    <w:p>
      <w:pPr>
        <w:spacing w:after="0" w:line="3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New York, New York 10006</w:t>
      </w:r>
    </w:p>
    <w:p>
      <w:pPr>
        <w:spacing w:after="0" w:line="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p>
      <w:pPr>
        <w:spacing w:after="0" w:line="17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Bakkt Holdings, Inc. Option Award Agreement</w:t>
      </w:r>
    </w:p>
    <w:p>
      <w:pPr>
        <w:spacing w:after="0" w:line="2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(Full Title of Plan)</w:t>
      </w:r>
    </w:p>
    <w:p>
      <w:pPr>
        <w:sectPr>
          <w:pgSz w:w="11900" w:h="16838" w:orient="portrait"/>
          <w:cols w:equalWidth="0" w:num="1">
            <w:col w:w="10520"/>
          </w:cols>
          <w:pgMar w:left="660" w:top="223" w:right="719" w:bottom="1440" w:gutter="0" w:footer="0" w:header="0"/>
          <w:type w:val="continuous"/>
        </w:sectPr>
      </w:pPr>
    </w:p>
    <w:p>
      <w:pPr>
        <w:spacing w:after="0" w:line="17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Akshay Naheta</w:t>
      </w:r>
    </w:p>
    <w:p>
      <w:pPr>
        <w:spacing w:after="0" w:line="3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Chief Executive Officer</w:t>
      </w:r>
    </w:p>
    <w:p>
      <w:pPr>
        <w:spacing w:after="0" w:line="1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One Liberty Plaza, One Liberty St., Ste. 305-306,</w:t>
      </w:r>
    </w:p>
    <w:p>
      <w:pPr>
        <w:spacing w:after="0" w:line="1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New York, New York 10006</w:t>
      </w:r>
    </w:p>
    <w:p>
      <w:pPr>
        <w:spacing w:after="0" w:line="1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(678) 534-5849</w:t>
      </w:r>
    </w:p>
    <w:p>
      <w:pPr>
        <w:spacing w:after="0" w:line="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(Name, address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2647950</wp:posOffset>
            </wp:positionH>
            <wp:positionV relativeFrom="paragraph">
              <wp:posOffset>214630</wp:posOffset>
            </wp:positionV>
            <wp:extent cx="14141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200" w:lineRule="exact"/>
        <w:rPr>
          <w:sz w:val="24"/>
          <w:szCs w:val="24"/>
          <w:color w:val="auto"/>
        </w:rPr>
      </w:pPr>
    </w:p>
    <w:p>
      <w:pPr>
        <w:spacing w:after="0" w:line="315" w:lineRule="exact"/>
        <w:rPr>
          <w:sz w:val="24"/>
          <w:szCs w:val="24"/>
          <w:color w:val="auto"/>
        </w:rPr>
      </w:pPr>
    </w:p>
    <w:tbl>
      <w:tblPr>
        <w:tblLayout w:type="fixed"/>
        <w:tblInd w:w="1700" w:type="dxa"/>
        <w:tblCellMar>
          <w:top w:w="0" w:type="dxa"/>
          <w:left w:w="0" w:type="dxa"/>
          <w:bottom w:w="0" w:type="dxa"/>
          <w:right w:w="0" w:type="dxa"/>
        </w:tblCellMar>
      </w:tblPr>
      <w:tr>
        <w:trPr>
          <w:trHeight w:val="230"/>
        </w:trPr>
        <w:tc>
          <w:tcPr>
            <w:tcW w:w="2580" w:type="dxa"/>
            <w:vAlign w:val="bottom"/>
          </w:tcPr>
          <w:p>
            <w:pPr>
              <w:spacing w:after="0"/>
              <w:rPr>
                <w:sz w:val="19"/>
                <w:szCs w:val="19"/>
                <w:color w:val="auto"/>
              </w:rPr>
            </w:pPr>
          </w:p>
        </w:tc>
        <w:tc>
          <w:tcPr>
            <w:tcW w:w="5520" w:type="dxa"/>
            <w:vAlign w:val="bottom"/>
          </w:tcPr>
          <w:p>
            <w:pPr>
              <w:ind w:left="640"/>
              <w:spacing w:after="0"/>
              <w:rPr>
                <w:sz w:val="20"/>
                <w:szCs w:val="20"/>
                <w:color w:val="auto"/>
              </w:rPr>
            </w:pPr>
            <w:r>
              <w:rPr>
                <w:rFonts w:ascii="Times New Roman" w:cs="Times New Roman" w:eastAsia="Times New Roman" w:hAnsi="Times New Roman"/>
                <w:sz w:val="17"/>
                <w:szCs w:val="17"/>
                <w:b w:val="1"/>
                <w:bCs w:val="1"/>
                <w:i w:val="1"/>
                <w:iCs w:val="1"/>
                <w:color w:val="auto"/>
              </w:rPr>
              <w:t>Copies to:</w:t>
            </w:r>
          </w:p>
        </w:tc>
      </w:tr>
      <w:tr>
        <w:trPr>
          <w:trHeight w:val="303"/>
        </w:trPr>
        <w:tc>
          <w:tcPr>
            <w:tcW w:w="2580" w:type="dxa"/>
            <w:vAlign w:val="bottom"/>
          </w:tcPr>
          <w:p>
            <w:pPr>
              <w:jc w:val="center"/>
              <w:ind w:right="554"/>
              <w:spacing w:after="0"/>
              <w:rPr>
                <w:sz w:val="20"/>
                <w:szCs w:val="20"/>
                <w:color w:val="auto"/>
              </w:rPr>
            </w:pPr>
            <w:r>
              <w:rPr>
                <w:rFonts w:ascii="Times New Roman" w:cs="Times New Roman" w:eastAsia="Times New Roman" w:hAnsi="Times New Roman"/>
                <w:sz w:val="17"/>
                <w:szCs w:val="17"/>
                <w:b w:val="1"/>
                <w:bCs w:val="1"/>
                <w:color w:val="auto"/>
              </w:rPr>
              <w:t>Jared M. Fishman</w:t>
            </w:r>
          </w:p>
        </w:tc>
        <w:tc>
          <w:tcPr>
            <w:tcW w:w="5520" w:type="dxa"/>
            <w:vAlign w:val="bottom"/>
          </w:tcPr>
          <w:p>
            <w:pPr>
              <w:jc w:val="center"/>
              <w:ind w:left="1854"/>
              <w:spacing w:after="0"/>
              <w:rPr>
                <w:sz w:val="20"/>
                <w:szCs w:val="20"/>
                <w:color w:val="auto"/>
              </w:rPr>
            </w:pPr>
            <w:r>
              <w:rPr>
                <w:rFonts w:ascii="Times New Roman" w:cs="Times New Roman" w:eastAsia="Times New Roman" w:hAnsi="Times New Roman"/>
                <w:sz w:val="17"/>
                <w:szCs w:val="17"/>
                <w:b w:val="1"/>
                <w:bCs w:val="1"/>
                <w:color w:val="auto"/>
              </w:rPr>
              <w:t>Marc D’Annunzio</w:t>
            </w:r>
          </w:p>
        </w:tc>
      </w:tr>
      <w:tr>
        <w:trPr>
          <w:trHeight w:val="207"/>
        </w:trPr>
        <w:tc>
          <w:tcPr>
            <w:tcW w:w="2580" w:type="dxa"/>
            <w:vAlign w:val="bottom"/>
          </w:tcPr>
          <w:p>
            <w:pPr>
              <w:jc w:val="center"/>
              <w:ind w:right="554"/>
              <w:spacing w:after="0"/>
              <w:rPr>
                <w:sz w:val="20"/>
                <w:szCs w:val="20"/>
                <w:color w:val="auto"/>
              </w:rPr>
            </w:pPr>
            <w:r>
              <w:rPr>
                <w:rFonts w:ascii="Times New Roman" w:cs="Times New Roman" w:eastAsia="Times New Roman" w:hAnsi="Times New Roman"/>
                <w:sz w:val="17"/>
                <w:szCs w:val="17"/>
                <w:b w:val="1"/>
                <w:bCs w:val="1"/>
                <w:color w:val="auto"/>
              </w:rPr>
              <w:t>Matthew Goodman</w:t>
            </w:r>
          </w:p>
        </w:tc>
        <w:tc>
          <w:tcPr>
            <w:tcW w:w="5520" w:type="dxa"/>
            <w:vAlign w:val="bottom"/>
          </w:tcPr>
          <w:p>
            <w:pPr>
              <w:jc w:val="center"/>
              <w:ind w:left="1834"/>
              <w:spacing w:after="0"/>
              <w:rPr>
                <w:sz w:val="20"/>
                <w:szCs w:val="20"/>
                <w:color w:val="auto"/>
              </w:rPr>
            </w:pPr>
            <w:r>
              <w:rPr>
                <w:rFonts w:ascii="Times New Roman" w:cs="Times New Roman" w:eastAsia="Times New Roman" w:hAnsi="Times New Roman"/>
                <w:sz w:val="17"/>
                <w:szCs w:val="17"/>
                <w:b w:val="1"/>
                <w:bCs w:val="1"/>
                <w:color w:val="auto"/>
              </w:rPr>
              <w:t>General Counsel</w:t>
            </w:r>
          </w:p>
        </w:tc>
      </w:tr>
      <w:tr>
        <w:trPr>
          <w:trHeight w:val="207"/>
        </w:trPr>
        <w:tc>
          <w:tcPr>
            <w:tcW w:w="2580" w:type="dxa"/>
            <w:vAlign w:val="bottom"/>
          </w:tcPr>
          <w:p>
            <w:pPr>
              <w:jc w:val="center"/>
              <w:ind w:right="554"/>
              <w:spacing w:after="0"/>
              <w:rPr>
                <w:sz w:val="20"/>
                <w:szCs w:val="20"/>
                <w:color w:val="auto"/>
              </w:rPr>
            </w:pPr>
            <w:r>
              <w:rPr>
                <w:rFonts w:ascii="Times New Roman" w:cs="Times New Roman" w:eastAsia="Times New Roman" w:hAnsi="Times New Roman"/>
                <w:sz w:val="17"/>
                <w:szCs w:val="17"/>
                <w:b w:val="1"/>
                <w:bCs w:val="1"/>
                <w:color w:val="auto"/>
              </w:rPr>
              <w:t>Mario Schollmeyer</w:t>
            </w:r>
          </w:p>
        </w:tc>
        <w:tc>
          <w:tcPr>
            <w:tcW w:w="5520" w:type="dxa"/>
            <w:vAlign w:val="bottom"/>
          </w:tcPr>
          <w:p>
            <w:pPr>
              <w:jc w:val="center"/>
              <w:ind w:left="1834"/>
              <w:spacing w:after="0"/>
              <w:rPr>
                <w:sz w:val="20"/>
                <w:szCs w:val="20"/>
                <w:color w:val="auto"/>
              </w:rPr>
            </w:pPr>
            <w:r>
              <w:rPr>
                <w:rFonts w:ascii="Times New Roman" w:cs="Times New Roman" w:eastAsia="Times New Roman" w:hAnsi="Times New Roman"/>
                <w:sz w:val="17"/>
                <w:szCs w:val="17"/>
                <w:b w:val="1"/>
                <w:bCs w:val="1"/>
                <w:color w:val="auto"/>
              </w:rPr>
              <w:t>One Liberty Plaza, One Liberty St., Ste. 305-306,</w:t>
            </w:r>
          </w:p>
        </w:tc>
      </w:tr>
      <w:tr>
        <w:trPr>
          <w:trHeight w:val="207"/>
        </w:trPr>
        <w:tc>
          <w:tcPr>
            <w:tcW w:w="2580" w:type="dxa"/>
            <w:vAlign w:val="bottom"/>
          </w:tcPr>
          <w:p>
            <w:pPr>
              <w:jc w:val="center"/>
              <w:ind w:right="554"/>
              <w:spacing w:after="0"/>
              <w:rPr>
                <w:sz w:val="20"/>
                <w:szCs w:val="20"/>
                <w:color w:val="auto"/>
              </w:rPr>
            </w:pPr>
            <w:r>
              <w:rPr>
                <w:rFonts w:ascii="Times New Roman" w:cs="Times New Roman" w:eastAsia="Times New Roman" w:hAnsi="Times New Roman"/>
                <w:sz w:val="17"/>
                <w:szCs w:val="17"/>
                <w:b w:val="1"/>
                <w:bCs w:val="1"/>
                <w:color w:val="auto"/>
              </w:rPr>
              <w:t>Sullivan &amp; Cromwell LLP</w:t>
            </w:r>
          </w:p>
        </w:tc>
        <w:tc>
          <w:tcPr>
            <w:tcW w:w="5520" w:type="dxa"/>
            <w:vAlign w:val="bottom"/>
          </w:tcPr>
          <w:p>
            <w:pPr>
              <w:jc w:val="center"/>
              <w:ind w:left="1834"/>
              <w:spacing w:after="0"/>
              <w:rPr>
                <w:sz w:val="20"/>
                <w:szCs w:val="20"/>
                <w:color w:val="auto"/>
              </w:rPr>
            </w:pPr>
            <w:r>
              <w:rPr>
                <w:rFonts w:ascii="Times New Roman" w:cs="Times New Roman" w:eastAsia="Times New Roman" w:hAnsi="Times New Roman"/>
                <w:sz w:val="17"/>
                <w:szCs w:val="17"/>
                <w:b w:val="1"/>
                <w:bCs w:val="1"/>
                <w:color w:val="auto"/>
              </w:rPr>
              <w:t>New York, New York 10006</w:t>
            </w:r>
          </w:p>
        </w:tc>
      </w:tr>
      <w:tr>
        <w:trPr>
          <w:trHeight w:val="207"/>
        </w:trPr>
        <w:tc>
          <w:tcPr>
            <w:tcW w:w="2580" w:type="dxa"/>
            <w:vAlign w:val="bottom"/>
          </w:tcPr>
          <w:p>
            <w:pPr>
              <w:jc w:val="center"/>
              <w:ind w:right="574"/>
              <w:spacing w:after="0"/>
              <w:rPr>
                <w:sz w:val="20"/>
                <w:szCs w:val="20"/>
                <w:color w:val="auto"/>
              </w:rPr>
            </w:pPr>
            <w:r>
              <w:rPr>
                <w:rFonts w:ascii="Times New Roman" w:cs="Times New Roman" w:eastAsia="Times New Roman" w:hAnsi="Times New Roman"/>
                <w:sz w:val="17"/>
                <w:szCs w:val="17"/>
                <w:b w:val="1"/>
                <w:bCs w:val="1"/>
                <w:color w:val="auto"/>
              </w:rPr>
              <w:t>125 Broad Street</w:t>
            </w:r>
          </w:p>
        </w:tc>
        <w:tc>
          <w:tcPr>
            <w:tcW w:w="5520" w:type="dxa"/>
            <w:vAlign w:val="bottom"/>
          </w:tcPr>
          <w:p>
            <w:pPr>
              <w:jc w:val="center"/>
              <w:ind w:left="1834"/>
              <w:spacing w:after="0"/>
              <w:rPr>
                <w:sz w:val="20"/>
                <w:szCs w:val="20"/>
                <w:color w:val="auto"/>
              </w:rPr>
            </w:pPr>
            <w:r>
              <w:rPr>
                <w:rFonts w:ascii="Times New Roman" w:cs="Times New Roman" w:eastAsia="Times New Roman" w:hAnsi="Times New Roman"/>
                <w:sz w:val="17"/>
                <w:szCs w:val="17"/>
                <w:b w:val="1"/>
                <w:bCs w:val="1"/>
                <w:color w:val="auto"/>
              </w:rPr>
              <w:t>(678) 534-5849</w:t>
            </w:r>
          </w:p>
        </w:tc>
      </w:tr>
      <w:tr>
        <w:trPr>
          <w:trHeight w:val="207"/>
        </w:trPr>
        <w:tc>
          <w:tcPr>
            <w:tcW w:w="2580" w:type="dxa"/>
            <w:vAlign w:val="bottom"/>
          </w:tcPr>
          <w:p>
            <w:pPr>
              <w:jc w:val="center"/>
              <w:ind w:right="554"/>
              <w:spacing w:after="0"/>
              <w:rPr>
                <w:sz w:val="20"/>
                <w:szCs w:val="20"/>
                <w:color w:val="auto"/>
              </w:rPr>
            </w:pPr>
            <w:r>
              <w:rPr>
                <w:rFonts w:ascii="Times New Roman" w:cs="Times New Roman" w:eastAsia="Times New Roman" w:hAnsi="Times New Roman"/>
                <w:sz w:val="17"/>
                <w:szCs w:val="17"/>
                <w:b w:val="1"/>
                <w:bCs w:val="1"/>
                <w:color w:val="auto"/>
              </w:rPr>
              <w:t>New York, NY 10004</w:t>
            </w:r>
          </w:p>
        </w:tc>
        <w:tc>
          <w:tcPr>
            <w:tcW w:w="5520" w:type="dxa"/>
            <w:vAlign w:val="bottom"/>
          </w:tcPr>
          <w:p>
            <w:pPr>
              <w:spacing w:after="0"/>
              <w:rPr>
                <w:sz w:val="18"/>
                <w:szCs w:val="18"/>
                <w:color w:val="auto"/>
              </w:rPr>
            </w:pPr>
          </w:p>
        </w:tc>
      </w:tr>
      <w:tr>
        <w:trPr>
          <w:trHeight w:val="228"/>
        </w:trPr>
        <w:tc>
          <w:tcPr>
            <w:tcW w:w="2580" w:type="dxa"/>
            <w:vAlign w:val="bottom"/>
          </w:tcPr>
          <w:p>
            <w:pPr>
              <w:jc w:val="center"/>
              <w:ind w:right="574"/>
              <w:spacing w:after="0"/>
              <w:rPr>
                <w:sz w:val="20"/>
                <w:szCs w:val="20"/>
                <w:color w:val="auto"/>
              </w:rPr>
            </w:pPr>
            <w:r>
              <w:rPr>
                <w:rFonts w:ascii="Times New Roman" w:cs="Times New Roman" w:eastAsia="Times New Roman" w:hAnsi="Times New Roman"/>
                <w:sz w:val="17"/>
                <w:szCs w:val="17"/>
                <w:b w:val="1"/>
                <w:bCs w:val="1"/>
                <w:color w:val="auto"/>
              </w:rPr>
              <w:t>(212) 558-4000</w:t>
            </w:r>
          </w:p>
        </w:tc>
        <w:tc>
          <w:tcPr>
            <w:tcW w:w="5520" w:type="dxa"/>
            <w:vAlign w:val="bottom"/>
          </w:tcPr>
          <w:p>
            <w:pPr>
              <w:spacing w:after="0"/>
              <w:rPr>
                <w:sz w:val="19"/>
                <w:szCs w:val="19"/>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2647950</wp:posOffset>
            </wp:positionH>
            <wp:positionV relativeFrom="paragraph">
              <wp:posOffset>221615</wp:posOffset>
            </wp:positionV>
            <wp:extent cx="141414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200" w:lineRule="exact"/>
        <w:rPr>
          <w:sz w:val="24"/>
          <w:szCs w:val="24"/>
          <w:color w:val="auto"/>
        </w:rPr>
      </w:pPr>
    </w:p>
    <w:p>
      <w:pPr>
        <w:spacing w:after="0" w:line="331" w:lineRule="exact"/>
        <w:rPr>
          <w:sz w:val="24"/>
          <w:szCs w:val="24"/>
          <w:color w:val="auto"/>
        </w:rPr>
      </w:pPr>
    </w:p>
    <w:p>
      <w:pPr>
        <w:ind w:right="80"/>
        <w:spacing w:after="0" w:line="273" w:lineRule="auto"/>
        <w:rPr>
          <w:sz w:val="20"/>
          <w:szCs w:val="20"/>
          <w:color w:val="auto"/>
        </w:rPr>
      </w:pPr>
      <w:r>
        <w:rPr>
          <w:rFonts w:ascii="Times New Roman" w:cs="Times New Roman" w:eastAsia="Times New Roman" w:hAnsi="Times New Roman"/>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49" w:lineRule="exact"/>
        <w:rPr>
          <w:sz w:val="24"/>
          <w:szCs w:val="24"/>
          <w:color w:val="auto"/>
        </w:rPr>
      </w:pPr>
    </w:p>
    <w:tbl>
      <w:tblPr>
        <w:tblLayout w:type="fixed"/>
        <w:tblInd w:w="0" w:type="dxa"/>
        <w:tblCellMar>
          <w:top w:w="0" w:type="dxa"/>
          <w:left w:w="0" w:type="dxa"/>
          <w:bottom w:w="0" w:type="dxa"/>
          <w:right w:w="0" w:type="dxa"/>
        </w:tblCellMar>
      </w:tblPr>
      <w:tr>
        <w:trPr>
          <w:trHeight w:val="290"/>
        </w:trPr>
        <w:tc>
          <w:tcPr>
            <w:tcW w:w="1740" w:type="dxa"/>
            <w:vAlign w:val="bottom"/>
          </w:tcPr>
          <w:p>
            <w:pPr>
              <w:spacing w:after="0"/>
              <w:rPr>
                <w:sz w:val="20"/>
                <w:szCs w:val="20"/>
                <w:color w:val="auto"/>
              </w:rPr>
            </w:pPr>
            <w:r>
              <w:rPr>
                <w:rFonts w:ascii="Times New Roman" w:cs="Times New Roman" w:eastAsia="Times New Roman" w:hAnsi="Times New Roman"/>
                <w:sz w:val="17"/>
                <w:szCs w:val="17"/>
                <w:color w:val="auto"/>
              </w:rPr>
              <w:t>Large accelerated filer</w:t>
            </w:r>
          </w:p>
        </w:tc>
        <w:tc>
          <w:tcPr>
            <w:tcW w:w="3320" w:type="dxa"/>
            <w:vAlign w:val="bottom"/>
          </w:tcPr>
          <w:p>
            <w:pPr>
              <w:ind w:left="180"/>
              <w:spacing w:after="0" w:line="171" w:lineRule="exact"/>
              <w:rPr>
                <w:sz w:val="20"/>
                <w:szCs w:val="20"/>
                <w:color w:val="auto"/>
              </w:rPr>
            </w:pPr>
            <w:r>
              <w:rPr>
                <w:rFonts w:ascii="MS PGothic" w:cs="MS PGothic" w:eastAsia="MS PGothic" w:hAnsi="MS PGothic"/>
                <w:sz w:val="17"/>
                <w:szCs w:val="17"/>
                <w:color w:val="auto"/>
              </w:rPr>
              <w:t>☐</w:t>
            </w:r>
          </w:p>
        </w:tc>
        <w:tc>
          <w:tcPr>
            <w:tcW w:w="5080" w:type="dxa"/>
            <w:vAlign w:val="bottom"/>
          </w:tcPr>
          <w:p>
            <w:pPr>
              <w:ind w:left="2980"/>
              <w:spacing w:after="0"/>
              <w:rPr>
                <w:sz w:val="20"/>
                <w:szCs w:val="20"/>
                <w:color w:val="auto"/>
              </w:rPr>
            </w:pPr>
            <w:r>
              <w:rPr>
                <w:rFonts w:ascii="Times New Roman" w:cs="Times New Roman" w:eastAsia="Times New Roman" w:hAnsi="Times New Roman"/>
                <w:sz w:val="17"/>
                <w:szCs w:val="17"/>
                <w:color w:val="auto"/>
              </w:rPr>
              <w:t>Accelerated filer</w:t>
            </w:r>
          </w:p>
        </w:tc>
        <w:tc>
          <w:tcPr>
            <w:tcW w:w="380" w:type="dxa"/>
            <w:vAlign w:val="bottom"/>
          </w:tcPr>
          <w:p>
            <w:pPr>
              <w:ind w:left="22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311"/>
        </w:trPr>
        <w:tc>
          <w:tcPr>
            <w:tcW w:w="1740" w:type="dxa"/>
            <w:vAlign w:val="bottom"/>
          </w:tcPr>
          <w:p>
            <w:pPr>
              <w:spacing w:after="0"/>
              <w:rPr>
                <w:sz w:val="20"/>
                <w:szCs w:val="20"/>
                <w:color w:val="auto"/>
              </w:rPr>
            </w:pPr>
            <w:r>
              <w:rPr>
                <w:rFonts w:ascii="Times New Roman" w:cs="Times New Roman" w:eastAsia="Times New Roman" w:hAnsi="Times New Roman"/>
                <w:sz w:val="17"/>
                <w:szCs w:val="17"/>
                <w:color w:val="auto"/>
              </w:rPr>
              <w:t>Non-accelerated filer</w:t>
            </w:r>
          </w:p>
        </w:tc>
        <w:tc>
          <w:tcPr>
            <w:tcW w:w="3320" w:type="dxa"/>
            <w:vAlign w:val="bottom"/>
          </w:tcPr>
          <w:p>
            <w:pPr>
              <w:ind w:left="180"/>
              <w:spacing w:after="0" w:line="171" w:lineRule="exact"/>
              <w:rPr>
                <w:sz w:val="20"/>
                <w:szCs w:val="20"/>
                <w:color w:val="auto"/>
              </w:rPr>
            </w:pPr>
            <w:r>
              <w:rPr>
                <w:rFonts w:ascii="MS PGothic" w:cs="MS PGothic" w:eastAsia="MS PGothic" w:hAnsi="MS PGothic"/>
                <w:sz w:val="17"/>
                <w:szCs w:val="17"/>
                <w:color w:val="auto"/>
              </w:rPr>
              <w:t>☐</w:t>
            </w:r>
          </w:p>
        </w:tc>
        <w:tc>
          <w:tcPr>
            <w:tcW w:w="5080" w:type="dxa"/>
            <w:vAlign w:val="bottom"/>
          </w:tcPr>
          <w:p>
            <w:pPr>
              <w:ind w:left="2980"/>
              <w:spacing w:after="0"/>
              <w:rPr>
                <w:sz w:val="20"/>
                <w:szCs w:val="20"/>
                <w:color w:val="auto"/>
              </w:rPr>
            </w:pPr>
            <w:r>
              <w:rPr>
                <w:rFonts w:ascii="Times New Roman" w:cs="Times New Roman" w:eastAsia="Times New Roman" w:hAnsi="Times New Roman"/>
                <w:sz w:val="17"/>
                <w:szCs w:val="17"/>
                <w:color w:val="auto"/>
              </w:rPr>
              <w:t>Smaller reporting company</w:t>
            </w:r>
          </w:p>
        </w:tc>
        <w:tc>
          <w:tcPr>
            <w:tcW w:w="380" w:type="dxa"/>
            <w:vAlign w:val="bottom"/>
          </w:tcPr>
          <w:p>
            <w:pPr>
              <w:ind w:left="22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311"/>
        </w:trPr>
        <w:tc>
          <w:tcPr>
            <w:tcW w:w="174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5080" w:type="dxa"/>
            <w:vAlign w:val="bottom"/>
          </w:tcPr>
          <w:p>
            <w:pPr>
              <w:ind w:left="2980"/>
              <w:spacing w:after="0"/>
              <w:rPr>
                <w:sz w:val="20"/>
                <w:szCs w:val="20"/>
                <w:color w:val="auto"/>
              </w:rPr>
            </w:pPr>
            <w:r>
              <w:rPr>
                <w:rFonts w:ascii="Times New Roman" w:cs="Times New Roman" w:eastAsia="Times New Roman" w:hAnsi="Times New Roman"/>
                <w:sz w:val="17"/>
                <w:szCs w:val="17"/>
                <w:color w:val="auto"/>
              </w:rPr>
              <w:t>Emerging growth company</w:t>
            </w:r>
          </w:p>
        </w:tc>
        <w:tc>
          <w:tcPr>
            <w:tcW w:w="380" w:type="dxa"/>
            <w:vAlign w:val="bottom"/>
          </w:tcPr>
          <w:p>
            <w:pPr>
              <w:ind w:left="220"/>
              <w:spacing w:after="0" w:line="171" w:lineRule="exact"/>
              <w:rPr>
                <w:sz w:val="20"/>
                <w:szCs w:val="20"/>
                <w:color w:val="auto"/>
              </w:rPr>
            </w:pPr>
            <w:r>
              <w:rPr>
                <w:rFonts w:ascii="MS PGothic" w:cs="MS PGothic" w:eastAsia="MS PGothic" w:hAnsi="MS PGothic"/>
                <w:sz w:val="17"/>
                <w:szCs w:val="17"/>
                <w:color w:val="auto"/>
                <w:w w:val="82"/>
              </w:rPr>
              <w:t>☐</w:t>
            </w:r>
          </w:p>
        </w:tc>
      </w:tr>
    </w:tbl>
    <w:p>
      <w:pPr>
        <w:spacing w:after="0" w:line="163" w:lineRule="exact"/>
        <w:rPr>
          <w:sz w:val="24"/>
          <w:szCs w:val="24"/>
          <w:color w:val="auto"/>
        </w:rPr>
      </w:pPr>
    </w:p>
    <w:p>
      <w:pPr>
        <w:ind w:right="240"/>
        <w:spacing w:after="0" w:line="229"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123825</wp:posOffset>
            </wp:positionV>
            <wp:extent cx="671004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71004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165100</wp:posOffset>
            </wp:positionV>
            <wp:extent cx="671004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710045" cy="8255"/>
                    </a:xfrm>
                    <a:prstGeom prst="rect">
                      <a:avLst/>
                    </a:prstGeom>
                    <a:noFill/>
                  </pic:spPr>
                </pic:pic>
              </a:graphicData>
            </a:graphic>
          </wp:anchor>
        </w:drawing>
      </w:r>
    </w:p>
    <w:p>
      <w:pPr>
        <w:sectPr>
          <w:pgSz w:w="11900" w:h="16838" w:orient="portrait"/>
          <w:cols w:equalWidth="0" w:num="1">
            <w:col w:w="10520"/>
          </w:cols>
          <w:pgMar w:left="660" w:top="223" w:right="719" w:bottom="1440" w:gutter="0" w:footer="0" w:header="0"/>
          <w:type w:val="continuous"/>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374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9945" cy="37465"/>
                    </a:xfrm>
                    <a:prstGeom prst="rect">
                      <a:avLst/>
                    </a:prstGeom>
                    <a:noFill/>
                  </pic:spPr>
                </pic:pic>
              </a:graphicData>
            </a:graphic>
          </wp:anchor>
        </w:drawing>
        <w:t>Explanatory Note</w:t>
      </w:r>
    </w:p>
    <w:p>
      <w:pPr>
        <w:spacing w:after="0" w:line="221"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7"/>
          <w:szCs w:val="17"/>
          <w:color w:val="auto"/>
        </w:rPr>
        <w:t>Bakkt Holdings, Inc. (the “Company”) is filing this Registration Statement (this “Registration Statement”) with the Securities and Exchange Commission (the “Commission” or the “SEC”) to register 2,000,000 shares of Class A Common Stock to be issued under Bakkt Holdings, Inc.’s Option Award Agreement, which was approved by the stockholders on October 31, 2025, on the terms set forth in the form of Option Award Agreement. Any options (“Options”) granted under the Option Award Agreements that are forfeited by a grantee in accordance with the terms of the Option Award Agreement documenting the grant of such Options will be available for reallocation and future grant to service providers of the Company, as identified by the Compensation Committee of the Board of Directors of the Company, and which grants will be in the form of stock options made on the same terms as the Options and will have an exercise price equal to or greater than fair market value as of such applicable date of grant.</w:t>
      </w: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PART II</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INFORMATION REQUIRED IN THE REGISTRATION STATEMENT</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3. Incorporation of Documents by Reference.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Company incorporates by reference the following documents that the Company has previously filed with the Commission:</w:t>
      </w:r>
    </w:p>
    <w:p>
      <w:pPr>
        <w:spacing w:after="0" w:line="128" w:lineRule="exact"/>
        <w:rPr>
          <w:sz w:val="20"/>
          <w:szCs w:val="20"/>
          <w:color w:val="auto"/>
        </w:rPr>
      </w:pPr>
    </w:p>
    <w:p>
      <w:pPr>
        <w:ind w:left="940" w:right="20" w:hanging="525"/>
        <w:spacing w:after="0" w:line="291" w:lineRule="auto"/>
        <w:tabs>
          <w:tab w:leader="none" w:pos="94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Company’s Annual Report on </w:t>
      </w:r>
      <w:hyperlink r:id="rId19">
        <w:r>
          <w:rPr>
            <w:rFonts w:ascii="Times New Roman" w:cs="Times New Roman" w:eastAsia="Times New Roman" w:hAnsi="Times New Roman"/>
            <w:sz w:val="17"/>
            <w:szCs w:val="17"/>
            <w:u w:val="single" w:color="auto"/>
            <w:color w:val="0000EE"/>
          </w:rPr>
          <w:t>Form 10-K</w:t>
        </w:r>
        <w:r>
          <w:rPr>
            <w:rFonts w:ascii="Times New Roman" w:cs="Times New Roman" w:eastAsia="Times New Roman" w:hAnsi="Times New Roman"/>
            <w:sz w:val="17"/>
            <w:szCs w:val="17"/>
            <w:u w:val="single" w:color="auto"/>
            <w:color w:val="auto"/>
          </w:rPr>
          <w:t xml:space="preserve"> </w:t>
        </w:r>
      </w:hyperlink>
      <w:r>
        <w:rPr>
          <w:rFonts w:ascii="Times New Roman" w:cs="Times New Roman" w:eastAsia="Times New Roman" w:hAnsi="Times New Roman"/>
          <w:sz w:val="17"/>
          <w:szCs w:val="17"/>
          <w:color w:val="auto"/>
        </w:rPr>
        <w:t>for the fiscal year ended December 31, 2024, filed with the Commission on March 20, 2025 (the “Annual Report”);</w:t>
      </w:r>
    </w:p>
    <w:p>
      <w:pPr>
        <w:spacing w:after="0" w:line="56" w:lineRule="exact"/>
        <w:rPr>
          <w:rFonts w:ascii="Times New Roman" w:cs="Times New Roman" w:eastAsia="Times New Roman" w:hAnsi="Times New Roman"/>
          <w:sz w:val="17"/>
          <w:szCs w:val="17"/>
          <w:color w:val="auto"/>
        </w:rPr>
      </w:pPr>
    </w:p>
    <w:p>
      <w:pPr>
        <w:ind w:left="940" w:right="180" w:hanging="525"/>
        <w:spacing w:after="0" w:line="291" w:lineRule="auto"/>
        <w:tabs>
          <w:tab w:leader="none" w:pos="94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portions of the Company’s Definitive Proxy Statement on </w:t>
      </w:r>
      <w:hyperlink r:id="rId20">
        <w:r>
          <w:rPr>
            <w:rFonts w:ascii="Times New Roman" w:cs="Times New Roman" w:eastAsia="Times New Roman" w:hAnsi="Times New Roman"/>
            <w:sz w:val="17"/>
            <w:szCs w:val="17"/>
            <w:u w:val="single" w:color="auto"/>
            <w:color w:val="0000EE"/>
          </w:rPr>
          <w:t>Schedule 14A</w:t>
        </w:r>
        <w:r>
          <w:rPr>
            <w:rFonts w:ascii="Times New Roman" w:cs="Times New Roman" w:eastAsia="Times New Roman" w:hAnsi="Times New Roman"/>
            <w:sz w:val="17"/>
            <w:szCs w:val="17"/>
            <w:u w:val="single" w:color="auto"/>
            <w:color w:val="auto"/>
          </w:rPr>
          <w:t xml:space="preserve"> </w:t>
        </w:r>
      </w:hyperlink>
      <w:r>
        <w:rPr>
          <w:rFonts w:ascii="Times New Roman" w:cs="Times New Roman" w:eastAsia="Times New Roman" w:hAnsi="Times New Roman"/>
          <w:sz w:val="17"/>
          <w:szCs w:val="17"/>
          <w:color w:val="auto"/>
        </w:rPr>
        <w:t>(other than information furnished rather than filed) that are incorporated by reference into the Annual Report, filed with the Commission on April 28, 2025;</w:t>
      </w:r>
    </w:p>
    <w:p>
      <w:pPr>
        <w:spacing w:after="0" w:line="56" w:lineRule="exact"/>
        <w:rPr>
          <w:rFonts w:ascii="Times New Roman" w:cs="Times New Roman" w:eastAsia="Times New Roman" w:hAnsi="Times New Roman"/>
          <w:sz w:val="17"/>
          <w:szCs w:val="17"/>
          <w:color w:val="auto"/>
        </w:rPr>
      </w:pPr>
    </w:p>
    <w:p>
      <w:pPr>
        <w:ind w:left="940" w:right="20" w:hanging="525"/>
        <w:spacing w:after="0" w:line="291" w:lineRule="auto"/>
        <w:tabs>
          <w:tab w:leader="none" w:pos="94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Company’s Quarterly Reports on Form 10-Q for the quarters ended March 31, 2025, filed with the Commission on </w:t>
      </w:r>
      <w:hyperlink r:id="rId21">
        <w:r>
          <w:rPr>
            <w:rFonts w:ascii="Times New Roman" w:cs="Times New Roman" w:eastAsia="Times New Roman" w:hAnsi="Times New Roman"/>
            <w:sz w:val="17"/>
            <w:szCs w:val="17"/>
            <w:u w:val="single" w:color="auto"/>
            <w:color w:val="0000EE"/>
          </w:rPr>
          <w:t>May 12, 2025,</w:t>
        </w:r>
        <w:r>
          <w:rPr>
            <w:rFonts w:ascii="Times New Roman" w:cs="Times New Roman" w:eastAsia="Times New Roman" w:hAnsi="Times New Roman"/>
            <w:sz w:val="17"/>
            <w:szCs w:val="17"/>
            <w:u w:val="single" w:color="auto"/>
            <w:color w:val="auto"/>
          </w:rPr>
          <w:t xml:space="preserve"> </w:t>
        </w:r>
      </w:hyperlink>
      <w:r>
        <w:rPr>
          <w:rFonts w:ascii="Times New Roman" w:cs="Times New Roman" w:eastAsia="Times New Roman" w:hAnsi="Times New Roman"/>
          <w:sz w:val="17"/>
          <w:szCs w:val="17"/>
          <w:color w:val="auto"/>
        </w:rPr>
        <w:t xml:space="preserve">and June 30, 2025, filed with the Commission on </w:t>
      </w:r>
      <w:hyperlink r:id="rId22">
        <w:r>
          <w:rPr>
            <w:rFonts w:ascii="Times New Roman" w:cs="Times New Roman" w:eastAsia="Times New Roman" w:hAnsi="Times New Roman"/>
            <w:sz w:val="17"/>
            <w:szCs w:val="17"/>
            <w:u w:val="single" w:color="auto"/>
            <w:color w:val="0000EE"/>
          </w:rPr>
          <w:t>August 11, 2025</w:t>
        </w:r>
      </w:hyperlink>
      <w:r>
        <w:rPr>
          <w:rFonts w:ascii="Times New Roman" w:cs="Times New Roman" w:eastAsia="Times New Roman" w:hAnsi="Times New Roman"/>
          <w:sz w:val="17"/>
          <w:szCs w:val="17"/>
          <w:color w:val="auto"/>
        </w:rPr>
        <w:t>;</w:t>
      </w:r>
    </w:p>
    <w:p>
      <w:pPr>
        <w:spacing w:after="0" w:line="56" w:lineRule="exact"/>
        <w:rPr>
          <w:rFonts w:ascii="Times New Roman" w:cs="Times New Roman" w:eastAsia="Times New Roman" w:hAnsi="Times New Roman"/>
          <w:sz w:val="17"/>
          <w:szCs w:val="17"/>
          <w:color w:val="auto"/>
        </w:rPr>
      </w:pPr>
    </w:p>
    <w:p>
      <w:pPr>
        <w:ind w:left="940" w:right="20" w:hanging="525"/>
        <w:spacing w:after="0" w:line="259" w:lineRule="auto"/>
        <w:tabs>
          <w:tab w:leader="none" w:pos="940" w:val="left"/>
        </w:tabs>
        <w:numPr>
          <w:ilvl w:val="0"/>
          <w:numId w:val="1"/>
        </w:numPr>
        <w:rPr>
          <w:rFonts w:ascii="Times New Roman" w:cs="Times New Roman" w:eastAsia="Times New Roman" w:hAnsi="Times New Roman"/>
          <w:sz w:val="17"/>
          <w:szCs w:val="17"/>
          <w:color w:val="000000"/>
        </w:rPr>
      </w:pPr>
      <w:hyperlink r:id="rId23">
        <w:r>
          <w:rPr>
            <w:rFonts w:ascii="Times New Roman" w:cs="Times New Roman" w:eastAsia="Times New Roman" w:hAnsi="Times New Roman"/>
            <w:sz w:val="17"/>
            <w:szCs w:val="17"/>
            <w:color w:val="auto"/>
          </w:rPr>
          <w:t xml:space="preserve">The Company’s Current Reports on Form 8-K filed with the Commission on </w:t>
        </w:r>
        <w:r>
          <w:rPr>
            <w:rFonts w:ascii="Times New Roman" w:cs="Times New Roman" w:eastAsia="Times New Roman" w:hAnsi="Times New Roman"/>
            <w:sz w:val="17"/>
            <w:szCs w:val="17"/>
            <w:u w:val="single" w:color="auto"/>
            <w:color w:val="0000EE"/>
          </w:rPr>
          <w:t>March 17, 2025</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0000EE"/>
          </w:rPr>
          <w:t>March 20, 2025</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0000EE"/>
          </w:rPr>
          <w:t>March 31, 2025</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0000EE"/>
          </w:rPr>
          <w:t>April</w:t>
        </w:r>
      </w:hyperlink>
      <w:r>
        <w:rPr>
          <w:rFonts w:ascii="Times New Roman" w:cs="Times New Roman" w:eastAsia="Times New Roman" w:hAnsi="Times New Roman"/>
          <w:sz w:val="17"/>
          <w:szCs w:val="17"/>
          <w:color w:val="auto"/>
        </w:rPr>
        <w:t xml:space="preserve"> </w:t>
      </w:r>
      <w:hyperlink r:id="rId23">
        <w:r>
          <w:rPr>
            <w:rFonts w:ascii="Times New Roman" w:cs="Times New Roman" w:eastAsia="Times New Roman" w:hAnsi="Times New Roman"/>
            <w:sz w:val="17"/>
            <w:szCs w:val="17"/>
            <w:u w:val="single" w:color="auto"/>
            <w:color w:val="0000EE"/>
          </w:rPr>
          <w:t>22, 2025</w:t>
        </w:r>
        <w:r>
          <w:rPr>
            <w:rFonts w:ascii="Times New Roman" w:cs="Times New Roman" w:eastAsia="Times New Roman" w:hAnsi="Times New Roman"/>
            <w:sz w:val="17"/>
            <w:szCs w:val="17"/>
            <w:color w:val="000000"/>
          </w:rPr>
          <w:t>,</w:t>
        </w:r>
        <w:r>
          <w:rPr>
            <w:rFonts w:ascii="Times New Roman" w:cs="Times New Roman" w:eastAsia="Times New Roman" w:hAnsi="Times New Roman"/>
            <w:sz w:val="17"/>
            <w:szCs w:val="17"/>
            <w:color w:val="0000EE"/>
          </w:rPr>
          <w:t xml:space="preserve"> </w:t>
        </w:r>
      </w:hyperlink>
      <w:hyperlink r:id="rId24">
        <w:r>
          <w:rPr>
            <w:rFonts w:ascii="Times New Roman" w:cs="Times New Roman" w:eastAsia="Times New Roman" w:hAnsi="Times New Roman"/>
            <w:sz w:val="17"/>
            <w:szCs w:val="17"/>
            <w:u w:val="single" w:color="auto"/>
            <w:color w:val="0000EE"/>
          </w:rPr>
          <w:t xml:space="preserve">June 10, 2025 </w:t>
        </w:r>
      </w:hyperlink>
      <w:hyperlink r:id="rId23">
        <w:r>
          <w:rPr>
            <w:rFonts w:ascii="Times New Roman" w:cs="Times New Roman" w:eastAsia="Times New Roman" w:hAnsi="Times New Roman"/>
            <w:sz w:val="17"/>
            <w:szCs w:val="17"/>
            <w:color w:val="000000"/>
          </w:rPr>
          <w:t>(other than information furnished rather than filed),</w:t>
        </w:r>
        <w:r>
          <w:rPr>
            <w:rFonts w:ascii="Times New Roman" w:cs="Times New Roman" w:eastAsia="Times New Roman" w:hAnsi="Times New Roman"/>
            <w:sz w:val="17"/>
            <w:szCs w:val="17"/>
            <w:color w:val="0000EE"/>
          </w:rPr>
          <w:t xml:space="preserve"> </w:t>
        </w:r>
      </w:hyperlink>
      <w:hyperlink r:id="rId25">
        <w:r>
          <w:rPr>
            <w:rFonts w:ascii="Times New Roman" w:cs="Times New Roman" w:eastAsia="Times New Roman" w:hAnsi="Times New Roman"/>
            <w:sz w:val="17"/>
            <w:szCs w:val="17"/>
            <w:u w:val="single" w:color="auto"/>
            <w:color w:val="0000EE"/>
          </w:rPr>
          <w:t>June 10, 2025</w:t>
        </w:r>
      </w:hyperlink>
      <w:hyperlink r:id="rId23">
        <w:r>
          <w:rPr>
            <w:rFonts w:ascii="Times New Roman" w:cs="Times New Roman" w:eastAsia="Times New Roman" w:hAnsi="Times New Roman"/>
            <w:sz w:val="17"/>
            <w:szCs w:val="17"/>
            <w:color w:val="000000"/>
          </w:rPr>
          <w:t>,</w:t>
        </w:r>
        <w:r>
          <w:rPr>
            <w:rFonts w:ascii="Times New Roman" w:cs="Times New Roman" w:eastAsia="Times New Roman" w:hAnsi="Times New Roman"/>
            <w:sz w:val="17"/>
            <w:szCs w:val="17"/>
            <w:color w:val="0000EE"/>
          </w:rPr>
          <w:t xml:space="preserve"> </w:t>
        </w:r>
      </w:hyperlink>
      <w:hyperlink r:id="rId26">
        <w:r>
          <w:rPr>
            <w:rFonts w:ascii="Times New Roman" w:cs="Times New Roman" w:eastAsia="Times New Roman" w:hAnsi="Times New Roman"/>
            <w:sz w:val="17"/>
            <w:szCs w:val="17"/>
            <w:u w:val="single" w:color="auto"/>
            <w:color w:val="0000EE"/>
          </w:rPr>
          <w:t>June 13, 2025</w:t>
        </w:r>
      </w:hyperlink>
      <w:hyperlink r:id="rId23">
        <w:r>
          <w:rPr>
            <w:rFonts w:ascii="Times New Roman" w:cs="Times New Roman" w:eastAsia="Times New Roman" w:hAnsi="Times New Roman"/>
            <w:sz w:val="17"/>
            <w:szCs w:val="17"/>
            <w:color w:val="000000"/>
          </w:rPr>
          <w:t>,</w:t>
        </w:r>
        <w:r>
          <w:rPr>
            <w:rFonts w:ascii="Times New Roman" w:cs="Times New Roman" w:eastAsia="Times New Roman" w:hAnsi="Times New Roman"/>
            <w:sz w:val="17"/>
            <w:szCs w:val="17"/>
            <w:color w:val="0000EE"/>
          </w:rPr>
          <w:t xml:space="preserve"> </w:t>
        </w:r>
      </w:hyperlink>
      <w:hyperlink r:id="rId27">
        <w:r>
          <w:rPr>
            <w:rFonts w:ascii="Times New Roman" w:cs="Times New Roman" w:eastAsia="Times New Roman" w:hAnsi="Times New Roman"/>
            <w:sz w:val="17"/>
            <w:szCs w:val="17"/>
            <w:u w:val="single" w:color="auto"/>
            <w:color w:val="0000EE"/>
          </w:rPr>
          <w:t>June 20, 2025</w:t>
        </w:r>
      </w:hyperlink>
      <w:hyperlink r:id="rId23">
        <w:r>
          <w:rPr>
            <w:rFonts w:ascii="Times New Roman" w:cs="Times New Roman" w:eastAsia="Times New Roman" w:hAnsi="Times New Roman"/>
            <w:sz w:val="17"/>
            <w:szCs w:val="17"/>
            <w:color w:val="000000"/>
          </w:rPr>
          <w:t>,</w:t>
        </w:r>
        <w:r>
          <w:rPr>
            <w:rFonts w:ascii="Times New Roman" w:cs="Times New Roman" w:eastAsia="Times New Roman" w:hAnsi="Times New Roman"/>
            <w:sz w:val="17"/>
            <w:szCs w:val="17"/>
            <w:color w:val="0000EE"/>
          </w:rPr>
          <w:t xml:space="preserve"> </w:t>
        </w:r>
      </w:hyperlink>
      <w:hyperlink r:id="rId28">
        <w:r>
          <w:rPr>
            <w:rFonts w:ascii="Times New Roman" w:cs="Times New Roman" w:eastAsia="Times New Roman" w:hAnsi="Times New Roman"/>
            <w:sz w:val="17"/>
            <w:szCs w:val="17"/>
            <w:u w:val="single" w:color="auto"/>
            <w:color w:val="0000EE"/>
          </w:rPr>
          <w:t>July 28, 2025</w:t>
        </w:r>
      </w:hyperlink>
      <w:r>
        <w:rPr>
          <w:rFonts w:ascii="Times New Roman" w:cs="Times New Roman" w:eastAsia="Times New Roman" w:hAnsi="Times New Roman"/>
          <w:sz w:val="17"/>
          <w:szCs w:val="17"/>
          <w:color w:val="0000EE"/>
        </w:rPr>
        <w:t xml:space="preserve"> </w:t>
      </w:r>
      <w:r>
        <w:rPr>
          <w:rFonts w:ascii="Times New Roman" w:cs="Times New Roman" w:eastAsia="Times New Roman" w:hAnsi="Times New Roman"/>
          <w:sz w:val="17"/>
          <w:szCs w:val="17"/>
          <w:color w:val="000000"/>
        </w:rPr>
        <w:t xml:space="preserve">(other than information furnished rather than filed), </w:t>
      </w:r>
      <w:hyperlink r:id="rId29">
        <w:r>
          <w:rPr>
            <w:rFonts w:ascii="Times New Roman" w:cs="Times New Roman" w:eastAsia="Times New Roman" w:hAnsi="Times New Roman"/>
            <w:sz w:val="17"/>
            <w:szCs w:val="17"/>
            <w:u w:val="single" w:color="auto"/>
            <w:color w:val="0000EE"/>
          </w:rPr>
          <w:t>July 30, 2025</w:t>
        </w:r>
        <w:r>
          <w:rPr>
            <w:rFonts w:ascii="Times New Roman" w:cs="Times New Roman" w:eastAsia="Times New Roman" w:hAnsi="Times New Roman"/>
            <w:sz w:val="17"/>
            <w:szCs w:val="17"/>
            <w:u w:val="single" w:color="auto"/>
            <w:color w:val="000000"/>
          </w:rPr>
          <w:t xml:space="preserve"> </w:t>
        </w:r>
      </w:hyperlink>
      <w:r>
        <w:rPr>
          <w:rFonts w:ascii="Times New Roman" w:cs="Times New Roman" w:eastAsia="Times New Roman" w:hAnsi="Times New Roman"/>
          <w:sz w:val="17"/>
          <w:szCs w:val="17"/>
          <w:color w:val="000000"/>
        </w:rPr>
        <w:t xml:space="preserve">(other than information furnished rather than filed), </w:t>
      </w:r>
      <w:hyperlink r:id="rId30">
        <w:r>
          <w:rPr>
            <w:rFonts w:ascii="Times New Roman" w:cs="Times New Roman" w:eastAsia="Times New Roman" w:hAnsi="Times New Roman"/>
            <w:sz w:val="17"/>
            <w:szCs w:val="17"/>
            <w:u w:val="single" w:color="auto"/>
            <w:color w:val="0000EE"/>
          </w:rPr>
          <w:t>August 6, 2025</w:t>
        </w:r>
      </w:hyperlink>
      <w:r>
        <w:rPr>
          <w:rFonts w:ascii="Times New Roman" w:cs="Times New Roman" w:eastAsia="Times New Roman" w:hAnsi="Times New Roman"/>
          <w:sz w:val="17"/>
          <w:szCs w:val="17"/>
          <w:color w:val="000000"/>
        </w:rPr>
        <w:t xml:space="preserve"> </w:t>
      </w:r>
      <w:hyperlink r:id="rId31">
        <w:r>
          <w:rPr>
            <w:rFonts w:ascii="Times New Roman" w:cs="Times New Roman" w:eastAsia="Times New Roman" w:hAnsi="Times New Roman"/>
            <w:sz w:val="17"/>
            <w:szCs w:val="17"/>
            <w:color w:val="000000"/>
          </w:rPr>
          <w:t xml:space="preserve">(other than information furnished rather than filed), </w:t>
        </w:r>
        <w:r>
          <w:rPr>
            <w:rFonts w:ascii="Times New Roman" w:cs="Times New Roman" w:eastAsia="Times New Roman" w:hAnsi="Times New Roman"/>
            <w:sz w:val="17"/>
            <w:szCs w:val="17"/>
            <w:u w:val="single" w:color="auto"/>
            <w:color w:val="0000EE"/>
          </w:rPr>
          <w:t>August 8, 2025</w:t>
        </w:r>
        <w:r>
          <w:rPr>
            <w:rFonts w:ascii="Times New Roman" w:cs="Times New Roman" w:eastAsia="Times New Roman" w:hAnsi="Times New Roman"/>
            <w:sz w:val="17"/>
            <w:szCs w:val="17"/>
            <w:color w:val="000000"/>
          </w:rPr>
          <w:t xml:space="preserve">, </w:t>
        </w:r>
        <w:r>
          <w:rPr>
            <w:rFonts w:ascii="Times New Roman" w:cs="Times New Roman" w:eastAsia="Times New Roman" w:hAnsi="Times New Roman"/>
            <w:sz w:val="17"/>
            <w:szCs w:val="17"/>
            <w:u w:val="single" w:color="auto"/>
            <w:color w:val="0000EE"/>
          </w:rPr>
          <w:t>August 12, 2025</w:t>
        </w:r>
        <w:r>
          <w:rPr>
            <w:rFonts w:ascii="Times New Roman" w:cs="Times New Roman" w:eastAsia="Times New Roman" w:hAnsi="Times New Roman"/>
            <w:sz w:val="17"/>
            <w:szCs w:val="17"/>
            <w:color w:val="000000"/>
          </w:rPr>
          <w:t xml:space="preserve">, </w:t>
        </w:r>
        <w:r>
          <w:rPr>
            <w:rFonts w:ascii="Times New Roman" w:cs="Times New Roman" w:eastAsia="Times New Roman" w:hAnsi="Times New Roman"/>
            <w:sz w:val="17"/>
            <w:szCs w:val="17"/>
            <w:u w:val="single" w:color="auto"/>
            <w:color w:val="0000EE"/>
          </w:rPr>
          <w:t>August 29, 2025</w:t>
        </w:r>
        <w:r>
          <w:rPr>
            <w:rFonts w:ascii="Times New Roman" w:cs="Times New Roman" w:eastAsia="Times New Roman" w:hAnsi="Times New Roman"/>
            <w:sz w:val="17"/>
            <w:szCs w:val="17"/>
            <w:color w:val="000000"/>
          </w:rPr>
          <w:t xml:space="preserve">, </w:t>
        </w:r>
        <w:r>
          <w:rPr>
            <w:rFonts w:ascii="Times New Roman" w:cs="Times New Roman" w:eastAsia="Times New Roman" w:hAnsi="Times New Roman"/>
            <w:sz w:val="17"/>
            <w:szCs w:val="17"/>
            <w:u w:val="single" w:color="auto"/>
            <w:color w:val="0000EE"/>
          </w:rPr>
          <w:t>September 15, 2025</w:t>
        </w:r>
        <w:r>
          <w:rPr>
            <w:rFonts w:ascii="Times New Roman" w:cs="Times New Roman" w:eastAsia="Times New Roman" w:hAnsi="Times New Roman"/>
            <w:sz w:val="17"/>
            <w:szCs w:val="17"/>
            <w:color w:val="000000"/>
          </w:rPr>
          <w:t xml:space="preserve">, </w:t>
        </w:r>
        <w:r>
          <w:rPr>
            <w:rFonts w:ascii="Times New Roman" w:cs="Times New Roman" w:eastAsia="Times New Roman" w:hAnsi="Times New Roman"/>
            <w:sz w:val="17"/>
            <w:szCs w:val="17"/>
            <w:u w:val="single" w:color="auto"/>
            <w:color w:val="0000EE"/>
          </w:rPr>
          <w:t>September</w:t>
        </w:r>
      </w:hyperlink>
      <w:r>
        <w:rPr>
          <w:rFonts w:ascii="Times New Roman" w:cs="Times New Roman" w:eastAsia="Times New Roman" w:hAnsi="Times New Roman"/>
          <w:sz w:val="17"/>
          <w:szCs w:val="17"/>
          <w:color w:val="000000"/>
        </w:rPr>
        <w:t xml:space="preserve"> </w:t>
      </w:r>
      <w:hyperlink r:id="rId31">
        <w:r>
          <w:rPr>
            <w:rFonts w:ascii="Times New Roman" w:cs="Times New Roman" w:eastAsia="Times New Roman" w:hAnsi="Times New Roman"/>
            <w:sz w:val="17"/>
            <w:szCs w:val="17"/>
            <w:u w:val="single" w:color="auto"/>
            <w:color w:val="0000EE"/>
          </w:rPr>
          <w:t>22, 2025</w:t>
        </w:r>
        <w:r>
          <w:rPr>
            <w:rFonts w:ascii="Times New Roman" w:cs="Times New Roman" w:eastAsia="Times New Roman" w:hAnsi="Times New Roman"/>
            <w:sz w:val="17"/>
            <w:szCs w:val="17"/>
            <w:color w:val="000000"/>
          </w:rPr>
          <w:t>,</w:t>
        </w:r>
        <w:r>
          <w:rPr>
            <w:rFonts w:ascii="Times New Roman" w:cs="Times New Roman" w:eastAsia="Times New Roman" w:hAnsi="Times New Roman"/>
            <w:sz w:val="17"/>
            <w:szCs w:val="17"/>
            <w:color w:val="0000EE"/>
          </w:rPr>
          <w:t xml:space="preserve"> </w:t>
        </w:r>
      </w:hyperlink>
      <w:hyperlink r:id="rId32">
        <w:r>
          <w:rPr>
            <w:rFonts w:ascii="Times New Roman" w:cs="Times New Roman" w:eastAsia="Times New Roman" w:hAnsi="Times New Roman"/>
            <w:sz w:val="17"/>
            <w:szCs w:val="17"/>
            <w:u w:val="single" w:color="auto"/>
            <w:color w:val="0000EE"/>
          </w:rPr>
          <w:t xml:space="preserve">October 1, 2025 </w:t>
        </w:r>
      </w:hyperlink>
      <w:hyperlink r:id="rId31">
        <w:r>
          <w:rPr>
            <w:rFonts w:ascii="Times New Roman" w:cs="Times New Roman" w:eastAsia="Times New Roman" w:hAnsi="Times New Roman"/>
            <w:sz w:val="17"/>
            <w:szCs w:val="17"/>
            <w:color w:val="000000"/>
          </w:rPr>
          <w:t>(other than information furnished rather than filed),</w:t>
        </w:r>
        <w:r>
          <w:rPr>
            <w:rFonts w:ascii="Times New Roman" w:cs="Times New Roman" w:eastAsia="Times New Roman" w:hAnsi="Times New Roman"/>
            <w:sz w:val="17"/>
            <w:szCs w:val="17"/>
            <w:color w:val="0000EE"/>
          </w:rPr>
          <w:t xml:space="preserve"> </w:t>
        </w:r>
      </w:hyperlink>
      <w:hyperlink r:id="rId33">
        <w:r>
          <w:rPr>
            <w:rFonts w:ascii="Times New Roman" w:cs="Times New Roman" w:eastAsia="Times New Roman" w:hAnsi="Times New Roman"/>
            <w:sz w:val="17"/>
            <w:szCs w:val="17"/>
            <w:u w:val="single" w:color="auto"/>
            <w:color w:val="0000EE"/>
          </w:rPr>
          <w:t>October 8, 2025</w:t>
        </w:r>
      </w:hyperlink>
      <w:hyperlink r:id="rId31">
        <w:r>
          <w:rPr>
            <w:rFonts w:ascii="Times New Roman" w:cs="Times New Roman" w:eastAsia="Times New Roman" w:hAnsi="Times New Roman"/>
            <w:sz w:val="17"/>
            <w:szCs w:val="17"/>
            <w:color w:val="000000"/>
          </w:rPr>
          <w:t>,</w:t>
        </w:r>
        <w:r>
          <w:rPr>
            <w:rFonts w:ascii="Times New Roman" w:cs="Times New Roman" w:eastAsia="Times New Roman" w:hAnsi="Times New Roman"/>
            <w:sz w:val="17"/>
            <w:szCs w:val="17"/>
            <w:color w:val="0000EE"/>
          </w:rPr>
          <w:t xml:space="preserve"> </w:t>
        </w:r>
      </w:hyperlink>
      <w:hyperlink r:id="rId34">
        <w:r>
          <w:rPr>
            <w:rFonts w:ascii="Times New Roman" w:cs="Times New Roman" w:eastAsia="Times New Roman" w:hAnsi="Times New Roman"/>
            <w:sz w:val="17"/>
            <w:szCs w:val="17"/>
            <w:u w:val="single" w:color="auto"/>
            <w:color w:val="0000EE"/>
          </w:rPr>
          <w:t>October 14, 2025</w:t>
        </w:r>
      </w:hyperlink>
      <w:hyperlink r:id="rId31">
        <w:r>
          <w:rPr>
            <w:rFonts w:ascii="Times New Roman" w:cs="Times New Roman" w:eastAsia="Times New Roman" w:hAnsi="Times New Roman"/>
            <w:sz w:val="17"/>
            <w:szCs w:val="17"/>
            <w:color w:val="000000"/>
          </w:rPr>
          <w:t>,</w:t>
        </w:r>
        <w:r>
          <w:rPr>
            <w:rFonts w:ascii="Times New Roman" w:cs="Times New Roman" w:eastAsia="Times New Roman" w:hAnsi="Times New Roman"/>
            <w:sz w:val="17"/>
            <w:szCs w:val="17"/>
            <w:color w:val="0000EE"/>
          </w:rPr>
          <w:t xml:space="preserve"> </w:t>
        </w:r>
      </w:hyperlink>
      <w:hyperlink r:id="rId35">
        <w:r>
          <w:rPr>
            <w:rFonts w:ascii="Times New Roman" w:cs="Times New Roman" w:eastAsia="Times New Roman" w:hAnsi="Times New Roman"/>
            <w:sz w:val="17"/>
            <w:szCs w:val="17"/>
            <w:u w:val="single" w:color="auto"/>
            <w:color w:val="0000EE"/>
          </w:rPr>
          <w:t>October 20, 2025</w:t>
        </w:r>
      </w:hyperlink>
      <w:r>
        <w:rPr>
          <w:rFonts w:ascii="Times New Roman" w:cs="Times New Roman" w:eastAsia="Times New Roman" w:hAnsi="Times New Roman"/>
          <w:sz w:val="17"/>
          <w:szCs w:val="17"/>
          <w:color w:val="0000EE"/>
        </w:rPr>
        <w:t xml:space="preserve"> </w:t>
      </w:r>
      <w:r>
        <w:rPr>
          <w:rFonts w:ascii="Times New Roman" w:cs="Times New Roman" w:eastAsia="Times New Roman" w:hAnsi="Times New Roman"/>
          <w:sz w:val="17"/>
          <w:szCs w:val="17"/>
          <w:color w:val="000000"/>
        </w:rPr>
        <w:t xml:space="preserve">(other than information furnished rather than filed), </w:t>
      </w:r>
      <w:hyperlink r:id="rId36">
        <w:r>
          <w:rPr>
            <w:rFonts w:ascii="Times New Roman" w:cs="Times New Roman" w:eastAsia="Times New Roman" w:hAnsi="Times New Roman"/>
            <w:sz w:val="17"/>
            <w:szCs w:val="17"/>
            <w:u w:val="single" w:color="auto"/>
            <w:color w:val="0000EE"/>
          </w:rPr>
          <w:t>October 21, 2025</w:t>
        </w:r>
      </w:hyperlink>
      <w:r>
        <w:rPr>
          <w:rFonts w:ascii="Times New Roman" w:cs="Times New Roman" w:eastAsia="Times New Roman" w:hAnsi="Times New Roman"/>
          <w:sz w:val="17"/>
          <w:szCs w:val="17"/>
          <w:color w:val="000000"/>
        </w:rPr>
        <w:t xml:space="preserve">, </w:t>
      </w:r>
      <w:hyperlink r:id="rId37">
        <w:r>
          <w:rPr>
            <w:rFonts w:ascii="Times New Roman" w:cs="Times New Roman" w:eastAsia="Times New Roman" w:hAnsi="Times New Roman"/>
            <w:sz w:val="17"/>
            <w:szCs w:val="17"/>
            <w:u w:val="single" w:color="auto"/>
            <w:color w:val="0000EE"/>
          </w:rPr>
          <w:t>October 22, 2025</w:t>
        </w:r>
      </w:hyperlink>
      <w:r>
        <w:rPr>
          <w:rFonts w:ascii="Times New Roman" w:cs="Times New Roman" w:eastAsia="Times New Roman" w:hAnsi="Times New Roman"/>
          <w:sz w:val="17"/>
          <w:szCs w:val="17"/>
          <w:color w:val="000000"/>
        </w:rPr>
        <w:t xml:space="preserve">, </w:t>
      </w:r>
      <w:hyperlink r:id="rId38">
        <w:r>
          <w:rPr>
            <w:rFonts w:ascii="Times New Roman" w:cs="Times New Roman" w:eastAsia="Times New Roman" w:hAnsi="Times New Roman"/>
            <w:sz w:val="17"/>
            <w:szCs w:val="17"/>
            <w:u w:val="single" w:color="auto"/>
            <w:color w:val="0000EE"/>
          </w:rPr>
          <w:t>October 31, 2025</w:t>
        </w:r>
        <w:r>
          <w:rPr>
            <w:rFonts w:ascii="Times New Roman" w:cs="Times New Roman" w:eastAsia="Times New Roman" w:hAnsi="Times New Roman"/>
            <w:sz w:val="17"/>
            <w:szCs w:val="17"/>
            <w:u w:val="single" w:color="auto"/>
            <w:color w:val="000000"/>
          </w:rPr>
          <w:t xml:space="preserve"> </w:t>
        </w:r>
      </w:hyperlink>
      <w:r>
        <w:rPr>
          <w:rFonts w:ascii="Times New Roman" w:cs="Times New Roman" w:eastAsia="Times New Roman" w:hAnsi="Times New Roman"/>
          <w:sz w:val="17"/>
          <w:szCs w:val="17"/>
          <w:color w:val="000000"/>
        </w:rPr>
        <w:t xml:space="preserve">(other than information furnished rather than filed), </w:t>
      </w:r>
      <w:hyperlink r:id="rId39">
        <w:r>
          <w:rPr>
            <w:rFonts w:ascii="Times New Roman" w:cs="Times New Roman" w:eastAsia="Times New Roman" w:hAnsi="Times New Roman"/>
            <w:sz w:val="17"/>
            <w:szCs w:val="17"/>
            <w:u w:val="single" w:color="auto"/>
            <w:color w:val="0000EE"/>
          </w:rPr>
          <w:t>November 3, 2025</w:t>
        </w:r>
        <w:r>
          <w:rPr>
            <w:rFonts w:ascii="Times New Roman" w:cs="Times New Roman" w:eastAsia="Times New Roman" w:hAnsi="Times New Roman"/>
            <w:sz w:val="17"/>
            <w:szCs w:val="17"/>
            <w:u w:val="single" w:color="auto"/>
            <w:color w:val="000000"/>
          </w:rPr>
          <w:t xml:space="preserve"> </w:t>
        </w:r>
      </w:hyperlink>
      <w:r>
        <w:rPr>
          <w:rFonts w:ascii="Times New Roman" w:cs="Times New Roman" w:eastAsia="Times New Roman" w:hAnsi="Times New Roman"/>
          <w:sz w:val="17"/>
          <w:szCs w:val="17"/>
          <w:color w:val="000000"/>
        </w:rPr>
        <w:t xml:space="preserve">and </w:t>
      </w:r>
      <w:hyperlink r:id="rId40">
        <w:r>
          <w:rPr>
            <w:rFonts w:ascii="Times New Roman" w:cs="Times New Roman" w:eastAsia="Times New Roman" w:hAnsi="Times New Roman"/>
            <w:sz w:val="17"/>
            <w:szCs w:val="17"/>
            <w:u w:val="single" w:color="auto"/>
            <w:color w:val="0000EE"/>
          </w:rPr>
          <w:t>November 3, 2025</w:t>
        </w:r>
        <w:r>
          <w:rPr>
            <w:rFonts w:ascii="Times New Roman" w:cs="Times New Roman" w:eastAsia="Times New Roman" w:hAnsi="Times New Roman"/>
            <w:sz w:val="17"/>
            <w:szCs w:val="17"/>
            <w:u w:val="single" w:color="auto"/>
            <w:color w:val="000000"/>
          </w:rPr>
          <w:t xml:space="preserve"> </w:t>
        </w:r>
      </w:hyperlink>
      <w:r>
        <w:rPr>
          <w:rFonts w:ascii="Times New Roman" w:cs="Times New Roman" w:eastAsia="Times New Roman" w:hAnsi="Times New Roman"/>
          <w:sz w:val="17"/>
          <w:szCs w:val="17"/>
          <w:color w:val="000000"/>
        </w:rPr>
        <w:t xml:space="preserve">and the Company’s Current Report on Form 8-K/A filed with the Commission on </w:t>
      </w:r>
      <w:hyperlink r:id="rId41">
        <w:r>
          <w:rPr>
            <w:rFonts w:ascii="Times New Roman" w:cs="Times New Roman" w:eastAsia="Times New Roman" w:hAnsi="Times New Roman"/>
            <w:sz w:val="17"/>
            <w:szCs w:val="17"/>
            <w:u w:val="single" w:color="auto"/>
            <w:color w:val="0000EE"/>
          </w:rPr>
          <w:t>November 7, 2025;</w:t>
        </w:r>
        <w:r>
          <w:rPr>
            <w:rFonts w:ascii="Times New Roman" w:cs="Times New Roman" w:eastAsia="Times New Roman" w:hAnsi="Times New Roman"/>
            <w:sz w:val="17"/>
            <w:szCs w:val="17"/>
            <w:u w:val="single" w:color="auto"/>
            <w:color w:val="000000"/>
          </w:rPr>
          <w:t xml:space="preserve"> </w:t>
        </w:r>
      </w:hyperlink>
      <w:r>
        <w:rPr>
          <w:rFonts w:ascii="Times New Roman" w:cs="Times New Roman" w:eastAsia="Times New Roman" w:hAnsi="Times New Roman"/>
          <w:sz w:val="17"/>
          <w:szCs w:val="17"/>
          <w:color w:val="000000"/>
        </w:rPr>
        <w:t>and</w:t>
      </w:r>
    </w:p>
    <w:p>
      <w:pPr>
        <w:spacing w:after="0" w:line="86" w:lineRule="exact"/>
        <w:rPr>
          <w:rFonts w:ascii="Times New Roman" w:cs="Times New Roman" w:eastAsia="Times New Roman" w:hAnsi="Times New Roman"/>
          <w:sz w:val="17"/>
          <w:szCs w:val="17"/>
          <w:color w:val="000000"/>
        </w:rPr>
      </w:pPr>
    </w:p>
    <w:p>
      <w:pPr>
        <w:ind w:left="940" w:right="120" w:hanging="525"/>
        <w:spacing w:after="0" w:line="266" w:lineRule="auto"/>
        <w:tabs>
          <w:tab w:leader="none" w:pos="94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description of the Company’s common stock contained in Exhibit 99.1 to the Company’s Current Report on </w:t>
      </w:r>
      <w:hyperlink r:id="rId40">
        <w:r>
          <w:rPr>
            <w:rFonts w:ascii="Times New Roman" w:cs="Times New Roman" w:eastAsia="Times New Roman" w:hAnsi="Times New Roman"/>
            <w:sz w:val="17"/>
            <w:szCs w:val="17"/>
            <w:u w:val="single" w:color="auto"/>
            <w:color w:val="0000EE"/>
          </w:rPr>
          <w:t>Form 8-K</w:t>
        </w:r>
        <w:r>
          <w:rPr>
            <w:rFonts w:ascii="Times New Roman" w:cs="Times New Roman" w:eastAsia="Times New Roman" w:hAnsi="Times New Roman"/>
            <w:sz w:val="17"/>
            <w:szCs w:val="17"/>
            <w:u w:val="single" w:color="auto"/>
            <w:color w:val="auto"/>
          </w:rPr>
          <w:t xml:space="preserve"> </w:t>
        </w:r>
      </w:hyperlink>
      <w:r>
        <w:rPr>
          <w:rFonts w:ascii="Times New Roman" w:cs="Times New Roman" w:eastAsia="Times New Roman" w:hAnsi="Times New Roman"/>
          <w:sz w:val="17"/>
          <w:szCs w:val="17"/>
          <w:color w:val="auto"/>
        </w:rPr>
        <w:t xml:space="preserve">filed on November 3, 2025, which updates the description of the Company’s Class A Common Stock contained in the Company’s Registration Statement on </w:t>
      </w:r>
      <w:hyperlink r:id="rId42">
        <w:r>
          <w:rPr>
            <w:rFonts w:ascii="Times New Roman" w:cs="Times New Roman" w:eastAsia="Times New Roman" w:hAnsi="Times New Roman"/>
            <w:sz w:val="17"/>
            <w:szCs w:val="17"/>
            <w:u w:val="single" w:color="auto"/>
            <w:color w:val="0000EE"/>
          </w:rPr>
          <w:t>Form 8-A</w:t>
        </w:r>
        <w:r>
          <w:rPr>
            <w:rFonts w:ascii="Times New Roman" w:cs="Times New Roman" w:eastAsia="Times New Roman" w:hAnsi="Times New Roman"/>
            <w:sz w:val="17"/>
            <w:szCs w:val="17"/>
            <w:u w:val="single" w:color="auto"/>
            <w:color w:val="auto"/>
          </w:rPr>
          <w:t xml:space="preserve"> </w:t>
        </w:r>
      </w:hyperlink>
      <w:r>
        <w:rPr>
          <w:rFonts w:ascii="Times New Roman" w:cs="Times New Roman" w:eastAsia="Times New Roman" w:hAnsi="Times New Roman"/>
          <w:sz w:val="17"/>
          <w:szCs w:val="17"/>
          <w:color w:val="auto"/>
        </w:rPr>
        <w:t xml:space="preserve">(File No. 001-39544) filed with the Commission on October 15, 2021, pursuant to Section 12(b) of the Exchange Act, including any amendment or report filed for the purpose of updating such description, including </w:t>
      </w:r>
      <w:hyperlink r:id="rId43">
        <w:r>
          <w:rPr>
            <w:rFonts w:ascii="Times New Roman" w:cs="Times New Roman" w:eastAsia="Times New Roman" w:hAnsi="Times New Roman"/>
            <w:sz w:val="17"/>
            <w:szCs w:val="17"/>
            <w:u w:val="single" w:color="auto"/>
            <w:color w:val="0000EE"/>
          </w:rPr>
          <w:t>Exhibit 4.9</w:t>
        </w:r>
        <w:r>
          <w:rPr>
            <w:rFonts w:ascii="Times New Roman" w:cs="Times New Roman" w:eastAsia="Times New Roman" w:hAnsi="Times New Roman"/>
            <w:sz w:val="17"/>
            <w:szCs w:val="17"/>
            <w:u w:val="single" w:color="auto"/>
            <w:color w:val="auto"/>
          </w:rPr>
          <w:t xml:space="preserve"> </w:t>
        </w:r>
      </w:hyperlink>
      <w:r>
        <w:rPr>
          <w:rFonts w:ascii="Times New Roman" w:cs="Times New Roman" w:eastAsia="Times New Roman" w:hAnsi="Times New Roman"/>
          <w:sz w:val="17"/>
          <w:szCs w:val="17"/>
          <w:color w:val="auto"/>
        </w:rPr>
        <w:t>of the Annual Report.</w:t>
      </w:r>
    </w:p>
    <w:p>
      <w:pPr>
        <w:spacing w:after="0" w:line="169" w:lineRule="exact"/>
        <w:rPr>
          <w:rFonts w:ascii="Times New Roman" w:cs="Times New Roman" w:eastAsia="Times New Roman" w:hAnsi="Times New Roman"/>
          <w:sz w:val="17"/>
          <w:szCs w:val="17"/>
          <w:color w:val="auto"/>
        </w:rPr>
      </w:pPr>
    </w:p>
    <w:p>
      <w:pPr>
        <w:spacing w:after="0" w:line="261" w:lineRule="auto"/>
        <w:rPr>
          <w:sz w:val="20"/>
          <w:szCs w:val="20"/>
          <w:color w:val="auto"/>
        </w:rPr>
      </w:pPr>
      <w:r>
        <w:rPr>
          <w:rFonts w:ascii="Times New Roman" w:cs="Times New Roman" w:eastAsia="Times New Roman" w:hAnsi="Times New Roman"/>
          <w:sz w:val="17"/>
          <w:szCs w:val="17"/>
          <w:color w:val="auto"/>
        </w:rPr>
        <w:t xml:space="preserve">All documents filed by the Company with the Commission pursuant to Sections 13(a), 13(c), 14 and 15(d) of the Exchange Act on or after the date of this Registration Statement and prior to the filing of a post-effective amendment to this Registration Statement that indicates that all securities offered have been sold or that deregisters all securities then remaining unsold shall be deemed to be incorporated by reference in this Registration Statement and to be part hereof from the date of filing of such documents; </w:t>
      </w:r>
      <w:r>
        <w:rPr>
          <w:rFonts w:ascii="Times New Roman" w:cs="Times New Roman" w:eastAsia="Times New Roman" w:hAnsi="Times New Roman"/>
          <w:sz w:val="17"/>
          <w:szCs w:val="17"/>
          <w:i w:val="1"/>
          <w:iCs w:val="1"/>
          <w:color w:val="auto"/>
        </w:rPr>
        <w:t>provided, however</w:t>
      </w:r>
      <w:r>
        <w:rPr>
          <w:rFonts w:ascii="Times New Roman" w:cs="Times New Roman" w:eastAsia="Times New Roman" w:hAnsi="Times New Roman"/>
          <w:sz w:val="17"/>
          <w:szCs w:val="17"/>
          <w:color w:val="auto"/>
        </w:rPr>
        <w:t>, that documents or information deemed to have been furnished and not filed in accordance with the rules of the Commission (including, without limitation, information furnished under Item 2.02 or Item 7.01 of Current Reports on Form 8-K and the exhibits related to such items furnished under Item 9.01) shall not be deemed incorporated by reference into this Registration Statement.</w:t>
      </w:r>
    </w:p>
    <w:p>
      <w:pPr>
        <w:spacing w:after="0" w:line="382" w:lineRule="exact"/>
        <w:rPr>
          <w:rFonts w:ascii="Times New Roman" w:cs="Times New Roman" w:eastAsia="Times New Roman" w:hAnsi="Times New Roman"/>
          <w:sz w:val="17"/>
          <w:szCs w:val="17"/>
          <w:color w:val="auto"/>
        </w:rPr>
      </w:pPr>
    </w:p>
    <w:p>
      <w:pPr>
        <w:ind w:right="60"/>
        <w:spacing w:after="0" w:line="266" w:lineRule="auto"/>
        <w:rPr>
          <w:sz w:val="20"/>
          <w:szCs w:val="20"/>
          <w:color w:val="auto"/>
        </w:rPr>
      </w:pPr>
      <w:r>
        <w:rPr>
          <w:rFonts w:ascii="Times New Roman" w:cs="Times New Roman" w:eastAsia="Times New Roman" w:hAnsi="Times New Roman"/>
          <w:sz w:val="17"/>
          <w:szCs w:val="17"/>
          <w:color w:val="auto"/>
        </w:rPr>
        <w:t>Any statement contained in this Registration Statement, or in a document incorporated or deemed to be incorporated by reference herein, shall be deemed to be modified or superseded for purposes of this Registration Statement to the extent that a statement contained herein or in any subsequently filed document which also is incorporated or deemed to be incorporated by reference herein modifies or supersedes such statement. Any such statement so modified or superseded shall not be deemed, except as so modified or superseded, to constitute a part of this Registration Statement.</w:t>
      </w:r>
    </w:p>
    <w:p>
      <w:pPr>
        <w:spacing w:after="0" w:line="271" w:lineRule="exact"/>
        <w:rPr>
          <w:rFonts w:ascii="Times New Roman" w:cs="Times New Roman" w:eastAsia="Times New Roman" w:hAnsi="Times New Roman"/>
          <w:sz w:val="17"/>
          <w:szCs w:val="17"/>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6. Indemnification of Directors and Officers.</w:t>
      </w:r>
    </w:p>
    <w:p>
      <w:pPr>
        <w:spacing w:after="0" w:line="117" w:lineRule="exact"/>
        <w:rPr>
          <w:rFonts w:ascii="Times New Roman" w:cs="Times New Roman" w:eastAsia="Times New Roman" w:hAnsi="Times New Roman"/>
          <w:sz w:val="17"/>
          <w:szCs w:val="17"/>
          <w:color w:val="auto"/>
        </w:rPr>
      </w:pPr>
    </w:p>
    <w:p>
      <w:pPr>
        <w:ind w:right="160"/>
        <w:spacing w:after="0" w:line="291" w:lineRule="auto"/>
        <w:rPr>
          <w:sz w:val="20"/>
          <w:szCs w:val="20"/>
          <w:color w:val="auto"/>
        </w:rPr>
      </w:pPr>
      <w:r>
        <w:rPr>
          <w:rFonts w:ascii="Times New Roman" w:cs="Times New Roman" w:eastAsia="Times New Roman" w:hAnsi="Times New Roman"/>
          <w:sz w:val="17"/>
          <w:szCs w:val="17"/>
          <w:color w:val="auto"/>
        </w:rPr>
        <w:t>Section 145 of the Delaware General Corporate Law (“DGCL”) authorizes a corporation’s board of directors to grant, and authorizes a court to award, indemnity to officers, directors and other corporate agents.</w:t>
      </w:r>
    </w:p>
    <w:p>
      <w:pPr>
        <w:spacing w:after="0" w:line="148" w:lineRule="exact"/>
        <w:rPr>
          <w:rFonts w:ascii="Times New Roman" w:cs="Times New Roman" w:eastAsia="Times New Roman" w:hAnsi="Times New Roman"/>
          <w:sz w:val="17"/>
          <w:szCs w:val="17"/>
          <w:color w:val="auto"/>
        </w:rPr>
      </w:pPr>
    </w:p>
    <w:p>
      <w:pPr>
        <w:jc w:val="both"/>
        <w:ind w:right="200"/>
        <w:spacing w:after="0" w:line="273" w:lineRule="auto"/>
        <w:rPr>
          <w:sz w:val="20"/>
          <w:szCs w:val="20"/>
          <w:color w:val="auto"/>
        </w:rPr>
      </w:pPr>
      <w:r>
        <w:rPr>
          <w:rFonts w:ascii="Times New Roman" w:cs="Times New Roman" w:eastAsia="Times New Roman" w:hAnsi="Times New Roman"/>
          <w:sz w:val="17"/>
          <w:szCs w:val="17"/>
          <w:color w:val="auto"/>
        </w:rPr>
        <w:t>The Company’s Certificate of Incorporation contains provisions that limit the liability of the Company’s directors for monetary damages to the fullest extent permitted by the DGCL. Consequently, the Company’s directors will not be personally liable to the Company or its stockholders for monetary damages for any breach of fiduciary duties as directors, except liability for the following:</w:t>
      </w:r>
    </w:p>
    <w:p>
      <w:pPr>
        <w:spacing w:after="0" w:line="71" w:lineRule="exact"/>
        <w:rPr>
          <w:rFonts w:ascii="Times New Roman" w:cs="Times New Roman" w:eastAsia="Times New Roman" w:hAnsi="Times New Roman"/>
          <w:sz w:val="17"/>
          <w:szCs w:val="17"/>
          <w:color w:val="auto"/>
        </w:rPr>
      </w:pPr>
    </w:p>
    <w:p>
      <w:pPr>
        <w:ind w:left="5240" w:right="4740" w:hanging="4722"/>
        <w:spacing w:after="0" w:line="466" w:lineRule="auto"/>
        <w:tabs>
          <w:tab w:leader="none" w:pos="932"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breach of their duty of loyalty to the Company or its stockholders; 2</w:t>
      </w:r>
    </w:p>
    <w:p>
      <w:pPr>
        <w:sectPr>
          <w:pgSz w:w="11900" w:h="16838" w:orient="portrait"/>
          <w:cols w:equalWidth="0" w:num="1">
            <w:col w:w="10540"/>
          </w:cols>
          <w:pgMar w:left="660" w:top="262" w:right="699" w:bottom="1440" w:gutter="0" w:footer="0" w:header="0"/>
        </w:sectPr>
      </w:pPr>
    </w:p>
    <w:bookmarkStart w:id="2" w:name="page3"/>
    <w:bookmarkEnd w:id="2"/>
    <w:p>
      <w:pPr>
        <w:ind w:left="940" w:hanging="422"/>
        <w:spacing w:after="0"/>
        <w:tabs>
          <w:tab w:leader="none" w:pos="94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374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44">
                      <a:extLst>
                        <a:ext uri="{28A0092B-C50C-407E-A947-70E740481C1C}"/>
                      </a:extLst>
                    </a:blip>
                    <a:srcRect/>
                    <a:stretch>
                      <a:fillRect/>
                    </a:stretch>
                  </pic:blipFill>
                  <pic:spPr bwMode="auto">
                    <a:xfrm>
                      <a:off x="0" y="0"/>
                      <a:ext cx="7179945" cy="37465"/>
                    </a:xfrm>
                    <a:prstGeom prst="rect">
                      <a:avLst/>
                    </a:prstGeom>
                    <a:noFill/>
                  </pic:spPr>
                </pic:pic>
              </a:graphicData>
            </a:graphic>
          </wp:anchor>
        </w:drawing>
        <w:t>any act or omission not in good faith or that involves intentional misconduct or a knowing violation of law;</w:t>
      </w:r>
    </w:p>
    <w:p>
      <w:pPr>
        <w:spacing w:after="0" w:line="128" w:lineRule="exact"/>
        <w:rPr>
          <w:rFonts w:ascii="Times New Roman" w:cs="Times New Roman" w:eastAsia="Times New Roman" w:hAnsi="Times New Roman"/>
          <w:sz w:val="17"/>
          <w:szCs w:val="17"/>
          <w:color w:val="auto"/>
        </w:rPr>
      </w:pPr>
    </w:p>
    <w:p>
      <w:pPr>
        <w:ind w:left="940" w:hanging="422"/>
        <w:spacing w:after="0"/>
        <w:tabs>
          <w:tab w:leader="none" w:pos="94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unlawful payments of dividends or unlawful stock repurchases or redemptions as provided in Section 174 of the DGCL; or</w:t>
      </w:r>
    </w:p>
    <w:p>
      <w:pPr>
        <w:spacing w:after="0" w:line="128" w:lineRule="exact"/>
        <w:rPr>
          <w:rFonts w:ascii="Times New Roman" w:cs="Times New Roman" w:eastAsia="Times New Roman" w:hAnsi="Times New Roman"/>
          <w:sz w:val="17"/>
          <w:szCs w:val="17"/>
          <w:color w:val="auto"/>
        </w:rPr>
      </w:pPr>
    </w:p>
    <w:p>
      <w:pPr>
        <w:ind w:left="940" w:hanging="422"/>
        <w:spacing w:after="0"/>
        <w:tabs>
          <w:tab w:leader="none" w:pos="94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transaction from which they derived an improper personal benefit.</w:t>
      </w:r>
    </w:p>
    <w:p>
      <w:pPr>
        <w:spacing w:after="0" w:line="219"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7"/>
          <w:szCs w:val="17"/>
          <w:color w:val="auto"/>
        </w:rPr>
        <w:t>Any amendment, repeal or elimination of these provisions will not eliminate or reduce the effect of these provisions in respect of any act, omission or claim that occurred or arose prior to that amendment, repeal or elimination. If the DGCL is amended to provide for further limitations on the personal liability of directors of corporations, then the personal liability of the Company’s directors will be further limited to the greatest extent permitted by the DGCL.</w:t>
      </w:r>
    </w:p>
    <w:p>
      <w:pPr>
        <w:spacing w:after="0" w:line="16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7"/>
          <w:szCs w:val="17"/>
          <w:color w:val="auto"/>
        </w:rPr>
        <w:t>In addition, the Company’s Amended and Restated Bylaws (“By-Laws”) provide that the Company will indemnify its directors and officers, and may indemnify its employees, agents and any other persons, to the fullest extent permitted by the DGCL. The Company’s By-Laws also provide that the Company must advance expenses incurred by or on behalf of a director or officer in advance of the final disposition of any action or proceeding, subject to limited exceptions.</w:t>
      </w:r>
    </w:p>
    <w:p>
      <w:pPr>
        <w:spacing w:after="0" w:line="16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7"/>
          <w:szCs w:val="17"/>
          <w:color w:val="auto"/>
        </w:rPr>
        <w:t>Further, the Company has entered into or will enter into indemnification agreements with each of its directors and executive officers that may be broader than the specific indemnification provisions contained in the DGCL. These indemnification agreements require the Company, among other things, to indemnify its directors and executive officers against liabilities that may arise by reason of their status or service. These indemnification agreements also require the Company to advance all expenses reasonably and actually incurred by the directors and executive officers in investigating or defending any such action, suit or proceeding. The Company believes that these agreements are necessary to attract and retain qualified individuals to serve as directors and executive officers.</w:t>
      </w:r>
    </w:p>
    <w:p>
      <w:pPr>
        <w:spacing w:after="0" w:line="175"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7"/>
          <w:szCs w:val="17"/>
          <w:color w:val="auto"/>
        </w:rPr>
        <w:t>The limitation of liability and indemnification provisions included in the Company’s Certificate of Incorporation, By-Laws and the indemnification agreements that the Company has entered into or will enter into with its directors and executive officers may discourage stockholders from bringing a lawsuit against the Company’s directors and executive officers for breach of their fiduciary duties. They may also reduce the likelihood of derivative litigation against the Company’s directors and executive officers, even though an action, if successful, might benefit the Company and its stockholders. Further, a stockholder’s investment may be adversely affected to the extent that the Company pays the costs of settlement and damage awards against directors and executive officers as required by these indemnification provisions.</w:t>
      </w:r>
    </w:p>
    <w:p>
      <w:pPr>
        <w:spacing w:after="0" w:line="175"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7"/>
          <w:szCs w:val="17"/>
          <w:color w:val="auto"/>
        </w:rPr>
        <w:t>The Company has obtained insurance policies under which, subject to the limitations of the policies, coverage is provided to the Company’s directors and executive officers against loss arising from claims made by reason of breach of fiduciary duty or other wrongful acts as a director or executive officer, including claims relating to public securities matters, and to the Company with respect to payments that may be made by the Company to these directors and executive officers pursuant to the Company’s indemnification obligations or otherwise as a matter of law.</w:t>
      </w:r>
    </w:p>
    <w:p>
      <w:pPr>
        <w:spacing w:after="0" w:line="169" w:lineRule="exact"/>
        <w:rPr>
          <w:sz w:val="20"/>
          <w:szCs w:val="20"/>
          <w:color w:val="auto"/>
        </w:rPr>
      </w:pPr>
    </w:p>
    <w:p>
      <w:pPr>
        <w:ind w:right="180"/>
        <w:spacing w:after="0" w:line="291" w:lineRule="auto"/>
        <w:rPr>
          <w:sz w:val="20"/>
          <w:szCs w:val="20"/>
          <w:color w:val="auto"/>
        </w:rPr>
      </w:pPr>
      <w:r>
        <w:rPr>
          <w:rFonts w:ascii="Times New Roman" w:cs="Times New Roman" w:eastAsia="Times New Roman" w:hAnsi="Times New Roman"/>
          <w:sz w:val="17"/>
          <w:szCs w:val="17"/>
          <w:color w:val="auto"/>
        </w:rPr>
        <w:t>Certain of the Company’s non-employee directors may, through their relationships with their employers, be insured and/or indemnified against certain liabilities incurred in their capacity as members of the board of directors.</w:t>
      </w:r>
    </w:p>
    <w:p>
      <w:pPr>
        <w:spacing w:after="0" w:line="148" w:lineRule="exact"/>
        <w:rPr>
          <w:sz w:val="20"/>
          <w:szCs w:val="20"/>
          <w:color w:val="auto"/>
        </w:rPr>
      </w:pPr>
    </w:p>
    <w:p>
      <w:pPr>
        <w:jc w:val="both"/>
        <w:ind w:right="320"/>
        <w:spacing w:after="0" w:line="273" w:lineRule="auto"/>
        <w:rPr>
          <w:sz w:val="20"/>
          <w:szCs w:val="20"/>
          <w:color w:val="auto"/>
        </w:rPr>
      </w:pPr>
      <w:r>
        <w:rPr>
          <w:rFonts w:ascii="Times New Roman" w:cs="Times New Roman" w:eastAsia="Times New Roman" w:hAnsi="Times New Roman"/>
          <w:sz w:val="17"/>
          <w:szCs w:val="17"/>
          <w:color w:val="auto"/>
        </w:rPr>
        <w:t>Insofar as indemnification for liabilities arising under the Securities Act may be permitted to directors, officers, or persons controlling the Company pursuant to the foregoing provisions, the Company has been informed that, in the opinion of the Commission, such indemnification is against public policy as expressed in the Securities Act and is therefore unenforceable.</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8. Exhibits.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720" w:type="dxa"/>
            <w:vAlign w:val="bottom"/>
          </w:tcPr>
          <w:p>
            <w:pPr>
              <w:ind w:left="3780"/>
              <w:spacing w:after="0"/>
              <w:rPr>
                <w:sz w:val="20"/>
                <w:szCs w:val="20"/>
                <w:color w:val="auto"/>
              </w:rPr>
            </w:pPr>
            <w:r>
              <w:rPr>
                <w:rFonts w:ascii="Times New Roman" w:cs="Times New Roman" w:eastAsia="Times New Roman" w:hAnsi="Times New Roman"/>
                <w:sz w:val="17"/>
                <w:szCs w:val="17"/>
                <w:b w:val="1"/>
                <w:bCs w:val="1"/>
                <w:color w:val="auto"/>
              </w:rPr>
              <w:t>EXHIBIT INDEX</w:t>
            </w:r>
          </w:p>
        </w:tc>
        <w:tc>
          <w:tcPr>
            <w:tcW w:w="0" w:type="dxa"/>
            <w:vAlign w:val="bottom"/>
          </w:tcPr>
          <w:p>
            <w:pPr>
              <w:spacing w:after="0"/>
              <w:rPr>
                <w:sz w:val="1"/>
                <w:szCs w:val="1"/>
                <w:color w:val="auto"/>
              </w:rPr>
            </w:pPr>
          </w:p>
        </w:tc>
      </w:tr>
      <w:tr>
        <w:trPr>
          <w:trHeight w:val="351"/>
        </w:trPr>
        <w:tc>
          <w:tcPr>
            <w:tcW w:w="4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94"/>
              </w:rPr>
              <w:t>Exhibit</w:t>
            </w:r>
          </w:p>
        </w:tc>
        <w:tc>
          <w:tcPr>
            <w:tcW w:w="400" w:type="dxa"/>
            <w:vAlign w:val="bottom"/>
          </w:tcPr>
          <w:p>
            <w:pPr>
              <w:spacing w:after="0"/>
              <w:rPr>
                <w:sz w:val="24"/>
                <w:szCs w:val="24"/>
                <w:color w:val="auto"/>
              </w:rPr>
            </w:pPr>
          </w:p>
        </w:tc>
        <w:tc>
          <w:tcPr>
            <w:tcW w:w="9720" w:type="dxa"/>
            <w:vAlign w:val="bottom"/>
            <w:vMerge w:val="restart"/>
          </w:tcPr>
          <w:p>
            <w:pPr>
              <w:ind w:left="45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No.</w:t>
            </w:r>
          </w:p>
        </w:tc>
        <w:tc>
          <w:tcPr>
            <w:tcW w:w="400" w:type="dxa"/>
            <w:vAlign w:val="bottom"/>
          </w:tcPr>
          <w:p>
            <w:pPr>
              <w:spacing w:after="0"/>
              <w:rPr>
                <w:sz w:val="15"/>
                <w:szCs w:val="15"/>
                <w:color w:val="auto"/>
              </w:rPr>
            </w:pPr>
          </w:p>
        </w:tc>
        <w:tc>
          <w:tcPr>
            <w:tcW w:w="97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840" w:right="300" w:hanging="840"/>
        <w:spacing w:after="0" w:line="291" w:lineRule="auto"/>
        <w:tabs>
          <w:tab w:leader="none" w:pos="85" w:val="left"/>
        </w:tabs>
        <w:numPr>
          <w:ilvl w:val="0"/>
          <w:numId w:val="4"/>
        </w:numPr>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7"/>
          <w:szCs w:val="17"/>
          <w:color w:val="auto"/>
        </w:rPr>
        <w:t>3.1</w:t>
      </w:r>
      <w:hyperlink r:id="rId45">
        <w:r>
          <w:rPr>
            <w:rFonts w:ascii="Times New Roman" w:cs="Times New Roman" w:eastAsia="Times New Roman" w:hAnsi="Times New Roman"/>
            <w:sz w:val="17"/>
            <w:szCs w:val="17"/>
            <w:u w:val="single" w:color="auto"/>
            <w:color w:val="0000EE"/>
          </w:rPr>
          <w:t>Amended and Restated Certificate of Incorporation of Bakkt Holdings, Inc. (incorporated by reference to Exhibit 3.1 to Bakkt Holdings,</w:t>
        </w:r>
      </w:hyperlink>
      <w:r>
        <w:rPr>
          <w:rFonts w:ascii="Times New Roman" w:cs="Times New Roman" w:eastAsia="Times New Roman" w:hAnsi="Times New Roman"/>
          <w:sz w:val="17"/>
          <w:szCs w:val="17"/>
          <w:u w:val="single" w:color="auto"/>
          <w:color w:val="0000EE"/>
        </w:rPr>
        <w:t xml:space="preserve"> </w:t>
      </w:r>
      <w:hyperlink r:id="rId45">
        <w:r>
          <w:rPr>
            <w:rFonts w:ascii="Times New Roman" w:cs="Times New Roman" w:eastAsia="Times New Roman" w:hAnsi="Times New Roman"/>
            <w:sz w:val="17"/>
            <w:szCs w:val="17"/>
            <w:u w:val="single" w:color="auto"/>
            <w:color w:val="0000EE"/>
          </w:rPr>
          <w:t>Inc.’s Current Report on Form 8-K (File No. 001-39544) filed with the SEC on November 3, 2025).</w:t>
        </w:r>
      </w:hyperlink>
    </w:p>
    <w:p>
      <w:pPr>
        <w:spacing w:after="0" w:line="43" w:lineRule="exact"/>
        <w:rPr>
          <w:rFonts w:ascii="Times New Roman" w:cs="Times New Roman" w:eastAsia="Times New Roman" w:hAnsi="Times New Roman"/>
          <w:sz w:val="17"/>
          <w:szCs w:val="17"/>
          <w:u w:val="single" w:color="auto"/>
          <w:color w:val="0000EE"/>
        </w:rPr>
      </w:pPr>
    </w:p>
    <w:p>
      <w:pPr>
        <w:ind w:left="840" w:right="60" w:hanging="840"/>
        <w:spacing w:after="0" w:line="291" w:lineRule="auto"/>
        <w:tabs>
          <w:tab w:leader="none" w:pos="85" w:val="left"/>
        </w:tabs>
        <w:numPr>
          <w:ilvl w:val="0"/>
          <w:numId w:val="4"/>
        </w:numPr>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7"/>
          <w:szCs w:val="17"/>
          <w:color w:val="auto"/>
        </w:rPr>
        <w:t>3.2</w:t>
      </w:r>
      <w:hyperlink r:id="rId46">
        <w:r>
          <w:rPr>
            <w:rFonts w:ascii="Times New Roman" w:cs="Times New Roman" w:eastAsia="Times New Roman" w:hAnsi="Times New Roman"/>
            <w:sz w:val="17"/>
            <w:szCs w:val="17"/>
            <w:u w:val="single" w:color="auto"/>
            <w:color w:val="0000EE"/>
          </w:rPr>
          <w:t>Amended and Restated By-Laws of Bakkt Holdings, Inc. (incorporated by reference to Exhibit 3.2 to Bakkt Holdings, Inc.’s Current Report</w:t>
        </w:r>
      </w:hyperlink>
      <w:r>
        <w:rPr>
          <w:rFonts w:ascii="Times New Roman" w:cs="Times New Roman" w:eastAsia="Times New Roman" w:hAnsi="Times New Roman"/>
          <w:sz w:val="17"/>
          <w:szCs w:val="17"/>
          <w:u w:val="single" w:color="auto"/>
          <w:color w:val="0000EE"/>
        </w:rPr>
        <w:t xml:space="preserve"> </w:t>
      </w:r>
      <w:hyperlink r:id="rId46">
        <w:r>
          <w:rPr>
            <w:rFonts w:ascii="Times New Roman" w:cs="Times New Roman" w:eastAsia="Times New Roman" w:hAnsi="Times New Roman"/>
            <w:sz w:val="17"/>
            <w:szCs w:val="17"/>
            <w:u w:val="single" w:color="auto"/>
            <w:color w:val="0000EE"/>
          </w:rPr>
          <w:t>on Form 8-K (File No. 001-39544) filed with the SEC on November 3, 2025).</w:t>
        </w:r>
      </w:hyperlink>
    </w:p>
    <w:p>
      <w:pPr>
        <w:spacing w:after="0" w:line="35" w:lineRule="exact"/>
        <w:rPr>
          <w:rFonts w:ascii="Times New Roman" w:cs="Times New Roman" w:eastAsia="Times New Roman" w:hAnsi="Times New Roman"/>
          <w:sz w:val="17"/>
          <w:szCs w:val="17"/>
          <w:color w:val="auto"/>
        </w:rPr>
      </w:pPr>
    </w:p>
    <w:tbl>
      <w:tblPr>
        <w:tblLayout w:type="fixed"/>
        <w:tblInd w:w="0" w:type="dxa"/>
        <w:tblCellMar>
          <w:top w:w="0" w:type="dxa"/>
          <w:left w:w="0" w:type="dxa"/>
          <w:bottom w:w="0" w:type="dxa"/>
          <w:right w:w="0" w:type="dxa"/>
        </w:tblCellMar>
      </w:tblPr>
      <w:tr>
        <w:trPr>
          <w:trHeight w:val="195"/>
        </w:trPr>
        <w:tc>
          <w:tcPr>
            <w:tcW w:w="840" w:type="dxa"/>
            <w:vAlign w:val="bottom"/>
          </w:tcPr>
          <w:p>
            <w:pPr>
              <w:spacing w:after="0"/>
              <w:rPr>
                <w:sz w:val="20"/>
                <w:szCs w:val="20"/>
                <w:color w:val="auto"/>
              </w:rPr>
            </w:pPr>
            <w:r>
              <w:rPr>
                <w:rFonts w:ascii="Times New Roman" w:cs="Times New Roman" w:eastAsia="Times New Roman" w:hAnsi="Times New Roman"/>
                <w:sz w:val="17"/>
                <w:szCs w:val="17"/>
                <w:color w:val="auto"/>
              </w:rPr>
              <w:t>  4.1</w:t>
            </w:r>
          </w:p>
        </w:tc>
        <w:tc>
          <w:tcPr>
            <w:tcW w:w="9520" w:type="dxa"/>
            <w:vAlign w:val="bottom"/>
            <w:tcBorders>
              <w:bottom w:val="single" w:sz="8" w:color="0000EE"/>
            </w:tcBorders>
            <w:gridSpan w:val="2"/>
          </w:tcPr>
          <w:p>
            <w:pPr>
              <w:spacing w:after="0"/>
              <w:rPr>
                <w:rFonts w:ascii="Times New Roman" w:cs="Times New Roman" w:eastAsia="Times New Roman" w:hAnsi="Times New Roman"/>
                <w:sz w:val="17"/>
                <w:szCs w:val="17"/>
                <w:color w:val="0000EE"/>
              </w:rPr>
            </w:pPr>
            <w:hyperlink r:id="rId47">
              <w:r>
                <w:rPr>
                  <w:rFonts w:ascii="Times New Roman" w:cs="Times New Roman" w:eastAsia="Times New Roman" w:hAnsi="Times New Roman"/>
                  <w:sz w:val="17"/>
                  <w:szCs w:val="17"/>
                  <w:color w:val="0000EE"/>
                </w:rPr>
                <w:t>Specimen Class A Common Stock Certificate of the Company (incorporated by reference to Exhibit 4.1 to the Company’s Form 8-K filed</w:t>
              </w:r>
            </w:hyperlink>
          </w:p>
        </w:tc>
      </w:tr>
      <w:tr>
        <w:trPr>
          <w:trHeight w:val="187"/>
        </w:trPr>
        <w:tc>
          <w:tcPr>
            <w:tcW w:w="840" w:type="dxa"/>
            <w:vAlign w:val="bottom"/>
          </w:tcPr>
          <w:p>
            <w:pPr>
              <w:spacing w:after="0"/>
              <w:rPr>
                <w:sz w:val="16"/>
                <w:szCs w:val="16"/>
                <w:color w:val="auto"/>
              </w:rPr>
            </w:pPr>
          </w:p>
        </w:tc>
        <w:tc>
          <w:tcPr>
            <w:tcW w:w="9520" w:type="dxa"/>
            <w:vAlign w:val="bottom"/>
            <w:gridSpan w:val="2"/>
          </w:tcPr>
          <w:p>
            <w:pPr>
              <w:spacing w:after="0" w:line="187" w:lineRule="exact"/>
              <w:rPr>
                <w:rFonts w:ascii="Times New Roman" w:cs="Times New Roman" w:eastAsia="Times New Roman" w:hAnsi="Times New Roman"/>
                <w:sz w:val="17"/>
                <w:szCs w:val="17"/>
                <w:color w:val="0000EE"/>
              </w:rPr>
            </w:pPr>
            <w:hyperlink r:id="rId47">
              <w:r>
                <w:rPr>
                  <w:rFonts w:ascii="Times New Roman" w:cs="Times New Roman" w:eastAsia="Times New Roman" w:hAnsi="Times New Roman"/>
                  <w:sz w:val="17"/>
                  <w:szCs w:val="17"/>
                  <w:color w:val="0000EE"/>
                </w:rPr>
                <w:t>with the Commission on October 21, 2021).</w:t>
              </w:r>
            </w:hyperlink>
          </w:p>
        </w:tc>
      </w:tr>
      <w:tr>
        <w:trPr>
          <w:trHeight w:val="20"/>
        </w:trPr>
        <w:tc>
          <w:tcPr>
            <w:tcW w:w="840" w:type="dxa"/>
            <w:vAlign w:val="bottom"/>
          </w:tcPr>
          <w:p>
            <w:pPr>
              <w:spacing w:after="0" w:line="20" w:lineRule="exact"/>
              <w:rPr>
                <w:sz w:val="1"/>
                <w:szCs w:val="1"/>
                <w:color w:val="auto"/>
              </w:rPr>
            </w:pPr>
          </w:p>
        </w:tc>
        <w:tc>
          <w:tcPr>
            <w:tcW w:w="3040" w:type="dxa"/>
            <w:vAlign w:val="bottom"/>
            <w:shd w:val="clear" w:color="auto" w:fill="0000EE"/>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r>
    </w:tbl>
    <w:p>
      <w:pPr>
        <w:spacing w:after="0" w:line="111" w:lineRule="exact"/>
        <w:rPr>
          <w:sz w:val="20"/>
          <w:szCs w:val="20"/>
          <w:color w:val="auto"/>
        </w:rPr>
      </w:pPr>
    </w:p>
    <w:p>
      <w:pPr>
        <w:ind w:left="840" w:right="200" w:hanging="840"/>
        <w:spacing w:after="0" w:line="291" w:lineRule="auto"/>
        <w:tabs>
          <w:tab w:leader="none" w:pos="85" w:val="left"/>
        </w:tabs>
        <w:numPr>
          <w:ilvl w:val="0"/>
          <w:numId w:val="5"/>
        </w:numPr>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7"/>
          <w:szCs w:val="17"/>
          <w:color w:val="auto"/>
        </w:rPr>
        <w:t>4.2</w:t>
      </w:r>
      <w:hyperlink r:id="rId48">
        <w:r>
          <w:rPr>
            <w:rFonts w:ascii="Times New Roman" w:cs="Times New Roman" w:eastAsia="Times New Roman" w:hAnsi="Times New Roman"/>
            <w:sz w:val="17"/>
            <w:szCs w:val="17"/>
            <w:u w:val="single" w:color="auto"/>
            <w:color w:val="0000EE"/>
          </w:rPr>
          <w:t>Form of Option Award Agreement (incorporated by reference to Exhibit 10.1 to Bakkt Holdings, Inc.’s Current Report on Form 8-K (File</w:t>
        </w:r>
      </w:hyperlink>
      <w:r>
        <w:rPr>
          <w:rFonts w:ascii="Times New Roman" w:cs="Times New Roman" w:eastAsia="Times New Roman" w:hAnsi="Times New Roman"/>
          <w:sz w:val="17"/>
          <w:szCs w:val="17"/>
          <w:u w:val="single" w:color="auto"/>
          <w:color w:val="0000EE"/>
        </w:rPr>
        <w:t xml:space="preserve"> </w:t>
      </w:r>
      <w:hyperlink r:id="rId48">
        <w:r>
          <w:rPr>
            <w:rFonts w:ascii="Times New Roman" w:cs="Times New Roman" w:eastAsia="Times New Roman" w:hAnsi="Times New Roman"/>
            <w:sz w:val="17"/>
            <w:szCs w:val="17"/>
            <w:u w:val="single" w:color="auto"/>
            <w:color w:val="0000EE"/>
          </w:rPr>
          <w:t>No. 001-39544) filed with the Commission on November 3, 2025).</w:t>
        </w:r>
      </w:hyperlink>
    </w:p>
    <w:p>
      <w:pPr>
        <w:spacing w:after="0" w:line="43" w:lineRule="exact"/>
        <w:rPr>
          <w:rFonts w:ascii="Times New Roman" w:cs="Times New Roman" w:eastAsia="Times New Roman" w:hAnsi="Times New Roman"/>
          <w:sz w:val="17"/>
          <w:szCs w:val="17"/>
          <w:u w:val="single" w:color="auto"/>
          <w:color w:val="0000EE"/>
        </w:rPr>
      </w:pPr>
    </w:p>
    <w:p>
      <w:pPr>
        <w:ind w:left="80" w:hanging="80"/>
        <w:spacing w:after="0"/>
        <w:tabs>
          <w:tab w:leader="none" w:pos="80"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5.1*</w:t>
      </w:r>
      <w:r>
        <w:rPr>
          <w:rFonts w:ascii="Times New Roman" w:cs="Times New Roman" w:eastAsia="Times New Roman" w:hAnsi="Times New Roman"/>
          <w:sz w:val="17"/>
          <w:szCs w:val="17"/>
          <w:u w:val="single" w:color="auto"/>
          <w:color w:val="0000EE"/>
        </w:rPr>
        <w:t>Opinion of Sullivan &amp; Cromwell LLP.</w:t>
      </w:r>
    </w:p>
    <w:p>
      <w:pPr>
        <w:spacing w:after="0" w:line="115" w:lineRule="exact"/>
        <w:rPr>
          <w:rFonts w:ascii="Times New Roman" w:cs="Times New Roman" w:eastAsia="Times New Roman" w:hAnsi="Times New Roman"/>
          <w:sz w:val="17"/>
          <w:szCs w:val="17"/>
          <w:color w:val="auto"/>
        </w:rPr>
      </w:pPr>
    </w:p>
    <w:p>
      <w:pPr>
        <w:spacing w:after="0"/>
        <w:tabs>
          <w:tab w:leader="none" w:pos="820" w:val="left"/>
        </w:tabs>
        <w:rPr>
          <w:sz w:val="20"/>
          <w:szCs w:val="20"/>
          <w:color w:val="auto"/>
        </w:rPr>
      </w:pPr>
      <w:r>
        <w:rPr>
          <w:rFonts w:ascii="Times New Roman" w:cs="Times New Roman" w:eastAsia="Times New Roman" w:hAnsi="Times New Roman"/>
          <w:sz w:val="17"/>
          <w:szCs w:val="17"/>
          <w:color w:val="auto"/>
        </w:rPr>
        <w:t>23.1*</w:t>
      </w:r>
      <w:r>
        <w:rPr>
          <w:sz w:val="20"/>
          <w:szCs w:val="20"/>
          <w:color w:val="auto"/>
        </w:rPr>
        <w:tab/>
      </w:r>
      <w:r>
        <w:rPr>
          <w:rFonts w:ascii="Times New Roman" w:cs="Times New Roman" w:eastAsia="Times New Roman" w:hAnsi="Times New Roman"/>
          <w:sz w:val="17"/>
          <w:szCs w:val="17"/>
          <w:u w:val="single" w:color="auto"/>
          <w:color w:val="0000EE"/>
        </w:rPr>
        <w:t>Consent of Ernst &amp; Young LLP, independent registered public accounting firm of the Company.</w:t>
      </w:r>
    </w:p>
    <w:p>
      <w:pPr>
        <w:spacing w:after="0" w:line="115" w:lineRule="exact"/>
        <w:rPr>
          <w:rFonts w:ascii="Times New Roman" w:cs="Times New Roman" w:eastAsia="Times New Roman" w:hAnsi="Times New Roman"/>
          <w:sz w:val="17"/>
          <w:szCs w:val="17"/>
          <w:color w:val="auto"/>
        </w:rPr>
      </w:pPr>
    </w:p>
    <w:p>
      <w:pPr>
        <w:spacing w:after="0"/>
        <w:tabs>
          <w:tab w:leader="none" w:pos="820" w:val="left"/>
        </w:tabs>
        <w:rPr>
          <w:sz w:val="20"/>
          <w:szCs w:val="20"/>
          <w:color w:val="auto"/>
        </w:rPr>
      </w:pPr>
      <w:r>
        <w:rPr>
          <w:rFonts w:ascii="Times New Roman" w:cs="Times New Roman" w:eastAsia="Times New Roman" w:hAnsi="Times New Roman"/>
          <w:sz w:val="17"/>
          <w:szCs w:val="17"/>
          <w:color w:val="auto"/>
        </w:rPr>
        <w:t>23.2*</w:t>
      </w:r>
      <w:r>
        <w:rPr>
          <w:sz w:val="20"/>
          <w:szCs w:val="20"/>
          <w:color w:val="auto"/>
        </w:rPr>
        <w:tab/>
      </w:r>
      <w:r>
        <w:rPr>
          <w:rFonts w:ascii="Times New Roman" w:cs="Times New Roman" w:eastAsia="Times New Roman" w:hAnsi="Times New Roman"/>
          <w:sz w:val="17"/>
          <w:szCs w:val="17"/>
          <w:u w:val="single" w:color="auto"/>
          <w:color w:val="0000EE"/>
        </w:rPr>
        <w:t>Consent of KPMG LLP, independent registered public accounting firm of the Company.</w:t>
      </w:r>
    </w:p>
    <w:p>
      <w:pPr>
        <w:spacing w:after="0" w:line="115" w:lineRule="exact"/>
        <w:rPr>
          <w:rFonts w:ascii="Times New Roman" w:cs="Times New Roman" w:eastAsia="Times New Roman" w:hAnsi="Times New Roman"/>
          <w:sz w:val="17"/>
          <w:szCs w:val="17"/>
          <w:color w:val="auto"/>
        </w:rPr>
      </w:pPr>
    </w:p>
    <w:p>
      <w:pPr>
        <w:spacing w:after="0"/>
        <w:tabs>
          <w:tab w:leader="none" w:pos="820" w:val="left"/>
        </w:tabs>
        <w:rPr>
          <w:sz w:val="20"/>
          <w:szCs w:val="20"/>
          <w:color w:val="auto"/>
        </w:rPr>
      </w:pPr>
      <w:r>
        <w:rPr>
          <w:rFonts w:ascii="Times New Roman" w:cs="Times New Roman" w:eastAsia="Times New Roman" w:hAnsi="Times New Roman"/>
          <w:sz w:val="17"/>
          <w:szCs w:val="17"/>
          <w:color w:val="auto"/>
        </w:rPr>
        <w:t>23.3*</w:t>
      </w:r>
      <w:r>
        <w:rPr>
          <w:sz w:val="20"/>
          <w:szCs w:val="20"/>
          <w:color w:val="auto"/>
        </w:rPr>
        <w:tab/>
      </w:r>
      <w:r>
        <w:rPr>
          <w:rFonts w:ascii="Times New Roman" w:cs="Times New Roman" w:eastAsia="Times New Roman" w:hAnsi="Times New Roman"/>
          <w:sz w:val="17"/>
          <w:szCs w:val="17"/>
          <w:u w:val="single" w:color="auto"/>
          <w:color w:val="0000EE"/>
        </w:rPr>
        <w:t>Consent of Sullivan &amp; Cromwell LLP (included in Exhibit 5.1).</w:t>
      </w:r>
    </w:p>
    <w:p>
      <w:pPr>
        <w:spacing w:after="0" w:line="115" w:lineRule="exact"/>
        <w:rPr>
          <w:rFonts w:ascii="Times New Roman" w:cs="Times New Roman" w:eastAsia="Times New Roman" w:hAnsi="Times New Roman"/>
          <w:sz w:val="17"/>
          <w:szCs w:val="17"/>
          <w:color w:val="auto"/>
        </w:rPr>
      </w:pPr>
    </w:p>
    <w:p>
      <w:pPr>
        <w:spacing w:after="0"/>
        <w:tabs>
          <w:tab w:leader="none" w:pos="820" w:val="left"/>
        </w:tabs>
        <w:rPr>
          <w:sz w:val="20"/>
          <w:szCs w:val="20"/>
          <w:color w:val="auto"/>
        </w:rPr>
      </w:pPr>
      <w:r>
        <w:rPr>
          <w:rFonts w:ascii="Times New Roman" w:cs="Times New Roman" w:eastAsia="Times New Roman" w:hAnsi="Times New Roman"/>
          <w:sz w:val="17"/>
          <w:szCs w:val="17"/>
          <w:color w:val="auto"/>
        </w:rPr>
        <w:t>24.1*</w:t>
      </w:r>
      <w:r>
        <w:rPr>
          <w:sz w:val="20"/>
          <w:szCs w:val="20"/>
          <w:color w:val="auto"/>
        </w:rPr>
        <w:tab/>
      </w:r>
      <w:r>
        <w:rPr>
          <w:rFonts w:ascii="Times New Roman" w:cs="Times New Roman" w:eastAsia="Times New Roman" w:hAnsi="Times New Roman"/>
          <w:sz w:val="17"/>
          <w:szCs w:val="17"/>
          <w:u w:val="single" w:color="auto"/>
          <w:color w:val="0000EE"/>
        </w:rPr>
        <w:t>Power of Attorney (included on signature page).</w:t>
      </w:r>
    </w:p>
    <w:p>
      <w:pPr>
        <w:spacing w:after="0" w:line="115" w:lineRule="exact"/>
        <w:rPr>
          <w:rFonts w:ascii="Times New Roman" w:cs="Times New Roman" w:eastAsia="Times New Roman" w:hAnsi="Times New Roman"/>
          <w:sz w:val="17"/>
          <w:szCs w:val="17"/>
          <w:color w:val="auto"/>
        </w:rPr>
      </w:pPr>
    </w:p>
    <w:p>
      <w:pPr>
        <w:spacing w:after="0"/>
        <w:tabs>
          <w:tab w:leader="none" w:pos="820" w:val="left"/>
        </w:tabs>
        <w:rPr>
          <w:sz w:val="20"/>
          <w:szCs w:val="20"/>
          <w:color w:val="auto"/>
        </w:rPr>
      </w:pPr>
      <w:r>
        <w:rPr>
          <w:rFonts w:ascii="Times New Roman" w:cs="Times New Roman" w:eastAsia="Times New Roman" w:hAnsi="Times New Roman"/>
          <w:sz w:val="17"/>
          <w:szCs w:val="17"/>
          <w:color w:val="auto"/>
        </w:rPr>
        <w:t>107*</w:t>
      </w:r>
      <w:r>
        <w:rPr>
          <w:sz w:val="20"/>
          <w:szCs w:val="20"/>
          <w:color w:val="auto"/>
        </w:rPr>
        <w:tab/>
      </w:r>
      <w:r>
        <w:rPr>
          <w:rFonts w:ascii="Times New Roman" w:cs="Times New Roman" w:eastAsia="Times New Roman" w:hAnsi="Times New Roman"/>
          <w:sz w:val="17"/>
          <w:szCs w:val="17"/>
          <w:u w:val="single" w:color="auto"/>
          <w:color w:val="0000EE"/>
        </w:rPr>
        <w:t>Filing Fee Table.</w:t>
      </w:r>
    </w:p>
    <w:p>
      <w:pPr>
        <w:spacing w:after="0" w:line="245" w:lineRule="exact"/>
        <w:rPr>
          <w:rFonts w:ascii="Times New Roman" w:cs="Times New Roman" w:eastAsia="Times New Roman" w:hAnsi="Times New Roman"/>
          <w:sz w:val="17"/>
          <w:szCs w:val="17"/>
          <w:color w:val="auto"/>
        </w:rPr>
      </w:pPr>
    </w:p>
    <w:p>
      <w:pPr>
        <w:ind w:left="420" w:hanging="420"/>
        <w:spacing w:after="0"/>
        <w:tabs>
          <w:tab w:leader="none" w:pos="42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Filed herewith.</w:t>
      </w:r>
    </w:p>
    <w:p>
      <w:pPr>
        <w:sectPr>
          <w:pgSz w:w="11900" w:h="16838" w:orient="portrait"/>
          <w:cols w:equalWidth="0" w:num="1">
            <w:col w:w="10560"/>
          </w:cols>
          <w:pgMar w:left="660" w:top="264" w:right="679" w:bottom="1440" w:gutter="0" w:footer="0" w:header="0"/>
        </w:sectPr>
      </w:pPr>
    </w:p>
    <w:p>
      <w:pPr>
        <w:spacing w:after="0" w:line="154" w:lineRule="exact"/>
        <w:rPr>
          <w:rFonts w:ascii="Times New Roman" w:cs="Times New Roman" w:eastAsia="Times New Roman" w:hAnsi="Times New Roman"/>
          <w:sz w:val="17"/>
          <w:szCs w:val="17"/>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ectPr>
          <w:pgSz w:w="11900" w:h="16838" w:orient="portrait"/>
          <w:cols w:equalWidth="0" w:num="1">
            <w:col w:w="10560"/>
          </w:cols>
          <w:pgMar w:left="660" w:top="264" w:right="679" w:bottom="1440" w:gutter="0" w:footer="0" w:header="0"/>
          <w:type w:val="continuous"/>
        </w:sectPr>
      </w:pPr>
    </w:p>
    <w:bookmarkStart w:id="3" w:name="page4"/>
    <w:bookmarkEnd w:id="3"/>
    <w:p>
      <w:pPr>
        <w:spacing w:after="0"/>
        <w:tabs>
          <w:tab w:leader="none" w:pos="920" w:val="left"/>
        </w:tabs>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374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49">
                      <a:extLst>
                        <a:ext uri="{28A0092B-C50C-407E-A947-70E740481C1C}"/>
                      </a:extLst>
                    </a:blip>
                    <a:srcRect/>
                    <a:stretch>
                      <a:fillRect/>
                    </a:stretch>
                  </pic:blipFill>
                  <pic:spPr bwMode="auto">
                    <a:xfrm>
                      <a:off x="0" y="0"/>
                      <a:ext cx="7179945" cy="37465"/>
                    </a:xfrm>
                    <a:prstGeom prst="rect">
                      <a:avLst/>
                    </a:prstGeom>
                    <a:noFill/>
                  </pic:spPr>
                </pic:pic>
              </a:graphicData>
            </a:graphic>
          </wp:anchor>
        </w:drawing>
        <w:t>Item 9.</w:t>
      </w:r>
      <w:r>
        <w:rPr>
          <w:sz w:val="20"/>
          <w:szCs w:val="20"/>
          <w:color w:val="auto"/>
        </w:rPr>
        <w:tab/>
      </w:r>
      <w:r>
        <w:rPr>
          <w:rFonts w:ascii="Times New Roman" w:cs="Times New Roman" w:eastAsia="Times New Roman" w:hAnsi="Times New Roman"/>
          <w:sz w:val="17"/>
          <w:szCs w:val="17"/>
          <w:b w:val="1"/>
          <w:bCs w:val="1"/>
          <w:color w:val="auto"/>
        </w:rPr>
        <w:t>Undertakings.</w:t>
      </w:r>
    </w:p>
    <w:p>
      <w:pPr>
        <w:spacing w:after="0" w:line="130" w:lineRule="exact"/>
        <w:rPr>
          <w:sz w:val="20"/>
          <w:szCs w:val="20"/>
          <w:color w:val="auto"/>
        </w:rPr>
      </w:pPr>
    </w:p>
    <w:p>
      <w:pPr>
        <w:ind w:left="940" w:hanging="525"/>
        <w:spacing w:after="0"/>
        <w:tabs>
          <w:tab w:leader="none" w:pos="94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undersigned registrant hereby undertakes:</w:t>
      </w:r>
    </w:p>
    <w:p>
      <w:pPr>
        <w:spacing w:after="0" w:line="128" w:lineRule="exact"/>
        <w:rPr>
          <w:sz w:val="20"/>
          <w:szCs w:val="20"/>
          <w:color w:val="auto"/>
        </w:rPr>
      </w:pPr>
    </w:p>
    <w:p>
      <w:pPr>
        <w:ind w:left="940" w:hanging="525"/>
        <w:spacing w:after="0"/>
        <w:tabs>
          <w:tab w:leader="none" w:pos="94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file, during any period in which offers or sales are being made, a post-effective amendment to this registration statement:</w:t>
      </w:r>
    </w:p>
    <w:p>
      <w:pPr>
        <w:spacing w:after="0" w:line="115" w:lineRule="exact"/>
        <w:rPr>
          <w:rFonts w:ascii="Times New Roman" w:cs="Times New Roman" w:eastAsia="Times New Roman" w:hAnsi="Times New Roman"/>
          <w:sz w:val="17"/>
          <w:szCs w:val="17"/>
          <w:color w:val="auto"/>
        </w:rPr>
      </w:pPr>
    </w:p>
    <w:p>
      <w:pPr>
        <w:ind w:left="1040" w:hanging="211"/>
        <w:spacing w:after="0"/>
        <w:tabs>
          <w:tab w:leader="none" w:pos="1040" w:val="left"/>
        </w:tabs>
        <w:numPr>
          <w:ilvl w:val="1"/>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include any prospectus required by Section 10(a)(3) of the Securities Act;</w:t>
      </w:r>
    </w:p>
    <w:p>
      <w:pPr>
        <w:spacing w:after="0" w:line="115" w:lineRule="exact"/>
        <w:rPr>
          <w:rFonts w:ascii="Times New Roman" w:cs="Times New Roman" w:eastAsia="Times New Roman" w:hAnsi="Times New Roman"/>
          <w:sz w:val="17"/>
          <w:szCs w:val="17"/>
          <w:color w:val="auto"/>
        </w:rPr>
      </w:pPr>
    </w:p>
    <w:p>
      <w:pPr>
        <w:ind w:left="420" w:firstLine="409"/>
        <w:spacing w:after="0" w:line="260" w:lineRule="auto"/>
        <w:tabs>
          <w:tab w:leader="none" w:pos="1080" w:val="left"/>
        </w:tabs>
        <w:numPr>
          <w:ilvl w:val="1"/>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the volume of securities offered (if the total dollar value of securities offered would not exceed that which was registered) and any deviation from the low or high end of the estimated maximum offering range may be reflected in the form of prospectus filed with the Securities and Exchange Commission, or the Commission, pursuant to Rule 424(b) if, in the aggregate, the changes in volume and price represent no more than a 20 percent change in the maximum aggregate offering price set forth in the “Calculation of Registration Fee” table in the effective registration statement; and</w:t>
      </w:r>
    </w:p>
    <w:p>
      <w:pPr>
        <w:spacing w:after="0" w:line="71" w:lineRule="exact"/>
        <w:rPr>
          <w:rFonts w:ascii="Times New Roman" w:cs="Times New Roman" w:eastAsia="Times New Roman" w:hAnsi="Times New Roman"/>
          <w:sz w:val="17"/>
          <w:szCs w:val="17"/>
          <w:color w:val="auto"/>
        </w:rPr>
      </w:pPr>
    </w:p>
    <w:p>
      <w:pPr>
        <w:ind w:left="420" w:right="100" w:firstLine="409"/>
        <w:spacing w:after="0" w:line="261" w:lineRule="auto"/>
        <w:tabs>
          <w:tab w:leader="none" w:pos="1128" w:val="left"/>
        </w:tabs>
        <w:numPr>
          <w:ilvl w:val="1"/>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to include any material information with respect to the plan of distribution not previously disclosed in the registration statement or any material change to such information in the registration statement;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however</w:t>
      </w:r>
      <w:r>
        <w:rPr>
          <w:rFonts w:ascii="Times New Roman" w:cs="Times New Roman" w:eastAsia="Times New Roman" w:hAnsi="Times New Roman"/>
          <w:sz w:val="17"/>
          <w:szCs w:val="17"/>
          <w:color w:val="auto"/>
        </w:rPr>
        <w:t>, that paragraphs (1)(i), (1)(ii) and (1)(iii) do not apply if the information required to be included in a post-effective amendment by those paragraphs is contained in reports filed with or furnished to the Commission by the registrant pursuant to Section 13 or Section 15(d) of the Securities Exchange Act of 1934, as amended, or the Exchange Act, that are incorporated by reference in the registration statement, or is contained in a form of prospectus filed pursuant to Rule 424(b) that is part of the registration statement.</w:t>
      </w:r>
    </w:p>
    <w:p>
      <w:pPr>
        <w:spacing w:after="0" w:line="84" w:lineRule="exact"/>
        <w:rPr>
          <w:rFonts w:ascii="Times New Roman" w:cs="Times New Roman" w:eastAsia="Times New Roman" w:hAnsi="Times New Roman"/>
          <w:sz w:val="17"/>
          <w:szCs w:val="17"/>
          <w:color w:val="auto"/>
        </w:rPr>
      </w:pPr>
    </w:p>
    <w:p>
      <w:pPr>
        <w:ind w:left="940" w:hanging="525"/>
        <w:spacing w:after="0" w:line="273" w:lineRule="auto"/>
        <w:tabs>
          <w:tab w:leader="none" w:pos="94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w:t>
      </w:r>
      <w:r>
        <w:rPr>
          <w:rFonts w:ascii="Times New Roman" w:cs="Times New Roman" w:eastAsia="Times New Roman" w:hAnsi="Times New Roman"/>
          <w:sz w:val="17"/>
          <w:szCs w:val="17"/>
          <w:i w:val="1"/>
          <w:iCs w:val="1"/>
          <w:color w:val="auto"/>
        </w:rPr>
        <w:t>bona fide</w:t>
      </w:r>
      <w:r>
        <w:rPr>
          <w:rFonts w:ascii="Times New Roman" w:cs="Times New Roman" w:eastAsia="Times New Roman" w:hAnsi="Times New Roman"/>
          <w:sz w:val="17"/>
          <w:szCs w:val="17"/>
          <w:color w:val="auto"/>
        </w:rPr>
        <w:t xml:space="preserve"> offering thereof.</w:t>
      </w:r>
    </w:p>
    <w:p>
      <w:pPr>
        <w:spacing w:after="0" w:line="71" w:lineRule="exact"/>
        <w:rPr>
          <w:rFonts w:ascii="Times New Roman" w:cs="Times New Roman" w:eastAsia="Times New Roman" w:hAnsi="Times New Roman"/>
          <w:sz w:val="17"/>
          <w:szCs w:val="17"/>
          <w:color w:val="auto"/>
        </w:rPr>
      </w:pPr>
    </w:p>
    <w:p>
      <w:pPr>
        <w:ind w:left="940" w:right="380" w:hanging="525"/>
        <w:spacing w:after="0" w:line="291" w:lineRule="auto"/>
        <w:tabs>
          <w:tab w:leader="none" w:pos="94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remove from registration by means of a post-effective amendment any of the securities being registered which remain unsold at the termination of the offering.</w:t>
      </w:r>
    </w:p>
    <w:p>
      <w:pPr>
        <w:spacing w:after="0" w:line="56" w:lineRule="exact"/>
        <w:rPr>
          <w:rFonts w:ascii="Times New Roman" w:cs="Times New Roman" w:eastAsia="Times New Roman" w:hAnsi="Times New Roman"/>
          <w:sz w:val="17"/>
          <w:szCs w:val="17"/>
          <w:color w:val="auto"/>
        </w:rPr>
      </w:pPr>
    </w:p>
    <w:p>
      <w:pPr>
        <w:ind w:left="940" w:hanging="525"/>
        <w:spacing w:after="0"/>
        <w:tabs>
          <w:tab w:leader="none" w:pos="94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that, for the purpose of determining liability under the Securities Act to any purchaser:</w:t>
      </w:r>
    </w:p>
    <w:p>
      <w:pPr>
        <w:spacing w:after="0" w:line="115" w:lineRule="exact"/>
        <w:rPr>
          <w:rFonts w:ascii="Times New Roman" w:cs="Times New Roman" w:eastAsia="Times New Roman" w:hAnsi="Times New Roman"/>
          <w:sz w:val="17"/>
          <w:szCs w:val="17"/>
          <w:color w:val="auto"/>
        </w:rPr>
      </w:pPr>
    </w:p>
    <w:p>
      <w:pPr>
        <w:ind w:left="420" w:right="240" w:firstLine="409"/>
        <w:spacing w:after="0" w:line="291" w:lineRule="auto"/>
        <w:tabs>
          <w:tab w:leader="none" w:pos="1032" w:val="left"/>
        </w:tabs>
        <w:numPr>
          <w:ilvl w:val="1"/>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43" w:lineRule="exact"/>
        <w:rPr>
          <w:rFonts w:ascii="Times New Roman" w:cs="Times New Roman" w:eastAsia="Times New Roman" w:hAnsi="Times New Roman"/>
          <w:sz w:val="17"/>
          <w:szCs w:val="17"/>
          <w:color w:val="auto"/>
        </w:rPr>
      </w:pPr>
    </w:p>
    <w:p>
      <w:pPr>
        <w:ind w:left="420" w:right="40" w:firstLine="409"/>
        <w:spacing w:after="0" w:line="258" w:lineRule="auto"/>
        <w:tabs>
          <w:tab w:leader="none" w:pos="1080" w:val="left"/>
        </w:tabs>
        <w:numPr>
          <w:ilvl w:val="1"/>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w:t>
      </w:r>
      <w:r>
        <w:rPr>
          <w:rFonts w:ascii="Times New Roman" w:cs="Times New Roman" w:eastAsia="Times New Roman" w:hAnsi="Times New Roman"/>
          <w:sz w:val="17"/>
          <w:szCs w:val="17"/>
          <w:i w:val="1"/>
          <w:iCs w:val="1"/>
          <w:color w:val="auto"/>
        </w:rPr>
        <w:t>bona fide</w:t>
      </w:r>
      <w:r>
        <w:rPr>
          <w:rFonts w:ascii="Times New Roman" w:cs="Times New Roman" w:eastAsia="Times New Roman" w:hAnsi="Times New Roman"/>
          <w:sz w:val="17"/>
          <w:szCs w:val="17"/>
          <w:color w:val="auto"/>
        </w:rPr>
        <w:t xml:space="preserve"> offering thereof. </w:t>
      </w:r>
      <w:r>
        <w:rPr>
          <w:rFonts w:ascii="Times New Roman" w:cs="Times New Roman" w:eastAsia="Times New Roman" w:hAnsi="Times New Roman"/>
          <w:sz w:val="17"/>
          <w:szCs w:val="17"/>
          <w:i w:val="1"/>
          <w:iCs w:val="1"/>
          <w:color w:val="auto"/>
        </w:rPr>
        <w:t>Provided, however</w:t>
      </w:r>
      <w:r>
        <w:rPr>
          <w:rFonts w:ascii="Times New Roman" w:cs="Times New Roman" w:eastAsia="Times New Roman" w:hAnsi="Times New Roman"/>
          <w:sz w:val="17"/>
          <w:szCs w:val="17"/>
          <w:color w:val="auto"/>
        </w:rPr>
        <w:t>,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84" w:lineRule="exact"/>
        <w:rPr>
          <w:rFonts w:ascii="Times New Roman" w:cs="Times New Roman" w:eastAsia="Times New Roman" w:hAnsi="Times New Roman"/>
          <w:sz w:val="17"/>
          <w:szCs w:val="17"/>
          <w:color w:val="auto"/>
        </w:rPr>
      </w:pPr>
    </w:p>
    <w:p>
      <w:pPr>
        <w:ind w:left="940" w:right="20" w:hanging="525"/>
        <w:spacing w:after="0" w:line="263" w:lineRule="auto"/>
        <w:tabs>
          <w:tab w:leader="none" w:pos="94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that, for the purpose of determining liability of a registrant under the Securities Act to any purchaser in the initial distribution of the securities, the undersigned registrant undertakes that in a primary offering of securities of such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68" w:lineRule="exact"/>
        <w:rPr>
          <w:rFonts w:ascii="Times New Roman" w:cs="Times New Roman" w:eastAsia="Times New Roman" w:hAnsi="Times New Roman"/>
          <w:sz w:val="17"/>
          <w:szCs w:val="17"/>
          <w:color w:val="auto"/>
        </w:rPr>
      </w:pPr>
    </w:p>
    <w:p>
      <w:pPr>
        <w:ind w:left="1040" w:hanging="211"/>
        <w:spacing w:after="0"/>
        <w:tabs>
          <w:tab w:leader="none" w:pos="1040" w:val="left"/>
        </w:tabs>
        <w:numPr>
          <w:ilvl w:val="1"/>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preliminary prospectus or prospectus of the undersigned registrant relating to the offering required to be filed pursuant to Rule 424;</w:t>
      </w:r>
    </w:p>
    <w:p>
      <w:pPr>
        <w:spacing w:after="0" w:line="115" w:lineRule="exact"/>
        <w:rPr>
          <w:rFonts w:ascii="Times New Roman" w:cs="Times New Roman" w:eastAsia="Times New Roman" w:hAnsi="Times New Roman"/>
          <w:sz w:val="17"/>
          <w:szCs w:val="17"/>
          <w:color w:val="auto"/>
        </w:rPr>
      </w:pPr>
    </w:p>
    <w:p>
      <w:pPr>
        <w:ind w:left="420" w:right="260" w:firstLine="409"/>
        <w:spacing w:after="0" w:line="291" w:lineRule="auto"/>
        <w:tabs>
          <w:tab w:leader="none" w:pos="1080" w:val="left"/>
        </w:tabs>
        <w:numPr>
          <w:ilvl w:val="1"/>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free writing prospectus relating to the offering prepared by or on behalf of the undersigned registrant or used or referred to by the undersigned registrant;</w:t>
      </w:r>
    </w:p>
    <w:p>
      <w:pPr>
        <w:spacing w:after="0" w:line="43" w:lineRule="exact"/>
        <w:rPr>
          <w:rFonts w:ascii="Times New Roman" w:cs="Times New Roman" w:eastAsia="Times New Roman" w:hAnsi="Times New Roman"/>
          <w:sz w:val="17"/>
          <w:szCs w:val="17"/>
          <w:color w:val="auto"/>
        </w:rPr>
      </w:pPr>
    </w:p>
    <w:p>
      <w:pPr>
        <w:ind w:left="420" w:right="60" w:firstLine="409"/>
        <w:spacing w:after="0" w:line="291" w:lineRule="auto"/>
        <w:tabs>
          <w:tab w:leader="none" w:pos="1128" w:val="left"/>
        </w:tabs>
        <w:numPr>
          <w:ilvl w:val="1"/>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portion of any other free writing prospectus relating to the offering containing material information about the undersigned registrant or its securities provided by or on behalf of the undersigned registrant; and</w:t>
      </w:r>
    </w:p>
    <w:p>
      <w:pPr>
        <w:spacing w:after="0" w:line="43" w:lineRule="exact"/>
        <w:rPr>
          <w:rFonts w:ascii="Times New Roman" w:cs="Times New Roman" w:eastAsia="Times New Roman" w:hAnsi="Times New Roman"/>
          <w:sz w:val="17"/>
          <w:szCs w:val="17"/>
          <w:color w:val="auto"/>
        </w:rPr>
      </w:pPr>
    </w:p>
    <w:p>
      <w:pPr>
        <w:ind w:left="1120" w:hanging="291"/>
        <w:spacing w:after="0"/>
        <w:tabs>
          <w:tab w:leader="none" w:pos="1120" w:val="left"/>
        </w:tabs>
        <w:numPr>
          <w:ilvl w:val="1"/>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other communication that is an offer in the offering made by the undersigned registrant to the purchaser.</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w:t>
      </w:r>
    </w:p>
    <w:p>
      <w:pPr>
        <w:sectPr>
          <w:pgSz w:w="11900" w:h="16838" w:orient="portrait"/>
          <w:cols w:equalWidth="0" w:num="1">
            <w:col w:w="10560"/>
          </w:cols>
          <w:pgMar w:left="660" w:top="262" w:right="679" w:bottom="1440" w:gutter="0" w:footer="0" w:header="0"/>
        </w:sectPr>
      </w:pPr>
    </w:p>
    <w:bookmarkStart w:id="4" w:name="page5"/>
    <w:bookmarkEnd w:id="4"/>
    <w:p>
      <w:pPr>
        <w:ind w:left="940" w:hanging="525"/>
        <w:spacing w:after="0" w:line="265" w:lineRule="auto"/>
        <w:tabs>
          <w:tab w:leader="none" w:pos="940" w:val="left"/>
        </w:tabs>
        <w:numPr>
          <w:ilvl w:val="1"/>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374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50">
                      <a:extLst>
                        <a:ext uri="{28A0092B-C50C-407E-A947-70E740481C1C}"/>
                      </a:extLst>
                    </a:blip>
                    <a:srcRect/>
                    <a:stretch>
                      <a:fillRect/>
                    </a:stretch>
                  </pic:blipFill>
                  <pic:spPr bwMode="auto">
                    <a:xfrm>
                      <a:off x="0" y="0"/>
                      <a:ext cx="7179945" cy="37465"/>
                    </a:xfrm>
                    <a:prstGeom prst="rect">
                      <a:avLst/>
                    </a:prstGeom>
                    <a:noFill/>
                  </pic:spPr>
                </pic:pic>
              </a:graphicData>
            </a:graphic>
          </wp:anchor>
        </w:drawing>
        <w:t xml:space="preserve">that, for purposes of determining any liability under the Securities Act, each filing of the registrant’s annual report pursuant to Section 13(a) or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w:t>
      </w:r>
      <w:r>
        <w:rPr>
          <w:rFonts w:ascii="Times New Roman" w:cs="Times New Roman" w:eastAsia="Times New Roman" w:hAnsi="Times New Roman"/>
          <w:sz w:val="17"/>
          <w:szCs w:val="17"/>
          <w:i w:val="1"/>
          <w:iCs w:val="1"/>
          <w:color w:val="auto"/>
        </w:rPr>
        <w:t>bona fide</w:t>
      </w:r>
      <w:r>
        <w:rPr>
          <w:rFonts w:ascii="Times New Roman" w:cs="Times New Roman" w:eastAsia="Times New Roman" w:hAnsi="Times New Roman"/>
          <w:sz w:val="17"/>
          <w:szCs w:val="17"/>
          <w:color w:val="auto"/>
        </w:rPr>
        <w:t xml:space="preserve"> offering thereof.</w:t>
      </w:r>
    </w:p>
    <w:p>
      <w:pPr>
        <w:spacing w:after="0" w:line="379" w:lineRule="exact"/>
        <w:rPr>
          <w:rFonts w:ascii="Times New Roman" w:cs="Times New Roman" w:eastAsia="Times New Roman" w:hAnsi="Times New Roman"/>
          <w:sz w:val="17"/>
          <w:szCs w:val="17"/>
          <w:color w:val="auto"/>
        </w:rPr>
      </w:pPr>
    </w:p>
    <w:p>
      <w:pPr>
        <w:ind w:right="20"/>
        <w:spacing w:after="0" w:line="259" w:lineRule="auto"/>
        <w:tabs>
          <w:tab w:leader="none" w:pos="244"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38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221" w:lineRule="exact"/>
        <w:rPr>
          <w:sz w:val="20"/>
          <w:szCs w:val="20"/>
          <w:color w:val="auto"/>
        </w:rPr>
      </w:pPr>
    </w:p>
    <w:p>
      <w:pPr>
        <w:jc w:val="both"/>
        <w:ind w:right="180"/>
        <w:spacing w:after="0" w:line="273" w:lineRule="auto"/>
        <w:rPr>
          <w:sz w:val="20"/>
          <w:szCs w:val="20"/>
          <w:color w:val="auto"/>
        </w:rPr>
      </w:pPr>
      <w:r>
        <w:rPr>
          <w:rFonts w:ascii="Times New Roman" w:cs="Times New Roman" w:eastAsia="Times New Roman" w:hAnsi="Times New Roman"/>
          <w:sz w:val="17"/>
          <w:szCs w:val="17"/>
          <w:color w:val="auto"/>
        </w:rPr>
        <w:t>Pursuant to the requirements of the Securities Act, the registrant certifies that it has reasonable grounds to believe that it meets all of the requirements for filing on Form S-8 and has duly caused this Registration Statement to be signed on its behalf by the undersigned, thereunto duly authorized, in the City of New York, State of New York, on the 10th day of November, 2025.</w:t>
      </w:r>
    </w:p>
    <w:p>
      <w:pPr>
        <w:spacing w:after="0" w:line="186" w:lineRule="exact"/>
        <w:rPr>
          <w:sz w:val="20"/>
          <w:szCs w:val="20"/>
          <w:color w:val="auto"/>
        </w:rPr>
      </w:pPr>
    </w:p>
    <w:p>
      <w:pPr>
        <w:ind w:left="6340"/>
        <w:spacing w:after="0"/>
        <w:rPr>
          <w:sz w:val="20"/>
          <w:szCs w:val="20"/>
          <w:color w:val="auto"/>
        </w:rPr>
      </w:pPr>
      <w:r>
        <w:rPr>
          <w:rFonts w:ascii="Times New Roman" w:cs="Times New Roman" w:eastAsia="Times New Roman" w:hAnsi="Times New Roman"/>
          <w:sz w:val="17"/>
          <w:szCs w:val="17"/>
          <w:b w:val="1"/>
          <w:bCs w:val="1"/>
          <w:color w:val="auto"/>
        </w:rPr>
        <w:t>BAKKT HOLDINGS, INC.</w:t>
      </w:r>
    </w:p>
    <w:p>
      <w:pPr>
        <w:spacing w:after="0" w:line="221" w:lineRule="exact"/>
        <w:rPr>
          <w:sz w:val="20"/>
          <w:szCs w:val="20"/>
          <w:color w:val="auto"/>
        </w:rPr>
      </w:pPr>
    </w:p>
    <w:p>
      <w:pPr>
        <w:ind w:left="6340"/>
        <w:spacing w:after="0"/>
        <w:rPr>
          <w:sz w:val="20"/>
          <w:szCs w:val="20"/>
          <w:color w:val="auto"/>
        </w:rPr>
      </w:pPr>
      <w:r>
        <w:rPr>
          <w:rFonts w:ascii="Times New Roman" w:cs="Times New Roman" w:eastAsia="Times New Roman" w:hAnsi="Times New Roman"/>
          <w:sz w:val="17"/>
          <w:szCs w:val="17"/>
          <w:color w:val="auto"/>
        </w:rPr>
        <w:t>By: /s/ Akshay Naheta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4251960</wp:posOffset>
            </wp:positionH>
            <wp:positionV relativeFrom="paragraph">
              <wp:posOffset>19050</wp:posOffset>
            </wp:positionV>
            <wp:extent cx="24587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51">
                      <a:extLst>
                        <a:ext uri="{28A0092B-C50C-407E-A947-70E740481C1C}"/>
                      </a:extLst>
                    </a:blip>
                    <a:srcRect/>
                    <a:stretch>
                      <a:fillRect/>
                    </a:stretch>
                  </pic:blipFill>
                  <pic:spPr bwMode="auto">
                    <a:xfrm>
                      <a:off x="0" y="0"/>
                      <a:ext cx="2458720" cy="8255"/>
                    </a:xfrm>
                    <a:prstGeom prst="rect">
                      <a:avLst/>
                    </a:prstGeom>
                    <a:noFill/>
                  </pic:spPr>
                </pic:pic>
              </a:graphicData>
            </a:graphic>
          </wp:anchor>
        </w:drawing>
      </w:r>
    </w:p>
    <w:p>
      <w:pPr>
        <w:spacing w:after="0" w:line="18"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17"/>
          <w:szCs w:val="17"/>
          <w:color w:val="auto"/>
        </w:rPr>
        <w:t>Akshay Naheta</w:t>
      </w:r>
    </w:p>
    <w:p>
      <w:pPr>
        <w:spacing w:after="0" w:line="30"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17"/>
          <w:szCs w:val="17"/>
          <w:color w:val="auto"/>
        </w:rPr>
        <w:t>Chief Executive Officer and Director</w:t>
      </w:r>
    </w:p>
    <w:p>
      <w:pPr>
        <w:spacing w:after="0" w:line="13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5</w:t>
      </w:r>
    </w:p>
    <w:p>
      <w:pPr>
        <w:sectPr>
          <w:pgSz w:w="11900" w:h="16838" w:orient="portrait"/>
          <w:cols w:equalWidth="0" w:num="1">
            <w:col w:w="10520"/>
          </w:cols>
          <w:pgMar w:left="660" w:top="264" w:right="71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374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52">
                      <a:extLst>
                        <a:ext uri="{28A0092B-C50C-407E-A947-70E740481C1C}"/>
                      </a:extLst>
                    </a:blip>
                    <a:srcRect/>
                    <a:stretch>
                      <a:fillRect/>
                    </a:stretch>
                  </pic:blipFill>
                  <pic:spPr bwMode="auto">
                    <a:xfrm>
                      <a:off x="0" y="0"/>
                      <a:ext cx="7179945" cy="37465"/>
                    </a:xfrm>
                    <a:prstGeom prst="rect">
                      <a:avLst/>
                    </a:prstGeom>
                    <a:noFill/>
                  </pic:spPr>
                </pic:pic>
              </a:graphicData>
            </a:graphic>
          </wp:anchor>
        </w:drawing>
        <w:t>POWER OF ATTORNEY AND SIGNATURES</w:t>
      </w:r>
    </w:p>
    <w:p>
      <w:pPr>
        <w:spacing w:after="0" w:line="221"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7"/>
          <w:szCs w:val="17"/>
          <w:color w:val="auto"/>
        </w:rPr>
        <w:t>KNOW ALL BY THESE PRESENT, that each individual whose signature appears below hereby constitutes and appoints each of Akshay Naheta, Marc D’Annunzio and Karen Alexander, and each or any one of them, as such person’s true and lawful attorney-in-fact and agent with full power of substitution and resubstitution, for such person in such person’s name, place and stead, in any and all capacities, to sign any and all amendments (including post-effective amendments) to this Registration Statement on Form S-8, and to file the same, with all exhibits thereto, and all documents in connection therewith, with the SEC granting unto each said attorney-in-fact and agent full power and authority to do and perform each and every act and thing requisite and necessary to be done in and about the premises, as fully to all intents and purposes as such person might or could do in person, hereby ratifying and confirming all that any said attorney-in-fact and agent, or any substitute or substitutes of any of them, may lawfully do or cause to be done by virtue hereof.</w:t>
      </w:r>
    </w:p>
    <w:p>
      <w:pPr>
        <w:spacing w:after="0" w:line="177" w:lineRule="exact"/>
        <w:rPr>
          <w:sz w:val="20"/>
          <w:szCs w:val="20"/>
          <w:color w:val="auto"/>
        </w:rPr>
      </w:pPr>
    </w:p>
    <w:p>
      <w:pPr>
        <w:spacing w:after="0" w:line="291" w:lineRule="auto"/>
        <w:rPr>
          <w:sz w:val="20"/>
          <w:szCs w:val="20"/>
          <w:color w:val="auto"/>
        </w:rPr>
      </w:pPr>
      <w:r>
        <w:rPr>
          <w:rFonts w:ascii="Times New Roman" w:cs="Times New Roman" w:eastAsia="Times New Roman" w:hAnsi="Times New Roman"/>
          <w:sz w:val="17"/>
          <w:szCs w:val="17"/>
          <w:color w:val="auto"/>
        </w:rPr>
        <w:t>Pursuant to the requirements of the Securities Act, this Registration Statement has been signed by the following persons in the capacities and on the 10th day of November, 2025.</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4100" w:type="dxa"/>
            <w:vAlign w:val="bottom"/>
            <w:tcBorders>
              <w:bottom w:val="single" w:sz="8" w:color="auto"/>
            </w:tcBorders>
          </w:tcPr>
          <w:p>
            <w:pPr>
              <w:ind w:left="1760"/>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100" w:type="dxa"/>
            <w:vAlign w:val="bottom"/>
          </w:tcPr>
          <w:p>
            <w:pPr>
              <w:spacing w:after="0"/>
              <w:rPr>
                <w:sz w:val="15"/>
                <w:szCs w:val="15"/>
                <w:color w:val="auto"/>
              </w:rPr>
            </w:pPr>
          </w:p>
        </w:tc>
        <w:tc>
          <w:tcPr>
            <w:tcW w:w="6360" w:type="dxa"/>
            <w:vAlign w:val="bottom"/>
            <w:tcBorders>
              <w:bottom w:val="single" w:sz="8" w:color="auto"/>
            </w:tcBorders>
          </w:tcPr>
          <w:p>
            <w:pPr>
              <w:ind w:left="3040"/>
              <w:spacing w:after="0"/>
              <w:rPr>
                <w:sz w:val="20"/>
                <w:szCs w:val="20"/>
                <w:color w:val="auto"/>
              </w:rPr>
            </w:pPr>
            <w:r>
              <w:rPr>
                <w:rFonts w:ascii="Times New Roman" w:cs="Times New Roman" w:eastAsia="Times New Roman" w:hAnsi="Times New Roman"/>
                <w:sz w:val="14"/>
                <w:szCs w:val="14"/>
                <w:b w:val="1"/>
                <w:bCs w:val="1"/>
                <w:color w:val="auto"/>
              </w:rPr>
              <w:t>Title</w:t>
            </w:r>
          </w:p>
        </w:tc>
      </w:tr>
      <w:tr>
        <w:trPr>
          <w:trHeight w:val="394"/>
        </w:trPr>
        <w:tc>
          <w:tcPr>
            <w:tcW w:w="4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Akshay Naheta</w:t>
            </w:r>
          </w:p>
        </w:tc>
        <w:tc>
          <w:tcPr>
            <w:tcW w:w="100" w:type="dxa"/>
            <w:vAlign w:val="bottom"/>
          </w:tcPr>
          <w:p>
            <w:pPr>
              <w:spacing w:after="0"/>
              <w:rPr>
                <w:sz w:val="24"/>
                <w:szCs w:val="24"/>
                <w:color w:val="auto"/>
              </w:rPr>
            </w:pPr>
          </w:p>
        </w:tc>
        <w:tc>
          <w:tcPr>
            <w:tcW w:w="6360" w:type="dxa"/>
            <w:vAlign w:val="bottom"/>
          </w:tcPr>
          <w:p>
            <w:pPr>
              <w:spacing w:after="0"/>
              <w:rPr>
                <w:sz w:val="20"/>
                <w:szCs w:val="20"/>
                <w:color w:val="auto"/>
              </w:rPr>
            </w:pPr>
            <w:r>
              <w:rPr>
                <w:rFonts w:ascii="Times New Roman" w:cs="Times New Roman" w:eastAsia="Times New Roman" w:hAnsi="Times New Roman"/>
                <w:sz w:val="17"/>
                <w:szCs w:val="17"/>
                <w:color w:val="auto"/>
              </w:rPr>
              <w:t>Chief Executive Officer and Director</w:t>
            </w:r>
          </w:p>
        </w:tc>
      </w:tr>
      <w:tr>
        <w:trPr>
          <w:trHeight w:val="219"/>
        </w:trPr>
        <w:tc>
          <w:tcPr>
            <w:tcW w:w="4100" w:type="dxa"/>
            <w:vAlign w:val="bottom"/>
          </w:tcPr>
          <w:p>
            <w:pPr>
              <w:spacing w:after="0"/>
              <w:rPr>
                <w:sz w:val="20"/>
                <w:szCs w:val="20"/>
                <w:color w:val="auto"/>
              </w:rPr>
            </w:pPr>
            <w:r>
              <w:rPr>
                <w:rFonts w:ascii="Times New Roman" w:cs="Times New Roman" w:eastAsia="Times New Roman" w:hAnsi="Times New Roman"/>
                <w:sz w:val="17"/>
                <w:szCs w:val="17"/>
                <w:color w:val="auto"/>
              </w:rPr>
              <w:t>Akshay Naheta</w:t>
            </w:r>
          </w:p>
        </w:tc>
        <w:tc>
          <w:tcPr>
            <w:tcW w:w="100" w:type="dxa"/>
            <w:vAlign w:val="bottom"/>
          </w:tcPr>
          <w:p>
            <w:pPr>
              <w:spacing w:after="0"/>
              <w:rPr>
                <w:sz w:val="19"/>
                <w:szCs w:val="19"/>
                <w:color w:val="auto"/>
              </w:rPr>
            </w:pPr>
          </w:p>
        </w:tc>
        <w:tc>
          <w:tcPr>
            <w:tcW w:w="6360" w:type="dxa"/>
            <w:vAlign w:val="bottom"/>
          </w:tcPr>
          <w:p>
            <w:pPr>
              <w:spacing w:after="0"/>
              <w:rPr>
                <w:sz w:val="20"/>
                <w:szCs w:val="20"/>
                <w:color w:val="auto"/>
              </w:rPr>
            </w:pPr>
            <w:r>
              <w:rPr>
                <w:rFonts w:ascii="Times New Roman" w:cs="Times New Roman" w:eastAsia="Times New Roman" w:hAnsi="Times New Roman"/>
                <w:sz w:val="17"/>
                <w:szCs w:val="17"/>
                <w:color w:val="auto"/>
              </w:rPr>
              <w:t>(Principal Executive Officer)</w:t>
            </w:r>
          </w:p>
        </w:tc>
      </w:tr>
      <w:tr>
        <w:trPr>
          <w:trHeight w:val="409"/>
        </w:trPr>
        <w:tc>
          <w:tcPr>
            <w:tcW w:w="4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Karen Alexander</w:t>
            </w:r>
          </w:p>
        </w:tc>
        <w:tc>
          <w:tcPr>
            <w:tcW w:w="100" w:type="dxa"/>
            <w:vAlign w:val="bottom"/>
          </w:tcPr>
          <w:p>
            <w:pPr>
              <w:spacing w:after="0"/>
              <w:rPr>
                <w:sz w:val="24"/>
                <w:szCs w:val="24"/>
                <w:color w:val="auto"/>
              </w:rPr>
            </w:pPr>
          </w:p>
        </w:tc>
        <w:tc>
          <w:tcPr>
            <w:tcW w:w="6360" w:type="dxa"/>
            <w:vAlign w:val="bottom"/>
          </w:tcPr>
          <w:p>
            <w:pPr>
              <w:spacing w:after="0"/>
              <w:rPr>
                <w:sz w:val="20"/>
                <w:szCs w:val="20"/>
                <w:color w:val="auto"/>
              </w:rPr>
            </w:pPr>
            <w:r>
              <w:rPr>
                <w:rFonts w:ascii="Times New Roman" w:cs="Times New Roman" w:eastAsia="Times New Roman" w:hAnsi="Times New Roman"/>
                <w:sz w:val="17"/>
                <w:szCs w:val="17"/>
                <w:color w:val="auto"/>
              </w:rPr>
              <w:t>Chief Financial Officer</w:t>
            </w:r>
          </w:p>
        </w:tc>
      </w:tr>
      <w:tr>
        <w:trPr>
          <w:trHeight w:val="219"/>
        </w:trPr>
        <w:tc>
          <w:tcPr>
            <w:tcW w:w="4100" w:type="dxa"/>
            <w:vAlign w:val="bottom"/>
          </w:tcPr>
          <w:p>
            <w:pPr>
              <w:spacing w:after="0"/>
              <w:rPr>
                <w:sz w:val="20"/>
                <w:szCs w:val="20"/>
                <w:color w:val="auto"/>
              </w:rPr>
            </w:pPr>
            <w:r>
              <w:rPr>
                <w:rFonts w:ascii="Times New Roman" w:cs="Times New Roman" w:eastAsia="Times New Roman" w:hAnsi="Times New Roman"/>
                <w:sz w:val="17"/>
                <w:szCs w:val="17"/>
                <w:color w:val="auto"/>
              </w:rPr>
              <w:t>Karen Alexander</w:t>
            </w:r>
          </w:p>
        </w:tc>
        <w:tc>
          <w:tcPr>
            <w:tcW w:w="100" w:type="dxa"/>
            <w:vAlign w:val="bottom"/>
          </w:tcPr>
          <w:p>
            <w:pPr>
              <w:spacing w:after="0"/>
              <w:rPr>
                <w:sz w:val="19"/>
                <w:szCs w:val="19"/>
                <w:color w:val="auto"/>
              </w:rPr>
            </w:pPr>
          </w:p>
        </w:tc>
        <w:tc>
          <w:tcPr>
            <w:tcW w:w="6360" w:type="dxa"/>
            <w:vAlign w:val="bottom"/>
          </w:tcPr>
          <w:p>
            <w:pPr>
              <w:spacing w:after="0"/>
              <w:rPr>
                <w:sz w:val="20"/>
                <w:szCs w:val="20"/>
                <w:color w:val="auto"/>
              </w:rPr>
            </w:pPr>
            <w:r>
              <w:rPr>
                <w:rFonts w:ascii="Times New Roman" w:cs="Times New Roman" w:eastAsia="Times New Roman" w:hAnsi="Times New Roman"/>
                <w:sz w:val="17"/>
                <w:szCs w:val="17"/>
                <w:color w:val="auto"/>
              </w:rPr>
              <w:t>(Principal Financial Officer)</w:t>
            </w:r>
          </w:p>
        </w:tc>
      </w:tr>
      <w:tr>
        <w:trPr>
          <w:trHeight w:val="409"/>
        </w:trPr>
        <w:tc>
          <w:tcPr>
            <w:tcW w:w="4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Joseph Henderson</w:t>
            </w:r>
          </w:p>
        </w:tc>
        <w:tc>
          <w:tcPr>
            <w:tcW w:w="100" w:type="dxa"/>
            <w:vAlign w:val="bottom"/>
          </w:tcPr>
          <w:p>
            <w:pPr>
              <w:spacing w:after="0"/>
              <w:rPr>
                <w:sz w:val="24"/>
                <w:szCs w:val="24"/>
                <w:color w:val="auto"/>
              </w:rPr>
            </w:pPr>
          </w:p>
        </w:tc>
        <w:tc>
          <w:tcPr>
            <w:tcW w:w="6360" w:type="dxa"/>
            <w:vAlign w:val="bottom"/>
          </w:tcPr>
          <w:p>
            <w:pPr>
              <w:spacing w:after="0"/>
              <w:rPr>
                <w:sz w:val="20"/>
                <w:szCs w:val="20"/>
                <w:color w:val="auto"/>
              </w:rPr>
            </w:pPr>
            <w:r>
              <w:rPr>
                <w:rFonts w:ascii="Times New Roman" w:cs="Times New Roman" w:eastAsia="Times New Roman" w:hAnsi="Times New Roman"/>
                <w:sz w:val="17"/>
                <w:szCs w:val="17"/>
                <w:color w:val="auto"/>
              </w:rPr>
              <w:t>Chief Accounting Officer</w:t>
            </w:r>
          </w:p>
        </w:tc>
      </w:tr>
      <w:tr>
        <w:trPr>
          <w:trHeight w:val="219"/>
        </w:trPr>
        <w:tc>
          <w:tcPr>
            <w:tcW w:w="4100" w:type="dxa"/>
            <w:vAlign w:val="bottom"/>
          </w:tcPr>
          <w:p>
            <w:pPr>
              <w:spacing w:after="0"/>
              <w:rPr>
                <w:sz w:val="20"/>
                <w:szCs w:val="20"/>
                <w:color w:val="auto"/>
              </w:rPr>
            </w:pPr>
            <w:r>
              <w:rPr>
                <w:rFonts w:ascii="Times New Roman" w:cs="Times New Roman" w:eastAsia="Times New Roman" w:hAnsi="Times New Roman"/>
                <w:sz w:val="17"/>
                <w:szCs w:val="17"/>
                <w:color w:val="auto"/>
              </w:rPr>
              <w:t>Joseph Henderson</w:t>
            </w:r>
          </w:p>
        </w:tc>
        <w:tc>
          <w:tcPr>
            <w:tcW w:w="100" w:type="dxa"/>
            <w:vAlign w:val="bottom"/>
          </w:tcPr>
          <w:p>
            <w:pPr>
              <w:spacing w:after="0"/>
              <w:rPr>
                <w:sz w:val="19"/>
                <w:szCs w:val="19"/>
                <w:color w:val="auto"/>
              </w:rPr>
            </w:pPr>
          </w:p>
        </w:tc>
        <w:tc>
          <w:tcPr>
            <w:tcW w:w="6360" w:type="dxa"/>
            <w:vAlign w:val="bottom"/>
          </w:tcPr>
          <w:p>
            <w:pPr>
              <w:spacing w:after="0"/>
              <w:rPr>
                <w:sz w:val="20"/>
                <w:szCs w:val="20"/>
                <w:color w:val="auto"/>
              </w:rPr>
            </w:pPr>
            <w:r>
              <w:rPr>
                <w:rFonts w:ascii="Times New Roman" w:cs="Times New Roman" w:eastAsia="Times New Roman" w:hAnsi="Times New Roman"/>
                <w:sz w:val="17"/>
                <w:szCs w:val="17"/>
                <w:color w:val="auto"/>
              </w:rPr>
              <w:t>(Principal Accounting Officer)</w:t>
            </w:r>
          </w:p>
        </w:tc>
      </w:tr>
      <w:tr>
        <w:trPr>
          <w:trHeight w:val="409"/>
        </w:trPr>
        <w:tc>
          <w:tcPr>
            <w:tcW w:w="4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Sean Collins</w:t>
            </w:r>
          </w:p>
        </w:tc>
        <w:tc>
          <w:tcPr>
            <w:tcW w:w="100" w:type="dxa"/>
            <w:vAlign w:val="bottom"/>
          </w:tcPr>
          <w:p>
            <w:pPr>
              <w:spacing w:after="0"/>
              <w:rPr>
                <w:sz w:val="24"/>
                <w:szCs w:val="24"/>
                <w:color w:val="auto"/>
              </w:rPr>
            </w:pPr>
          </w:p>
        </w:tc>
        <w:tc>
          <w:tcPr>
            <w:tcW w:w="6360" w:type="dxa"/>
            <w:vAlign w:val="bottom"/>
          </w:tcPr>
          <w:p>
            <w:pPr>
              <w:spacing w:after="0"/>
              <w:rPr>
                <w:sz w:val="20"/>
                <w:szCs w:val="20"/>
                <w:color w:val="auto"/>
              </w:rPr>
            </w:pPr>
            <w:r>
              <w:rPr>
                <w:rFonts w:ascii="Times New Roman" w:cs="Times New Roman" w:eastAsia="Times New Roman" w:hAnsi="Times New Roman"/>
                <w:sz w:val="17"/>
                <w:szCs w:val="17"/>
                <w:color w:val="auto"/>
              </w:rPr>
              <w:t>Chair of the Board of Directors</w:t>
            </w:r>
          </w:p>
        </w:tc>
      </w:tr>
      <w:tr>
        <w:trPr>
          <w:trHeight w:val="219"/>
        </w:trPr>
        <w:tc>
          <w:tcPr>
            <w:tcW w:w="4100" w:type="dxa"/>
            <w:vAlign w:val="bottom"/>
          </w:tcPr>
          <w:p>
            <w:pPr>
              <w:spacing w:after="0"/>
              <w:rPr>
                <w:sz w:val="20"/>
                <w:szCs w:val="20"/>
                <w:color w:val="auto"/>
              </w:rPr>
            </w:pPr>
            <w:r>
              <w:rPr>
                <w:rFonts w:ascii="Times New Roman" w:cs="Times New Roman" w:eastAsia="Times New Roman" w:hAnsi="Times New Roman"/>
                <w:sz w:val="17"/>
                <w:szCs w:val="17"/>
                <w:color w:val="auto"/>
              </w:rPr>
              <w:t>Sean Collins</w:t>
            </w:r>
          </w:p>
        </w:tc>
        <w:tc>
          <w:tcPr>
            <w:tcW w:w="100" w:type="dxa"/>
            <w:vAlign w:val="bottom"/>
          </w:tcPr>
          <w:p>
            <w:pPr>
              <w:spacing w:after="0"/>
              <w:rPr>
                <w:sz w:val="19"/>
                <w:szCs w:val="19"/>
                <w:color w:val="auto"/>
              </w:rPr>
            </w:pPr>
          </w:p>
        </w:tc>
        <w:tc>
          <w:tcPr>
            <w:tcW w:w="6360" w:type="dxa"/>
            <w:vAlign w:val="bottom"/>
          </w:tcPr>
          <w:p>
            <w:pPr>
              <w:spacing w:after="0"/>
              <w:rPr>
                <w:sz w:val="19"/>
                <w:szCs w:val="19"/>
                <w:color w:val="auto"/>
              </w:rPr>
            </w:pPr>
          </w:p>
        </w:tc>
      </w:tr>
      <w:tr>
        <w:trPr>
          <w:trHeight w:val="409"/>
        </w:trPr>
        <w:tc>
          <w:tcPr>
            <w:tcW w:w="4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Madelyn Alden Schwartzer</w:t>
            </w:r>
          </w:p>
        </w:tc>
        <w:tc>
          <w:tcPr>
            <w:tcW w:w="100" w:type="dxa"/>
            <w:vAlign w:val="bottom"/>
          </w:tcPr>
          <w:p>
            <w:pPr>
              <w:spacing w:after="0"/>
              <w:rPr>
                <w:sz w:val="24"/>
                <w:szCs w:val="24"/>
                <w:color w:val="auto"/>
              </w:rPr>
            </w:pPr>
          </w:p>
        </w:tc>
        <w:tc>
          <w:tcPr>
            <w:tcW w:w="6360" w:type="dxa"/>
            <w:vAlign w:val="bottom"/>
          </w:tcPr>
          <w:p>
            <w:pPr>
              <w:spacing w:after="0"/>
              <w:rPr>
                <w:sz w:val="20"/>
                <w:szCs w:val="20"/>
                <w:color w:val="auto"/>
              </w:rPr>
            </w:pPr>
            <w:r>
              <w:rPr>
                <w:rFonts w:ascii="Times New Roman" w:cs="Times New Roman" w:eastAsia="Times New Roman" w:hAnsi="Times New Roman"/>
                <w:sz w:val="17"/>
                <w:szCs w:val="17"/>
                <w:color w:val="auto"/>
              </w:rPr>
              <w:t>Director</w:t>
            </w:r>
          </w:p>
        </w:tc>
      </w:tr>
      <w:tr>
        <w:trPr>
          <w:trHeight w:val="219"/>
        </w:trPr>
        <w:tc>
          <w:tcPr>
            <w:tcW w:w="4100" w:type="dxa"/>
            <w:vAlign w:val="bottom"/>
          </w:tcPr>
          <w:p>
            <w:pPr>
              <w:spacing w:after="0"/>
              <w:rPr>
                <w:sz w:val="20"/>
                <w:szCs w:val="20"/>
                <w:color w:val="auto"/>
              </w:rPr>
            </w:pPr>
            <w:r>
              <w:rPr>
                <w:rFonts w:ascii="Times New Roman" w:cs="Times New Roman" w:eastAsia="Times New Roman" w:hAnsi="Times New Roman"/>
                <w:sz w:val="17"/>
                <w:szCs w:val="17"/>
                <w:color w:val="auto"/>
              </w:rPr>
              <w:t>Madelyn Alden Schwartzer</w:t>
            </w:r>
          </w:p>
        </w:tc>
        <w:tc>
          <w:tcPr>
            <w:tcW w:w="100" w:type="dxa"/>
            <w:vAlign w:val="bottom"/>
          </w:tcPr>
          <w:p>
            <w:pPr>
              <w:spacing w:after="0"/>
              <w:rPr>
                <w:sz w:val="19"/>
                <w:szCs w:val="19"/>
                <w:color w:val="auto"/>
              </w:rPr>
            </w:pPr>
          </w:p>
        </w:tc>
        <w:tc>
          <w:tcPr>
            <w:tcW w:w="6360" w:type="dxa"/>
            <w:vAlign w:val="bottom"/>
          </w:tcPr>
          <w:p>
            <w:pPr>
              <w:spacing w:after="0"/>
              <w:rPr>
                <w:sz w:val="19"/>
                <w:szCs w:val="19"/>
                <w:color w:val="auto"/>
              </w:rPr>
            </w:pPr>
          </w:p>
        </w:tc>
      </w:tr>
      <w:tr>
        <w:trPr>
          <w:trHeight w:val="409"/>
        </w:trPr>
        <w:tc>
          <w:tcPr>
            <w:tcW w:w="4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Michael Alfred</w:t>
            </w:r>
          </w:p>
        </w:tc>
        <w:tc>
          <w:tcPr>
            <w:tcW w:w="100" w:type="dxa"/>
            <w:vAlign w:val="bottom"/>
          </w:tcPr>
          <w:p>
            <w:pPr>
              <w:spacing w:after="0"/>
              <w:rPr>
                <w:sz w:val="24"/>
                <w:szCs w:val="24"/>
                <w:color w:val="auto"/>
              </w:rPr>
            </w:pPr>
          </w:p>
        </w:tc>
        <w:tc>
          <w:tcPr>
            <w:tcW w:w="6360" w:type="dxa"/>
            <w:vAlign w:val="bottom"/>
          </w:tcPr>
          <w:p>
            <w:pPr>
              <w:spacing w:after="0"/>
              <w:rPr>
                <w:sz w:val="20"/>
                <w:szCs w:val="20"/>
                <w:color w:val="auto"/>
              </w:rPr>
            </w:pPr>
            <w:r>
              <w:rPr>
                <w:rFonts w:ascii="Times New Roman" w:cs="Times New Roman" w:eastAsia="Times New Roman" w:hAnsi="Times New Roman"/>
                <w:sz w:val="17"/>
                <w:szCs w:val="17"/>
                <w:color w:val="auto"/>
              </w:rPr>
              <w:t>Director</w:t>
            </w:r>
          </w:p>
        </w:tc>
      </w:tr>
      <w:tr>
        <w:trPr>
          <w:trHeight w:val="219"/>
        </w:trPr>
        <w:tc>
          <w:tcPr>
            <w:tcW w:w="4100" w:type="dxa"/>
            <w:vAlign w:val="bottom"/>
          </w:tcPr>
          <w:p>
            <w:pPr>
              <w:spacing w:after="0"/>
              <w:rPr>
                <w:sz w:val="20"/>
                <w:szCs w:val="20"/>
                <w:color w:val="auto"/>
              </w:rPr>
            </w:pPr>
            <w:r>
              <w:rPr>
                <w:rFonts w:ascii="Times New Roman" w:cs="Times New Roman" w:eastAsia="Times New Roman" w:hAnsi="Times New Roman"/>
                <w:sz w:val="17"/>
                <w:szCs w:val="17"/>
                <w:color w:val="auto"/>
              </w:rPr>
              <w:t>Michael Alfred</w:t>
            </w:r>
          </w:p>
        </w:tc>
        <w:tc>
          <w:tcPr>
            <w:tcW w:w="100" w:type="dxa"/>
            <w:vAlign w:val="bottom"/>
          </w:tcPr>
          <w:p>
            <w:pPr>
              <w:spacing w:after="0"/>
              <w:rPr>
                <w:sz w:val="19"/>
                <w:szCs w:val="19"/>
                <w:color w:val="auto"/>
              </w:rPr>
            </w:pPr>
          </w:p>
        </w:tc>
        <w:tc>
          <w:tcPr>
            <w:tcW w:w="6360" w:type="dxa"/>
            <w:vAlign w:val="bottom"/>
          </w:tcPr>
          <w:p>
            <w:pPr>
              <w:spacing w:after="0"/>
              <w:rPr>
                <w:sz w:val="19"/>
                <w:szCs w:val="19"/>
                <w:color w:val="auto"/>
              </w:rPr>
            </w:pPr>
          </w:p>
        </w:tc>
      </w:tr>
      <w:tr>
        <w:trPr>
          <w:trHeight w:val="409"/>
        </w:trPr>
        <w:tc>
          <w:tcPr>
            <w:tcW w:w="4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Colleen Brown</w:t>
            </w:r>
          </w:p>
        </w:tc>
        <w:tc>
          <w:tcPr>
            <w:tcW w:w="100" w:type="dxa"/>
            <w:vAlign w:val="bottom"/>
          </w:tcPr>
          <w:p>
            <w:pPr>
              <w:spacing w:after="0"/>
              <w:rPr>
                <w:sz w:val="24"/>
                <w:szCs w:val="24"/>
                <w:color w:val="auto"/>
              </w:rPr>
            </w:pPr>
          </w:p>
        </w:tc>
        <w:tc>
          <w:tcPr>
            <w:tcW w:w="6360" w:type="dxa"/>
            <w:vAlign w:val="bottom"/>
          </w:tcPr>
          <w:p>
            <w:pPr>
              <w:spacing w:after="0"/>
              <w:rPr>
                <w:sz w:val="20"/>
                <w:szCs w:val="20"/>
                <w:color w:val="auto"/>
              </w:rPr>
            </w:pPr>
            <w:r>
              <w:rPr>
                <w:rFonts w:ascii="Times New Roman" w:cs="Times New Roman" w:eastAsia="Times New Roman" w:hAnsi="Times New Roman"/>
                <w:sz w:val="17"/>
                <w:szCs w:val="17"/>
                <w:color w:val="auto"/>
              </w:rPr>
              <w:t>Director</w:t>
            </w:r>
          </w:p>
        </w:tc>
      </w:tr>
      <w:tr>
        <w:trPr>
          <w:trHeight w:val="219"/>
        </w:trPr>
        <w:tc>
          <w:tcPr>
            <w:tcW w:w="4100" w:type="dxa"/>
            <w:vAlign w:val="bottom"/>
          </w:tcPr>
          <w:p>
            <w:pPr>
              <w:spacing w:after="0"/>
              <w:rPr>
                <w:sz w:val="20"/>
                <w:szCs w:val="20"/>
                <w:color w:val="auto"/>
              </w:rPr>
            </w:pPr>
            <w:r>
              <w:rPr>
                <w:rFonts w:ascii="Times New Roman" w:cs="Times New Roman" w:eastAsia="Times New Roman" w:hAnsi="Times New Roman"/>
                <w:sz w:val="17"/>
                <w:szCs w:val="17"/>
                <w:color w:val="auto"/>
              </w:rPr>
              <w:t>Colleen Brown</w:t>
            </w:r>
          </w:p>
        </w:tc>
        <w:tc>
          <w:tcPr>
            <w:tcW w:w="100" w:type="dxa"/>
            <w:vAlign w:val="bottom"/>
          </w:tcPr>
          <w:p>
            <w:pPr>
              <w:spacing w:after="0"/>
              <w:rPr>
                <w:sz w:val="19"/>
                <w:szCs w:val="19"/>
                <w:color w:val="auto"/>
              </w:rPr>
            </w:pPr>
          </w:p>
        </w:tc>
        <w:tc>
          <w:tcPr>
            <w:tcW w:w="6360" w:type="dxa"/>
            <w:vAlign w:val="bottom"/>
          </w:tcPr>
          <w:p>
            <w:pPr>
              <w:spacing w:after="0"/>
              <w:rPr>
                <w:sz w:val="19"/>
                <w:szCs w:val="19"/>
                <w:color w:val="auto"/>
              </w:rPr>
            </w:pPr>
          </w:p>
        </w:tc>
      </w:tr>
      <w:tr>
        <w:trPr>
          <w:trHeight w:val="344"/>
        </w:trPr>
        <w:tc>
          <w:tcPr>
            <w:tcW w:w="4100" w:type="dxa"/>
            <w:vAlign w:val="bottom"/>
          </w:tcPr>
          <w:p>
            <w:pPr>
              <w:spacing w:after="0"/>
              <w:rPr>
                <w:sz w:val="24"/>
                <w:szCs w:val="24"/>
                <w:color w:val="auto"/>
              </w:rPr>
            </w:pPr>
          </w:p>
        </w:tc>
        <w:tc>
          <w:tcPr>
            <w:tcW w:w="6460" w:type="dxa"/>
            <w:vAlign w:val="bottom"/>
            <w:gridSpan w:val="2"/>
          </w:tcPr>
          <w:p>
            <w:pPr>
              <w:jc w:val="right"/>
              <w:ind w:right="5155"/>
              <w:spacing w:after="0"/>
              <w:rPr>
                <w:sz w:val="20"/>
                <w:szCs w:val="20"/>
                <w:color w:val="auto"/>
              </w:rPr>
            </w:pPr>
            <w:r>
              <w:rPr>
                <w:rFonts w:ascii="Times New Roman" w:cs="Times New Roman" w:eastAsia="Times New Roman" w:hAnsi="Times New Roman"/>
                <w:sz w:val="17"/>
                <w:szCs w:val="17"/>
                <w:color w:val="auto"/>
              </w:rPr>
              <w:t>6</w:t>
            </w:r>
          </w:p>
        </w:tc>
      </w:tr>
    </w:tbl>
    <w:p>
      <w:pPr>
        <w:sectPr>
          <w:pgSz w:w="11900" w:h="16838" w:orient="portrait"/>
          <w:cols w:equalWidth="0" w:num="1">
            <w:col w:w="10560"/>
          </w:cols>
          <w:pgMar w:left="660" w:top="262" w:right="679" w:bottom="1440" w:gutter="0" w:footer="0" w:header="0"/>
        </w:sectPr>
      </w:pPr>
    </w:p>
    <w:bookmarkStart w:id="6" w:name="page7"/>
    <w:bookmarkEnd w:id="6"/>
    <w:p>
      <w:pPr>
        <w:ind w:left="9760"/>
        <w:spacing w:after="0"/>
        <w:rPr>
          <w:sz w:val="20"/>
          <w:szCs w:val="20"/>
          <w:color w:val="auto"/>
        </w:rPr>
      </w:pPr>
      <w:r>
        <w:rPr>
          <w:rFonts w:ascii="Times New Roman" w:cs="Times New Roman" w:eastAsia="Times New Roman" w:hAnsi="Times New Roman"/>
          <w:sz w:val="17"/>
          <w:szCs w:val="17"/>
          <w:b w:val="1"/>
          <w:bCs w:val="1"/>
          <w:color w:val="auto"/>
        </w:rPr>
        <w:t>Exhibit 5.1</w:t>
      </w:r>
    </w:p>
    <w:p>
      <w:pPr>
        <w:spacing w:after="0" w:line="245" w:lineRule="exact"/>
        <w:rPr>
          <w:sz w:val="20"/>
          <w:szCs w:val="20"/>
          <w:color w:val="auto"/>
        </w:rPr>
      </w:pPr>
    </w:p>
    <w:p>
      <w:pPr>
        <w:jc w:val="center"/>
        <w:ind w:left="5500"/>
        <w:spacing w:after="0"/>
        <w:rPr>
          <w:sz w:val="20"/>
          <w:szCs w:val="20"/>
          <w:color w:val="auto"/>
        </w:rPr>
      </w:pPr>
      <w:r>
        <w:rPr>
          <w:rFonts w:ascii="Times New Roman" w:cs="Times New Roman" w:eastAsia="Times New Roman" w:hAnsi="Times New Roman"/>
          <w:sz w:val="17"/>
          <w:szCs w:val="17"/>
          <w:b w:val="1"/>
          <w:bCs w:val="1"/>
          <w:color w:val="auto"/>
        </w:rPr>
        <w:t>125 Broad Street</w:t>
      </w:r>
    </w:p>
    <w:p>
      <w:pPr>
        <w:spacing w:after="0" w:line="32" w:lineRule="exact"/>
        <w:rPr>
          <w:sz w:val="20"/>
          <w:szCs w:val="20"/>
          <w:color w:val="auto"/>
        </w:rPr>
      </w:pPr>
    </w:p>
    <w:p>
      <w:pPr>
        <w:jc w:val="center"/>
        <w:ind w:left="5500"/>
        <w:spacing w:after="0"/>
        <w:rPr>
          <w:sz w:val="20"/>
          <w:szCs w:val="20"/>
          <w:color w:val="auto"/>
        </w:rPr>
      </w:pPr>
      <w:r>
        <w:rPr>
          <w:rFonts w:ascii="Times New Roman" w:cs="Times New Roman" w:eastAsia="Times New Roman" w:hAnsi="Times New Roman"/>
          <w:sz w:val="17"/>
          <w:szCs w:val="17"/>
          <w:b w:val="1"/>
          <w:bCs w:val="1"/>
          <w:color w:val="auto"/>
        </w:rPr>
        <w:t>New York, New York 10004-2498</w:t>
      </w:r>
    </w:p>
    <w:p>
      <w:pPr>
        <w:sectPr>
          <w:pgSz w:w="11900" w:h="16838" w:orient="portrait"/>
          <w:cols w:equalWidth="0" w:num="1">
            <w:col w:w="10560"/>
          </w:cols>
          <w:pgMar w:left="660" w:top="119" w:right="679" w:bottom="1440" w:gutter="0" w:footer="0" w:header="0"/>
        </w:sectPr>
      </w:pPr>
    </w:p>
    <w:p>
      <w:pPr>
        <w:spacing w:after="0" w:line="200" w:lineRule="exact"/>
        <w:rPr>
          <w:sz w:val="20"/>
          <w:szCs w:val="20"/>
          <w:color w:val="auto"/>
        </w:rPr>
      </w:pPr>
    </w:p>
    <w:p>
      <w:pPr>
        <w:spacing w:after="0" w:line="246" w:lineRule="exact"/>
        <w:rPr>
          <w:sz w:val="20"/>
          <w:szCs w:val="20"/>
          <w:color w:val="auto"/>
        </w:rPr>
      </w:pPr>
    </w:p>
    <w:p>
      <w:pPr>
        <w:jc w:val="center"/>
        <w:ind w:left="40"/>
        <w:spacing w:after="0"/>
        <w:rPr>
          <w:sz w:val="20"/>
          <w:szCs w:val="20"/>
          <w:color w:val="auto"/>
        </w:rPr>
      </w:pPr>
      <w:r>
        <w:rPr>
          <w:rFonts w:ascii="Times New Roman" w:cs="Times New Roman" w:eastAsia="Times New Roman" w:hAnsi="Times New Roman"/>
          <w:sz w:val="17"/>
          <w:szCs w:val="17"/>
          <w:color w:val="auto"/>
        </w:rPr>
        <w:t>TELEPHONE: 1-212-558-4000</w:t>
      </w:r>
    </w:p>
    <w:p>
      <w:pPr>
        <w:spacing w:after="0" w:line="30" w:lineRule="exact"/>
        <w:rPr>
          <w:sz w:val="20"/>
          <w:szCs w:val="20"/>
          <w:color w:val="auto"/>
        </w:rPr>
      </w:pPr>
    </w:p>
    <w:p>
      <w:pPr>
        <w:jc w:val="center"/>
        <w:ind w:left="40"/>
        <w:spacing w:after="0"/>
        <w:rPr>
          <w:sz w:val="20"/>
          <w:szCs w:val="20"/>
          <w:color w:val="auto"/>
        </w:rPr>
      </w:pPr>
      <w:r>
        <w:rPr>
          <w:rFonts w:ascii="Times New Roman" w:cs="Times New Roman" w:eastAsia="Times New Roman" w:hAnsi="Times New Roman"/>
          <w:sz w:val="17"/>
          <w:szCs w:val="17"/>
          <w:color w:val="auto"/>
        </w:rPr>
        <w:t>FACSIMILE: 1-212-558-3588</w:t>
      </w:r>
    </w:p>
    <w:p>
      <w:pPr>
        <w:spacing w:after="0" w:line="12" w:lineRule="exact"/>
        <w:rPr>
          <w:sz w:val="20"/>
          <w:szCs w:val="20"/>
          <w:color w:val="auto"/>
        </w:rPr>
      </w:pPr>
    </w:p>
    <w:p>
      <w:pPr>
        <w:jc w:val="center"/>
        <w:ind w:left="40"/>
        <w:spacing w:after="0"/>
        <w:rPr>
          <w:sz w:val="20"/>
          <w:szCs w:val="20"/>
          <w:color w:val="auto"/>
        </w:rPr>
      </w:pPr>
      <w:r>
        <w:rPr>
          <w:rFonts w:ascii="Times New Roman" w:cs="Times New Roman" w:eastAsia="Times New Roman" w:hAnsi="Times New Roman"/>
          <w:sz w:val="17"/>
          <w:szCs w:val="17"/>
          <w:color w:val="auto"/>
        </w:rPr>
        <w:t>WWW.SULLCROM.COM</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jc w:val="center"/>
        <w:ind w:right="560"/>
        <w:spacing w:after="0" w:line="266" w:lineRule="auto"/>
        <w:rPr>
          <w:sz w:val="20"/>
          <w:szCs w:val="20"/>
          <w:color w:val="auto"/>
        </w:rPr>
      </w:pPr>
      <w:r>
        <w:rPr>
          <w:rFonts w:ascii="Times New Roman" w:cs="Times New Roman" w:eastAsia="Times New Roman" w:hAnsi="Times New Roman"/>
          <w:sz w:val="17"/>
          <w:szCs w:val="17"/>
          <w:color w:val="auto"/>
        </w:rPr>
        <w:t>LOS ANGELES • PALO ALTO • WASHINGTON, D.C. BRUSSELS • FRANKFURT • LONDON • PARIS BEIJING • HONG KONG • TOKYO MELBOURNE • SYDNEY</w:t>
      </w:r>
    </w:p>
    <w:p>
      <w:pPr>
        <w:spacing w:after="0" w:line="182" w:lineRule="exact"/>
        <w:rPr>
          <w:sz w:val="20"/>
          <w:szCs w:val="20"/>
          <w:color w:val="auto"/>
        </w:rPr>
      </w:pPr>
    </w:p>
    <w:p>
      <w:pPr>
        <w:sectPr>
          <w:pgSz w:w="11900" w:h="16838" w:orient="portrait"/>
          <w:cols w:equalWidth="0" w:num="2">
            <w:col w:w="5360" w:space="720"/>
            <w:col w:w="4480"/>
          </w:cols>
          <w:pgMar w:left="660" w:top="119" w:right="679" w:bottom="1440" w:gutter="0" w:footer="0" w:header="0"/>
          <w:type w:val="continuous"/>
        </w:sectPr>
      </w:pPr>
    </w:p>
    <w:p>
      <w:pPr>
        <w:ind w:left="9200"/>
        <w:spacing w:after="0"/>
        <w:rPr>
          <w:sz w:val="20"/>
          <w:szCs w:val="20"/>
          <w:color w:val="auto"/>
        </w:rPr>
      </w:pPr>
      <w:r>
        <w:rPr>
          <w:rFonts w:ascii="Times New Roman" w:cs="Times New Roman" w:eastAsia="Times New Roman" w:hAnsi="Times New Roman"/>
          <w:sz w:val="17"/>
          <w:szCs w:val="17"/>
          <w:color w:val="auto"/>
        </w:rPr>
        <w:t>November 10, 2025</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Bakkt Holdings, Inc.,</w:t>
      </w:r>
    </w:p>
    <w:p>
      <w:pPr>
        <w:spacing w:after="0" w:line="3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One Liberty Plaza, One Liberty St., Ste. 305-306,</w:t>
      </w:r>
    </w:p>
    <w:p>
      <w:pPr>
        <w:spacing w:after="0" w:line="12"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7"/>
          <w:szCs w:val="17"/>
          <w:color w:val="auto"/>
        </w:rPr>
        <w:t>New York, New York 10006.</w:t>
      </w:r>
    </w:p>
    <w:p>
      <w:pPr>
        <w:sectPr>
          <w:pgSz w:w="11900" w:h="16838" w:orient="portrait"/>
          <w:cols w:equalWidth="0" w:num="1">
            <w:col w:w="10560"/>
          </w:cols>
          <w:pgMar w:left="660" w:top="119" w:right="679" w:bottom="1440" w:gutter="0" w:footer="0" w:header="0"/>
          <w:type w:val="continuous"/>
        </w:sectPr>
      </w:pP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Ladies and Gentlemen:</w:t>
      </w:r>
    </w:p>
    <w:p>
      <w:pPr>
        <w:spacing w:after="0" w:line="115" w:lineRule="exact"/>
        <w:rPr>
          <w:sz w:val="20"/>
          <w:szCs w:val="20"/>
          <w:color w:val="auto"/>
        </w:rPr>
      </w:pPr>
    </w:p>
    <w:p>
      <w:pPr>
        <w:ind w:right="140" w:firstLine="951"/>
        <w:spacing w:after="0" w:line="266" w:lineRule="auto"/>
        <w:rPr>
          <w:sz w:val="20"/>
          <w:szCs w:val="20"/>
          <w:color w:val="auto"/>
        </w:rPr>
      </w:pPr>
      <w:r>
        <w:rPr>
          <w:rFonts w:ascii="Times New Roman" w:cs="Times New Roman" w:eastAsia="Times New Roman" w:hAnsi="Times New Roman"/>
          <w:sz w:val="17"/>
          <w:szCs w:val="17"/>
          <w:color w:val="auto"/>
        </w:rPr>
        <w:t>In connection with the registration under the Securities Act of 1933 (the “Act”) of 2,000,000 shares of Class A common stock, par value $0.0001 per share (the “Securities”), of Bakkt Holdings, Inc., a Delaware corporation (the “Company”), issuable under the Company’s Option Award Agreements (the “Option Program”), we, as your counsel, have examined such corporate records, certificates and other documents, and such questions of law, as we have considered necessary or appropriate for the purposes of this opinion.</w:t>
      </w:r>
    </w:p>
    <w:p>
      <w:pPr>
        <w:spacing w:after="0" w:line="169" w:lineRule="exact"/>
        <w:rPr>
          <w:sz w:val="20"/>
          <w:szCs w:val="20"/>
          <w:color w:val="auto"/>
        </w:rPr>
      </w:pPr>
    </w:p>
    <w:p>
      <w:pPr>
        <w:jc w:val="both"/>
        <w:ind w:right="440" w:firstLine="951"/>
        <w:spacing w:after="0" w:line="273" w:lineRule="auto"/>
        <w:rPr>
          <w:sz w:val="20"/>
          <w:szCs w:val="20"/>
          <w:color w:val="auto"/>
        </w:rPr>
      </w:pPr>
      <w:r>
        <w:rPr>
          <w:rFonts w:ascii="Times New Roman" w:cs="Times New Roman" w:eastAsia="Times New Roman" w:hAnsi="Times New Roman"/>
          <w:sz w:val="17"/>
          <w:szCs w:val="17"/>
          <w:color w:val="auto"/>
        </w:rPr>
        <w:t>Upon the basis of such examination, it is our opinion that when the registration statement relating to the Securities (the “Registration Statement”) has become effective under the Act and the Securities have been duly issued in accordance with the terms of the Option Program, the Securities will be validly issued, fully paid and nonassessable.</w:t>
      </w:r>
    </w:p>
    <w:p>
      <w:pPr>
        <w:spacing w:after="0" w:line="162" w:lineRule="exact"/>
        <w:rPr>
          <w:sz w:val="20"/>
          <w:szCs w:val="20"/>
          <w:color w:val="auto"/>
        </w:rPr>
      </w:pPr>
    </w:p>
    <w:p>
      <w:pPr>
        <w:ind w:right="60" w:firstLine="951"/>
        <w:spacing w:after="0" w:line="291" w:lineRule="auto"/>
        <w:rPr>
          <w:sz w:val="20"/>
          <w:szCs w:val="20"/>
          <w:color w:val="auto"/>
        </w:rPr>
      </w:pPr>
      <w:r>
        <w:rPr>
          <w:rFonts w:ascii="Times New Roman" w:cs="Times New Roman" w:eastAsia="Times New Roman" w:hAnsi="Times New Roman"/>
          <w:sz w:val="17"/>
          <w:szCs w:val="17"/>
          <w:color w:val="auto"/>
        </w:rPr>
        <w:t>In rendering the foregoing opinion, we are not passing upon, and assume no responsibility for, any disclosure in any registration statement or any related prospectus or other offering material relating to the offer and sale of the Securities.</w:t>
      </w:r>
    </w:p>
    <w:p>
      <w:pPr>
        <w:spacing w:after="0" w:line="148" w:lineRule="exact"/>
        <w:rPr>
          <w:sz w:val="20"/>
          <w:szCs w:val="20"/>
          <w:color w:val="auto"/>
        </w:rPr>
      </w:pPr>
    </w:p>
    <w:p>
      <w:pPr>
        <w:ind w:right="180" w:firstLine="951"/>
        <w:spacing w:after="0" w:line="291" w:lineRule="auto"/>
        <w:rPr>
          <w:sz w:val="20"/>
          <w:szCs w:val="20"/>
          <w:color w:val="auto"/>
        </w:rPr>
      </w:pPr>
      <w:r>
        <w:rPr>
          <w:rFonts w:ascii="Times New Roman" w:cs="Times New Roman" w:eastAsia="Times New Roman" w:hAnsi="Times New Roman"/>
          <w:sz w:val="17"/>
          <w:szCs w:val="17"/>
          <w:color w:val="auto"/>
        </w:rPr>
        <w:t>The foregoing opinion is limited to the Federal laws of the United States and the General Corporation Law of the State of Delaware, and we are expressing no opinion as to the effect of the laws of any other jurisdiction.</w:t>
      </w:r>
    </w:p>
    <w:p>
      <w:pPr>
        <w:spacing w:after="0" w:line="148" w:lineRule="exact"/>
        <w:rPr>
          <w:sz w:val="20"/>
          <w:szCs w:val="20"/>
          <w:color w:val="auto"/>
        </w:rPr>
      </w:pPr>
    </w:p>
    <w:p>
      <w:pPr>
        <w:ind w:right="460" w:firstLine="951"/>
        <w:spacing w:after="0" w:line="291" w:lineRule="auto"/>
        <w:rPr>
          <w:sz w:val="20"/>
          <w:szCs w:val="20"/>
          <w:color w:val="auto"/>
        </w:rPr>
      </w:pPr>
      <w:r>
        <w:rPr>
          <w:rFonts w:ascii="Times New Roman" w:cs="Times New Roman" w:eastAsia="Times New Roman" w:hAnsi="Times New Roman"/>
          <w:sz w:val="17"/>
          <w:szCs w:val="17"/>
          <w:color w:val="auto"/>
        </w:rPr>
        <w:t>We have relied as to certain factual matters on information obtained from public officials, officers of the Company and other sources believed by us to be responsible.</w:t>
      </w:r>
    </w:p>
    <w:p>
      <w:pPr>
        <w:spacing w:after="0" w:line="148" w:lineRule="exact"/>
        <w:rPr>
          <w:sz w:val="20"/>
          <w:szCs w:val="20"/>
          <w:color w:val="auto"/>
        </w:rPr>
      </w:pPr>
    </w:p>
    <w:p>
      <w:pPr>
        <w:ind w:right="20" w:firstLine="951"/>
        <w:spacing w:after="0" w:line="291" w:lineRule="auto"/>
        <w:rPr>
          <w:sz w:val="20"/>
          <w:szCs w:val="20"/>
          <w:color w:val="auto"/>
        </w:rPr>
      </w:pPr>
      <w:r>
        <w:rPr>
          <w:rFonts w:ascii="Times New Roman" w:cs="Times New Roman" w:eastAsia="Times New Roman" w:hAnsi="Times New Roman"/>
          <w:sz w:val="17"/>
          <w:szCs w:val="17"/>
          <w:color w:val="auto"/>
        </w:rPr>
        <w:t>We hereby consent to the filing of this opinion as an exhibit to the Registration Statement. In giving such consent, we do not thereby admit that we are in the category of persons whose consent is required under Section 7 of the Act.</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Very truly yours,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SULLIVAN &amp; CROMWELL LLP</w:t>
      </w:r>
    </w:p>
    <w:p>
      <w:pPr>
        <w:sectPr>
          <w:pgSz w:w="11900" w:h="16838" w:orient="portrait"/>
          <w:cols w:equalWidth="0" w:num="1">
            <w:col w:w="10560"/>
          </w:cols>
          <w:pgMar w:left="660" w:top="119" w:right="679" w:bottom="1440" w:gutter="0" w:footer="0" w:header="0"/>
          <w:type w:val="continuous"/>
        </w:sectPr>
      </w:pPr>
    </w:p>
    <w:bookmarkStart w:id="7" w:name="page8"/>
    <w:bookmarkEnd w:id="7"/>
    <w:p>
      <w:pPr>
        <w:jc w:val="right"/>
        <w:spacing w:after="0"/>
        <w:rPr>
          <w:sz w:val="20"/>
          <w:szCs w:val="20"/>
          <w:color w:val="auto"/>
        </w:rPr>
      </w:pPr>
      <w:r>
        <w:rPr>
          <w:rFonts w:ascii="Times New Roman" w:cs="Times New Roman" w:eastAsia="Times New Roman" w:hAnsi="Times New Roman"/>
          <w:sz w:val="17"/>
          <w:szCs w:val="17"/>
          <w:b w:val="1"/>
          <w:bCs w:val="1"/>
          <w:color w:val="auto"/>
        </w:rPr>
        <w:t>EXHIBIT 23.1</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Consent of Independent Registered Public Accounting Firm</w:t>
      </w:r>
    </w:p>
    <w:p>
      <w:pPr>
        <w:spacing w:after="0" w:line="221"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7"/>
          <w:szCs w:val="17"/>
          <w:color w:val="auto"/>
        </w:rPr>
        <w:t>We consent to the incorporation by reference in the Registration Statement (Form S-8) pertaining to the registration of an aggregate of 2,000,000 shares of Class A Common Stock to be issued under the Option Award Agreement of Bakkt Holdings, Inc. of our report dated March 25, 2024, except for the effects of Staff Accounting Bulletin 122 Accounting for Obligations to Safeguard Crypto-Assets an Entity Holds for its Platform Users, Accounting Standards Update 2023-07, Segment Reporting (Topic 280): Improvements to Reportable Segment Disclosures, and the Reverse Stock Split completed by the Company on April 29, 2024, all as disclosed in Note 2 as to which the date is March 19, 2025, with respect to the consolidated financial statements of Bakkt Holdings, Inc. for the fiscal year ended December 31, 2023, filed with the Securities and Exchange Commission.</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Ernst &amp; Young LLP</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Atlanta, Georgia</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November 10, 2025</w:t>
      </w:r>
    </w:p>
    <w:p>
      <w:pPr>
        <w:sectPr>
          <w:pgSz w:w="11900" w:h="16838" w:orient="portrait"/>
          <w:cols w:equalWidth="0" w:num="1">
            <w:col w:w="10560"/>
          </w:cols>
          <w:pgMar w:left="660" w:top="119" w:right="679" w:bottom="1440"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17"/>
          <w:szCs w:val="17"/>
          <w:b w:val="1"/>
          <w:bCs w:val="1"/>
          <w:color w:val="auto"/>
        </w:rPr>
        <w:t>Exhibit 23.2</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Consent of Independent Registered Public Accounting Firm</w:t>
      </w:r>
    </w:p>
    <w:p>
      <w:pPr>
        <w:spacing w:after="0" w:line="221" w:lineRule="exact"/>
        <w:rPr>
          <w:sz w:val="20"/>
          <w:szCs w:val="20"/>
          <w:color w:val="auto"/>
        </w:rPr>
      </w:pPr>
    </w:p>
    <w:p>
      <w:pPr>
        <w:ind w:right="560"/>
        <w:spacing w:after="0" w:line="273" w:lineRule="auto"/>
        <w:rPr>
          <w:sz w:val="20"/>
          <w:szCs w:val="20"/>
          <w:color w:val="auto"/>
        </w:rPr>
      </w:pPr>
      <w:r>
        <w:rPr>
          <w:rFonts w:ascii="Times New Roman" w:cs="Times New Roman" w:eastAsia="Times New Roman" w:hAnsi="Times New Roman"/>
          <w:sz w:val="17"/>
          <w:szCs w:val="17"/>
          <w:color w:val="auto"/>
        </w:rPr>
        <w:t>We consent to the use of our reports dated March 19, 2025, with respect to the consolidated financial statements of Bakkt Holdings, Inc., and the effectiveness of internal control over financial reporting, appearing in the Company’s Annual Report (Form 10-K) as of and for the year ended December 31, 2024 incorporated herein by reference.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 KPMG LLP</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New York, New York</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November 10, 2025</w:t>
      </w:r>
    </w:p>
    <w:p>
      <w:pPr>
        <w:sectPr>
          <w:pgSz w:w="11900" w:h="16838" w:orient="portrait"/>
          <w:cols w:equalWidth="0" w:num="1">
            <w:col w:w="10560"/>
          </w:cols>
          <w:pgMar w:left="660" w:top="119" w:right="679" w:bottom="1440" w:gutter="0" w:footer="0" w:header="0"/>
        </w:sectPr>
      </w:pPr>
    </w:p>
    <w:bookmarkStart w:id="9" w:name="page10"/>
    <w:bookmarkEnd w:id="9"/>
    <w:p>
      <w:pPr>
        <w:ind w:left="2980"/>
        <w:spacing w:after="0"/>
        <w:rPr>
          <w:sz w:val="20"/>
          <w:szCs w:val="20"/>
          <w:color w:val="auto"/>
        </w:rPr>
      </w:pPr>
      <w:r>
        <w:rPr>
          <w:rFonts w:ascii="Arial" w:cs="Arial" w:eastAsia="Arial" w:hAnsi="Arial"/>
          <w:sz w:val="35"/>
          <w:szCs w:val="35"/>
          <w:b w:val="1"/>
          <w:bCs w:val="1"/>
          <w:color w:val="auto"/>
        </w:rPr>
        <w:t>Calculation of Filing Fee Tables</w:t>
      </w:r>
    </w:p>
    <w:p>
      <w:pPr>
        <w:spacing w:after="0" w:line="206" w:lineRule="exact"/>
        <w:rPr>
          <w:sz w:val="20"/>
          <w:szCs w:val="20"/>
          <w:color w:val="auto"/>
        </w:rPr>
      </w:pPr>
    </w:p>
    <w:p>
      <w:pPr>
        <w:ind w:left="5280"/>
        <w:spacing w:after="0"/>
        <w:rPr>
          <w:sz w:val="20"/>
          <w:szCs w:val="20"/>
          <w:color w:val="auto"/>
        </w:rPr>
      </w:pPr>
      <w:r>
        <w:rPr>
          <w:rFonts w:ascii="Arial" w:cs="Arial" w:eastAsia="Arial" w:hAnsi="Arial"/>
          <w:sz w:val="35"/>
          <w:szCs w:val="35"/>
          <w:b w:val="1"/>
          <w:bCs w:val="1"/>
          <w:color w:val="auto"/>
        </w:rPr>
        <w:t>S-8</w:t>
      </w:r>
    </w:p>
    <w:p>
      <w:pPr>
        <w:spacing w:after="0" w:line="116" w:lineRule="exact"/>
        <w:rPr>
          <w:sz w:val="20"/>
          <w:szCs w:val="20"/>
          <w:color w:val="auto"/>
        </w:rPr>
      </w:pPr>
    </w:p>
    <w:p>
      <w:pPr>
        <w:ind w:left="3900"/>
        <w:spacing w:after="0"/>
        <w:rPr>
          <w:sz w:val="20"/>
          <w:szCs w:val="20"/>
          <w:color w:val="auto"/>
        </w:rPr>
      </w:pPr>
      <w:r>
        <w:rPr>
          <w:rFonts w:ascii="Arial" w:cs="Arial" w:eastAsia="Arial" w:hAnsi="Arial"/>
          <w:sz w:val="35"/>
          <w:szCs w:val="35"/>
          <w:b w:val="1"/>
          <w:bCs w:val="1"/>
          <w:color w:val="auto"/>
        </w:rPr>
        <w:t>Bakkt Holdings, Inc.</w:t>
      </w:r>
    </w:p>
    <w:p>
      <w:pPr>
        <w:spacing w:after="0" w:line="153" w:lineRule="exact"/>
        <w:rPr>
          <w:sz w:val="20"/>
          <w:szCs w:val="20"/>
          <w:color w:val="auto"/>
        </w:rPr>
      </w:pPr>
    </w:p>
    <w:p>
      <w:pPr>
        <w:jc w:val="center"/>
        <w:ind w:right="100"/>
        <w:spacing w:after="0"/>
        <w:rPr>
          <w:sz w:val="20"/>
          <w:szCs w:val="20"/>
          <w:color w:val="auto"/>
        </w:rPr>
      </w:pPr>
      <w:r>
        <w:rPr>
          <w:rFonts w:ascii="Arial" w:cs="Arial" w:eastAsia="Arial" w:hAnsi="Arial"/>
          <w:sz w:val="21"/>
          <w:szCs w:val="21"/>
          <w:b w:val="1"/>
          <w:bCs w:val="1"/>
          <w:color w:val="auto"/>
        </w:rPr>
        <w:t>Table 1: Newly Registered Securities</w:t>
      </w:r>
    </w:p>
    <w:p>
      <w:pPr>
        <w:spacing w:after="0" w:line="42" w:lineRule="exact"/>
        <w:rPr>
          <w:sz w:val="20"/>
          <w:szCs w:val="20"/>
          <w:color w:val="auto"/>
        </w:rPr>
      </w:pPr>
    </w:p>
    <w:tbl>
      <w:tblPr>
        <w:tblLayout w:type="fixed"/>
        <w:tblInd w:w="570" w:type="dxa"/>
        <w:tblCellMar>
          <w:top w:w="0" w:type="dxa"/>
          <w:left w:w="0" w:type="dxa"/>
          <w:bottom w:w="0" w:type="dxa"/>
          <w:right w:w="0" w:type="dxa"/>
        </w:tblCellMar>
      </w:tblPr>
      <w:tr>
        <w:trPr>
          <w:trHeight w:val="40"/>
        </w:trPr>
        <w:tc>
          <w:tcPr>
            <w:tcW w:w="60" w:type="dxa"/>
            <w:vAlign w:val="bottom"/>
            <w:tcBorders>
              <w:top w:val="single" w:sz="8" w:color="auto"/>
              <w:left w:val="single" w:sz="8" w:color="auto"/>
            </w:tcBorders>
          </w:tcPr>
          <w:p>
            <w:pPr>
              <w:spacing w:after="0"/>
              <w:rPr>
                <w:sz w:val="3"/>
                <w:szCs w:val="3"/>
                <w:color w:val="auto"/>
              </w:rPr>
            </w:pPr>
          </w:p>
        </w:tc>
        <w:tc>
          <w:tcPr>
            <w:tcW w:w="18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96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96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16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10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140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54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02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520" w:type="dxa"/>
            <w:vAlign w:val="bottom"/>
            <w:tcBorders>
              <w:top w:val="single" w:sz="8" w:color="auto"/>
            </w:tcBorders>
          </w:tcPr>
          <w:p>
            <w:pPr>
              <w:spacing w:after="0"/>
              <w:rPr>
                <w:sz w:val="3"/>
                <w:szCs w:val="3"/>
                <w:color w:val="auto"/>
              </w:rPr>
            </w:pPr>
          </w:p>
        </w:tc>
        <w:tc>
          <w:tcPr>
            <w:tcW w:w="60" w:type="dxa"/>
            <w:vAlign w:val="bottom"/>
            <w:tcBorders>
              <w:top w:val="single" w:sz="8" w:color="auto"/>
              <w:right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3"/>
        </w:trPr>
        <w:tc>
          <w:tcPr>
            <w:tcW w:w="60" w:type="dxa"/>
            <w:vAlign w:val="bottom"/>
            <w:tcBorders>
              <w:left w:val="single" w:sz="8" w:color="auto"/>
            </w:tcBorders>
          </w:tcPr>
          <w:p>
            <w:pPr>
              <w:spacing w:after="0"/>
              <w:rPr>
                <w:sz w:val="18"/>
                <w:szCs w:val="18"/>
                <w:color w:val="auto"/>
              </w:rPr>
            </w:pPr>
          </w:p>
        </w:tc>
        <w:tc>
          <w:tcPr>
            <w:tcW w:w="18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w w:val="98"/>
              </w:rPr>
              <w:t>Security</w:t>
            </w:r>
          </w:p>
        </w:tc>
        <w:tc>
          <w:tcPr>
            <w:tcW w:w="20" w:type="dxa"/>
            <w:vAlign w:val="bottom"/>
          </w:tcPr>
          <w:p>
            <w:pPr>
              <w:spacing w:after="0"/>
              <w:rPr>
                <w:sz w:val="18"/>
                <w:szCs w:val="18"/>
                <w:color w:val="auto"/>
              </w:rPr>
            </w:pPr>
          </w:p>
        </w:tc>
        <w:tc>
          <w:tcPr>
            <w:tcW w:w="116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Fee</w:t>
            </w:r>
          </w:p>
        </w:tc>
        <w:tc>
          <w:tcPr>
            <w:tcW w:w="20" w:type="dxa"/>
            <w:vAlign w:val="bottom"/>
          </w:tcPr>
          <w:p>
            <w:pPr>
              <w:spacing w:after="0"/>
              <w:rPr>
                <w:sz w:val="18"/>
                <w:szCs w:val="18"/>
                <w:color w:val="auto"/>
              </w:rPr>
            </w:pPr>
          </w:p>
        </w:tc>
        <w:tc>
          <w:tcPr>
            <w:tcW w:w="1100" w:type="dxa"/>
            <w:vAlign w:val="bottom"/>
            <w:shd w:val="clear" w:color="auto" w:fill="9ADAF6"/>
          </w:tcPr>
          <w:p>
            <w:pPr>
              <w:spacing w:after="0"/>
              <w:rPr>
                <w:sz w:val="18"/>
                <w:szCs w:val="18"/>
                <w:color w:val="auto"/>
              </w:rPr>
            </w:pPr>
          </w:p>
        </w:tc>
        <w:tc>
          <w:tcPr>
            <w:tcW w:w="40" w:type="dxa"/>
            <w:vAlign w:val="bottom"/>
          </w:tcPr>
          <w:p>
            <w:pPr>
              <w:spacing w:after="0"/>
              <w:rPr>
                <w:sz w:val="18"/>
                <w:szCs w:val="18"/>
                <w:color w:val="auto"/>
              </w:rPr>
            </w:pPr>
          </w:p>
        </w:tc>
        <w:tc>
          <w:tcPr>
            <w:tcW w:w="1400" w:type="dxa"/>
            <w:vAlign w:val="bottom"/>
            <w:shd w:val="clear" w:color="auto" w:fill="9ADAF6"/>
          </w:tcPr>
          <w:p>
            <w:pPr>
              <w:jc w:val="center"/>
              <w:spacing w:after="0" w:line="214" w:lineRule="exact"/>
              <w:rPr>
                <w:sz w:val="20"/>
                <w:szCs w:val="20"/>
                <w:color w:val="auto"/>
              </w:rPr>
            </w:pPr>
            <w:r>
              <w:rPr>
                <w:rFonts w:ascii="Arial" w:cs="Arial" w:eastAsia="Arial" w:hAnsi="Arial"/>
                <w:sz w:val="21"/>
                <w:szCs w:val="21"/>
                <w:b w:val="1"/>
                <w:bCs w:val="1"/>
                <w:color w:val="auto"/>
                <w:w w:val="99"/>
              </w:rPr>
              <w:t>Proposed</w:t>
            </w:r>
          </w:p>
        </w:tc>
        <w:tc>
          <w:tcPr>
            <w:tcW w:w="20" w:type="dxa"/>
            <w:vAlign w:val="bottom"/>
          </w:tcPr>
          <w:p>
            <w:pPr>
              <w:spacing w:after="0"/>
              <w:rPr>
                <w:sz w:val="18"/>
                <w:szCs w:val="18"/>
                <w:color w:val="auto"/>
              </w:rPr>
            </w:pPr>
          </w:p>
        </w:tc>
        <w:tc>
          <w:tcPr>
            <w:tcW w:w="154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Maximum</w:t>
            </w:r>
          </w:p>
        </w:tc>
        <w:tc>
          <w:tcPr>
            <w:tcW w:w="20" w:type="dxa"/>
            <w:vAlign w:val="bottom"/>
          </w:tcPr>
          <w:p>
            <w:pPr>
              <w:spacing w:after="0"/>
              <w:rPr>
                <w:sz w:val="18"/>
                <w:szCs w:val="18"/>
                <w:color w:val="auto"/>
              </w:rPr>
            </w:pPr>
          </w:p>
        </w:tc>
        <w:tc>
          <w:tcPr>
            <w:tcW w:w="102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152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Amount of</w:t>
            </w:r>
          </w:p>
        </w:tc>
        <w:tc>
          <w:tcPr>
            <w:tcW w:w="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60" w:type="dxa"/>
            <w:vAlign w:val="bottom"/>
            <w:tcBorders>
              <w:left w:val="single" w:sz="8" w:color="auto"/>
            </w:tcBorders>
          </w:tcPr>
          <w:p>
            <w:pPr>
              <w:spacing w:after="0"/>
              <w:rPr>
                <w:sz w:val="18"/>
                <w:szCs w:val="18"/>
                <w:color w:val="auto"/>
              </w:rPr>
            </w:pPr>
          </w:p>
        </w:tc>
        <w:tc>
          <w:tcPr>
            <w:tcW w:w="18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shd w:val="clear" w:color="auto" w:fill="9ADAF6"/>
          </w:tcPr>
          <w:p>
            <w:pPr>
              <w:jc w:val="center"/>
              <w:spacing w:after="0" w:line="208" w:lineRule="exact"/>
              <w:rPr>
                <w:sz w:val="20"/>
                <w:szCs w:val="20"/>
                <w:color w:val="auto"/>
              </w:rPr>
            </w:pPr>
            <w:r>
              <w:rPr>
                <w:rFonts w:ascii="Arial" w:cs="Arial" w:eastAsia="Arial" w:hAnsi="Arial"/>
                <w:sz w:val="21"/>
                <w:szCs w:val="21"/>
                <w:b w:val="1"/>
                <w:bCs w:val="1"/>
                <w:color w:val="auto"/>
                <w:w w:val="98"/>
              </w:rPr>
              <w:t>Security</w:t>
            </w:r>
          </w:p>
        </w:tc>
        <w:tc>
          <w:tcPr>
            <w:tcW w:w="20" w:type="dxa"/>
            <w:vAlign w:val="bottom"/>
          </w:tcPr>
          <w:p>
            <w:pPr>
              <w:spacing w:after="0"/>
              <w:rPr>
                <w:sz w:val="18"/>
                <w:szCs w:val="18"/>
                <w:color w:val="auto"/>
              </w:rPr>
            </w:pPr>
          </w:p>
        </w:tc>
        <w:tc>
          <w:tcPr>
            <w:tcW w:w="960" w:type="dxa"/>
            <w:vAlign w:val="bottom"/>
            <w:vMerge w:val="continue"/>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1160" w:type="dxa"/>
            <w:vAlign w:val="bottom"/>
            <w:vMerge w:val="continue"/>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1100" w:type="dxa"/>
            <w:vAlign w:val="bottom"/>
            <w:shd w:val="clear" w:color="auto" w:fill="9ADAF6"/>
          </w:tcPr>
          <w:p>
            <w:pPr>
              <w:jc w:val="right"/>
              <w:ind w:right="56"/>
              <w:spacing w:after="0" w:line="208" w:lineRule="exact"/>
              <w:rPr>
                <w:sz w:val="20"/>
                <w:szCs w:val="20"/>
                <w:color w:val="auto"/>
              </w:rPr>
            </w:pPr>
            <w:r>
              <w:rPr>
                <w:rFonts w:ascii="Arial" w:cs="Arial" w:eastAsia="Arial" w:hAnsi="Arial"/>
                <w:sz w:val="21"/>
                <w:szCs w:val="21"/>
                <w:b w:val="1"/>
                <w:bCs w:val="1"/>
                <w:color w:val="auto"/>
              </w:rPr>
              <w:t>Amount</w:t>
            </w:r>
          </w:p>
        </w:tc>
        <w:tc>
          <w:tcPr>
            <w:tcW w:w="40" w:type="dxa"/>
            <w:vAlign w:val="bottom"/>
          </w:tcPr>
          <w:p>
            <w:pPr>
              <w:spacing w:after="0"/>
              <w:rPr>
                <w:sz w:val="18"/>
                <w:szCs w:val="18"/>
                <w:color w:val="auto"/>
              </w:rPr>
            </w:pPr>
          </w:p>
        </w:tc>
        <w:tc>
          <w:tcPr>
            <w:tcW w:w="1400" w:type="dxa"/>
            <w:vAlign w:val="bottom"/>
            <w:shd w:val="clear" w:color="auto" w:fill="9ADAF6"/>
          </w:tcPr>
          <w:p>
            <w:pPr>
              <w:jc w:val="center"/>
              <w:spacing w:after="0" w:line="208" w:lineRule="exact"/>
              <w:rPr>
                <w:sz w:val="20"/>
                <w:szCs w:val="20"/>
                <w:color w:val="auto"/>
              </w:rPr>
            </w:pPr>
            <w:r>
              <w:rPr>
                <w:rFonts w:ascii="Arial" w:cs="Arial" w:eastAsia="Arial" w:hAnsi="Arial"/>
                <w:sz w:val="21"/>
                <w:szCs w:val="21"/>
                <w:b w:val="1"/>
                <w:bCs w:val="1"/>
                <w:color w:val="auto"/>
                <w:w w:val="99"/>
              </w:rPr>
              <w:t>Maximum</w:t>
            </w:r>
          </w:p>
        </w:tc>
        <w:tc>
          <w:tcPr>
            <w:tcW w:w="20" w:type="dxa"/>
            <w:vAlign w:val="bottom"/>
          </w:tcPr>
          <w:p>
            <w:pPr>
              <w:spacing w:after="0"/>
              <w:rPr>
                <w:sz w:val="18"/>
                <w:szCs w:val="18"/>
                <w:color w:val="auto"/>
              </w:rPr>
            </w:pPr>
          </w:p>
        </w:tc>
        <w:tc>
          <w:tcPr>
            <w:tcW w:w="1540" w:type="dxa"/>
            <w:vAlign w:val="bottom"/>
            <w:vMerge w:val="continue"/>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1520" w:type="dxa"/>
            <w:vAlign w:val="bottom"/>
            <w:vMerge w:val="continue"/>
            <w:shd w:val="clear" w:color="auto" w:fill="9ADAF6"/>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60" w:type="dxa"/>
            <w:vAlign w:val="bottom"/>
            <w:tcBorders>
              <w:left w:val="single" w:sz="8" w:color="auto"/>
            </w:tcBorders>
          </w:tcPr>
          <w:p>
            <w:pPr>
              <w:spacing w:after="0"/>
              <w:rPr>
                <w:sz w:val="20"/>
                <w:szCs w:val="20"/>
                <w:color w:val="auto"/>
              </w:rPr>
            </w:pPr>
          </w:p>
        </w:tc>
        <w:tc>
          <w:tcPr>
            <w:tcW w:w="18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3"/>
              </w:rPr>
              <w:t>Type</w:t>
            </w:r>
          </w:p>
        </w:tc>
        <w:tc>
          <w:tcPr>
            <w:tcW w:w="20" w:type="dxa"/>
            <w:vAlign w:val="bottom"/>
          </w:tcPr>
          <w:p>
            <w:pPr>
              <w:spacing w:after="0"/>
              <w:rPr>
                <w:sz w:val="20"/>
                <w:szCs w:val="20"/>
                <w:color w:val="auto"/>
              </w:rPr>
            </w:pPr>
          </w:p>
        </w:tc>
        <w:tc>
          <w:tcPr>
            <w:tcW w:w="96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9"/>
              </w:rPr>
              <w:t>Class</w:t>
            </w:r>
          </w:p>
        </w:tc>
        <w:tc>
          <w:tcPr>
            <w:tcW w:w="20" w:type="dxa"/>
            <w:vAlign w:val="bottom"/>
          </w:tcPr>
          <w:p>
            <w:pPr>
              <w:spacing w:after="0"/>
              <w:rPr>
                <w:sz w:val="20"/>
                <w:szCs w:val="20"/>
                <w:color w:val="auto"/>
              </w:rPr>
            </w:pPr>
          </w:p>
        </w:tc>
        <w:tc>
          <w:tcPr>
            <w:tcW w:w="116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8"/>
              </w:rPr>
              <w:t>Calculation</w:t>
            </w:r>
          </w:p>
        </w:tc>
        <w:tc>
          <w:tcPr>
            <w:tcW w:w="20" w:type="dxa"/>
            <w:vAlign w:val="bottom"/>
          </w:tcPr>
          <w:p>
            <w:pPr>
              <w:spacing w:after="0"/>
              <w:rPr>
                <w:sz w:val="20"/>
                <w:szCs w:val="20"/>
                <w:color w:val="auto"/>
              </w:rPr>
            </w:pPr>
          </w:p>
        </w:tc>
        <w:tc>
          <w:tcPr>
            <w:tcW w:w="1100" w:type="dxa"/>
            <w:vAlign w:val="bottom"/>
            <w:shd w:val="clear" w:color="auto" w:fill="9ADAF6"/>
          </w:tcPr>
          <w:p>
            <w:pPr>
              <w:jc w:val="right"/>
              <w:spacing w:after="0" w:line="233" w:lineRule="exact"/>
              <w:rPr>
                <w:sz w:val="20"/>
                <w:szCs w:val="20"/>
                <w:color w:val="auto"/>
              </w:rPr>
            </w:pPr>
            <w:r>
              <w:rPr>
                <w:rFonts w:ascii="Arial" w:cs="Arial" w:eastAsia="Arial" w:hAnsi="Arial"/>
                <w:sz w:val="21"/>
                <w:szCs w:val="21"/>
                <w:b w:val="1"/>
                <w:bCs w:val="1"/>
                <w:color w:val="auto"/>
                <w:w w:val="97"/>
              </w:rPr>
              <w:t>Registered</w:t>
            </w:r>
          </w:p>
        </w:tc>
        <w:tc>
          <w:tcPr>
            <w:tcW w:w="40" w:type="dxa"/>
            <w:vAlign w:val="bottom"/>
          </w:tcPr>
          <w:p>
            <w:pPr>
              <w:spacing w:after="0"/>
              <w:rPr>
                <w:sz w:val="20"/>
                <w:szCs w:val="20"/>
                <w:color w:val="auto"/>
              </w:rPr>
            </w:pPr>
          </w:p>
        </w:tc>
        <w:tc>
          <w:tcPr>
            <w:tcW w:w="140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9"/>
              </w:rPr>
              <w:t>Offering Price</w:t>
            </w:r>
          </w:p>
        </w:tc>
        <w:tc>
          <w:tcPr>
            <w:tcW w:w="20" w:type="dxa"/>
            <w:vAlign w:val="bottom"/>
          </w:tcPr>
          <w:p>
            <w:pPr>
              <w:spacing w:after="0"/>
              <w:rPr>
                <w:sz w:val="20"/>
                <w:szCs w:val="20"/>
                <w:color w:val="auto"/>
              </w:rPr>
            </w:pPr>
          </w:p>
        </w:tc>
        <w:tc>
          <w:tcPr>
            <w:tcW w:w="15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rPr>
              <w:t>Aggregate</w:t>
            </w:r>
          </w:p>
        </w:tc>
        <w:tc>
          <w:tcPr>
            <w:tcW w:w="20" w:type="dxa"/>
            <w:vAlign w:val="bottom"/>
          </w:tcPr>
          <w:p>
            <w:pPr>
              <w:spacing w:after="0"/>
              <w:rPr>
                <w:sz w:val="20"/>
                <w:szCs w:val="20"/>
                <w:color w:val="auto"/>
              </w:rPr>
            </w:pPr>
          </w:p>
        </w:tc>
        <w:tc>
          <w:tcPr>
            <w:tcW w:w="102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8"/>
              </w:rPr>
              <w:t>Fee Rate</w:t>
            </w:r>
          </w:p>
        </w:tc>
        <w:tc>
          <w:tcPr>
            <w:tcW w:w="20" w:type="dxa"/>
            <w:vAlign w:val="bottom"/>
          </w:tcPr>
          <w:p>
            <w:pPr>
              <w:spacing w:after="0"/>
              <w:rPr>
                <w:sz w:val="20"/>
                <w:szCs w:val="20"/>
                <w:color w:val="auto"/>
              </w:rPr>
            </w:pPr>
          </w:p>
        </w:tc>
        <w:tc>
          <w:tcPr>
            <w:tcW w:w="152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7"/>
              </w:rPr>
              <w:t>Registration</w:t>
            </w:r>
          </w:p>
        </w:tc>
        <w:tc>
          <w:tcPr>
            <w:tcW w:w="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60" w:type="dxa"/>
            <w:vAlign w:val="bottom"/>
            <w:tcBorders>
              <w:left w:val="single" w:sz="8" w:color="auto"/>
            </w:tcBorders>
          </w:tcPr>
          <w:p>
            <w:pPr>
              <w:spacing w:after="0"/>
              <w:rPr>
                <w:sz w:val="20"/>
                <w:szCs w:val="20"/>
                <w:color w:val="auto"/>
              </w:rPr>
            </w:pPr>
          </w:p>
        </w:tc>
        <w:tc>
          <w:tcPr>
            <w:tcW w:w="18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7"/>
              </w:rPr>
              <w:t>Title</w:t>
            </w:r>
          </w:p>
        </w:tc>
        <w:tc>
          <w:tcPr>
            <w:tcW w:w="20" w:type="dxa"/>
            <w:vAlign w:val="bottom"/>
          </w:tcPr>
          <w:p>
            <w:pPr>
              <w:spacing w:after="0"/>
              <w:rPr>
                <w:sz w:val="20"/>
                <w:szCs w:val="20"/>
                <w:color w:val="auto"/>
              </w:rPr>
            </w:pPr>
          </w:p>
        </w:tc>
        <w:tc>
          <w:tcPr>
            <w:tcW w:w="116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6"/>
              </w:rPr>
              <w:t>Rule</w:t>
            </w:r>
          </w:p>
        </w:tc>
        <w:tc>
          <w:tcPr>
            <w:tcW w:w="20" w:type="dxa"/>
            <w:vAlign w:val="bottom"/>
          </w:tcPr>
          <w:p>
            <w:pPr>
              <w:spacing w:after="0"/>
              <w:rPr>
                <w:sz w:val="20"/>
                <w:szCs w:val="20"/>
                <w:color w:val="auto"/>
              </w:rPr>
            </w:pPr>
          </w:p>
        </w:tc>
        <w:tc>
          <w:tcPr>
            <w:tcW w:w="110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140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Per Unit</w:t>
            </w:r>
          </w:p>
        </w:tc>
        <w:tc>
          <w:tcPr>
            <w:tcW w:w="20" w:type="dxa"/>
            <w:vAlign w:val="bottom"/>
          </w:tcPr>
          <w:p>
            <w:pPr>
              <w:spacing w:after="0"/>
              <w:rPr>
                <w:sz w:val="20"/>
                <w:szCs w:val="20"/>
                <w:color w:val="auto"/>
              </w:rPr>
            </w:pPr>
          </w:p>
        </w:tc>
        <w:tc>
          <w:tcPr>
            <w:tcW w:w="15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7"/>
              </w:rPr>
              <w:t>Offering Price</w:t>
            </w:r>
          </w:p>
        </w:tc>
        <w:tc>
          <w:tcPr>
            <w:tcW w:w="20" w:type="dxa"/>
            <w:vAlign w:val="bottom"/>
          </w:tcPr>
          <w:p>
            <w:pPr>
              <w:spacing w:after="0"/>
              <w:rPr>
                <w:sz w:val="20"/>
                <w:szCs w:val="20"/>
                <w:color w:val="auto"/>
              </w:rPr>
            </w:pPr>
          </w:p>
        </w:tc>
        <w:tc>
          <w:tcPr>
            <w:tcW w:w="102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152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9"/>
              </w:rPr>
              <w:t>Fee</w:t>
            </w:r>
          </w:p>
        </w:tc>
        <w:tc>
          <w:tcPr>
            <w:tcW w:w="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5"/>
        </w:trPr>
        <w:tc>
          <w:tcPr>
            <w:tcW w:w="60" w:type="dxa"/>
            <w:vAlign w:val="bottom"/>
            <w:tcBorders>
              <w:left w:val="single" w:sz="8" w:color="auto"/>
            </w:tcBorders>
          </w:tcPr>
          <w:p>
            <w:pPr>
              <w:spacing w:after="0"/>
              <w:rPr>
                <w:sz w:val="5"/>
                <w:szCs w:val="5"/>
                <w:color w:val="auto"/>
              </w:rPr>
            </w:pPr>
          </w:p>
        </w:tc>
        <w:tc>
          <w:tcPr>
            <w:tcW w:w="180" w:type="dxa"/>
            <w:vAlign w:val="bottom"/>
            <w:shd w:val="clear" w:color="auto" w:fill="9ADAF6"/>
          </w:tcPr>
          <w:p>
            <w:pPr>
              <w:spacing w:after="0"/>
              <w:rPr>
                <w:sz w:val="5"/>
                <w:szCs w:val="5"/>
                <w:color w:val="auto"/>
              </w:rPr>
            </w:pPr>
          </w:p>
        </w:tc>
        <w:tc>
          <w:tcPr>
            <w:tcW w:w="20" w:type="dxa"/>
            <w:vAlign w:val="bottom"/>
          </w:tcPr>
          <w:p>
            <w:pPr>
              <w:spacing w:after="0"/>
              <w:rPr>
                <w:sz w:val="5"/>
                <w:szCs w:val="5"/>
                <w:color w:val="auto"/>
              </w:rPr>
            </w:pPr>
          </w:p>
        </w:tc>
        <w:tc>
          <w:tcPr>
            <w:tcW w:w="960" w:type="dxa"/>
            <w:vAlign w:val="bottom"/>
            <w:shd w:val="clear" w:color="auto" w:fill="9ADAF6"/>
          </w:tcPr>
          <w:p>
            <w:pPr>
              <w:spacing w:after="0"/>
              <w:rPr>
                <w:sz w:val="5"/>
                <w:szCs w:val="5"/>
                <w:color w:val="auto"/>
              </w:rPr>
            </w:pPr>
          </w:p>
        </w:tc>
        <w:tc>
          <w:tcPr>
            <w:tcW w:w="20" w:type="dxa"/>
            <w:vAlign w:val="bottom"/>
          </w:tcPr>
          <w:p>
            <w:pPr>
              <w:spacing w:after="0"/>
              <w:rPr>
                <w:sz w:val="5"/>
                <w:szCs w:val="5"/>
                <w:color w:val="auto"/>
              </w:rPr>
            </w:pPr>
          </w:p>
        </w:tc>
        <w:tc>
          <w:tcPr>
            <w:tcW w:w="960" w:type="dxa"/>
            <w:vAlign w:val="bottom"/>
            <w:shd w:val="clear" w:color="auto" w:fill="9ADAF6"/>
          </w:tcPr>
          <w:p>
            <w:pPr>
              <w:spacing w:after="0"/>
              <w:rPr>
                <w:sz w:val="5"/>
                <w:szCs w:val="5"/>
                <w:color w:val="auto"/>
              </w:rPr>
            </w:pPr>
          </w:p>
        </w:tc>
        <w:tc>
          <w:tcPr>
            <w:tcW w:w="20" w:type="dxa"/>
            <w:vAlign w:val="bottom"/>
          </w:tcPr>
          <w:p>
            <w:pPr>
              <w:spacing w:after="0"/>
              <w:rPr>
                <w:sz w:val="5"/>
                <w:szCs w:val="5"/>
                <w:color w:val="auto"/>
              </w:rPr>
            </w:pPr>
          </w:p>
        </w:tc>
        <w:tc>
          <w:tcPr>
            <w:tcW w:w="1160" w:type="dxa"/>
            <w:vAlign w:val="bottom"/>
            <w:shd w:val="clear" w:color="auto" w:fill="9ADAF6"/>
          </w:tcPr>
          <w:p>
            <w:pPr>
              <w:spacing w:after="0"/>
              <w:rPr>
                <w:sz w:val="5"/>
                <w:szCs w:val="5"/>
                <w:color w:val="auto"/>
              </w:rPr>
            </w:pPr>
          </w:p>
        </w:tc>
        <w:tc>
          <w:tcPr>
            <w:tcW w:w="20" w:type="dxa"/>
            <w:vAlign w:val="bottom"/>
          </w:tcPr>
          <w:p>
            <w:pPr>
              <w:spacing w:after="0"/>
              <w:rPr>
                <w:sz w:val="5"/>
                <w:szCs w:val="5"/>
                <w:color w:val="auto"/>
              </w:rPr>
            </w:pPr>
          </w:p>
        </w:tc>
        <w:tc>
          <w:tcPr>
            <w:tcW w:w="1100" w:type="dxa"/>
            <w:vAlign w:val="bottom"/>
            <w:shd w:val="clear" w:color="auto" w:fill="9ADAF6"/>
          </w:tcPr>
          <w:p>
            <w:pPr>
              <w:spacing w:after="0"/>
              <w:rPr>
                <w:sz w:val="5"/>
                <w:szCs w:val="5"/>
                <w:color w:val="auto"/>
              </w:rPr>
            </w:pPr>
          </w:p>
        </w:tc>
        <w:tc>
          <w:tcPr>
            <w:tcW w:w="40" w:type="dxa"/>
            <w:vAlign w:val="bottom"/>
          </w:tcPr>
          <w:p>
            <w:pPr>
              <w:spacing w:after="0"/>
              <w:rPr>
                <w:sz w:val="5"/>
                <w:szCs w:val="5"/>
                <w:color w:val="auto"/>
              </w:rPr>
            </w:pPr>
          </w:p>
        </w:tc>
        <w:tc>
          <w:tcPr>
            <w:tcW w:w="1400" w:type="dxa"/>
            <w:vAlign w:val="bottom"/>
            <w:vMerge w:val="continue"/>
            <w:shd w:val="clear" w:color="auto" w:fill="9ADAF6"/>
          </w:tcPr>
          <w:p>
            <w:pPr>
              <w:spacing w:after="0"/>
              <w:rPr>
                <w:sz w:val="5"/>
                <w:szCs w:val="5"/>
                <w:color w:val="auto"/>
              </w:rPr>
            </w:pPr>
          </w:p>
        </w:tc>
        <w:tc>
          <w:tcPr>
            <w:tcW w:w="20" w:type="dxa"/>
            <w:vAlign w:val="bottom"/>
          </w:tcPr>
          <w:p>
            <w:pPr>
              <w:spacing w:after="0"/>
              <w:rPr>
                <w:sz w:val="5"/>
                <w:szCs w:val="5"/>
                <w:color w:val="auto"/>
              </w:rPr>
            </w:pPr>
          </w:p>
        </w:tc>
        <w:tc>
          <w:tcPr>
            <w:tcW w:w="1540" w:type="dxa"/>
            <w:vAlign w:val="bottom"/>
            <w:shd w:val="clear" w:color="auto" w:fill="9ADAF6"/>
          </w:tcPr>
          <w:p>
            <w:pPr>
              <w:spacing w:after="0"/>
              <w:rPr>
                <w:sz w:val="5"/>
                <w:szCs w:val="5"/>
                <w:color w:val="auto"/>
              </w:rPr>
            </w:pPr>
          </w:p>
        </w:tc>
        <w:tc>
          <w:tcPr>
            <w:tcW w:w="20" w:type="dxa"/>
            <w:vAlign w:val="bottom"/>
          </w:tcPr>
          <w:p>
            <w:pPr>
              <w:spacing w:after="0"/>
              <w:rPr>
                <w:sz w:val="5"/>
                <w:szCs w:val="5"/>
                <w:color w:val="auto"/>
              </w:rPr>
            </w:pPr>
          </w:p>
        </w:tc>
        <w:tc>
          <w:tcPr>
            <w:tcW w:w="1020" w:type="dxa"/>
            <w:vAlign w:val="bottom"/>
            <w:shd w:val="clear" w:color="auto" w:fill="9ADAF6"/>
          </w:tcPr>
          <w:p>
            <w:pPr>
              <w:spacing w:after="0"/>
              <w:rPr>
                <w:sz w:val="5"/>
                <w:szCs w:val="5"/>
                <w:color w:val="auto"/>
              </w:rPr>
            </w:pPr>
          </w:p>
        </w:tc>
        <w:tc>
          <w:tcPr>
            <w:tcW w:w="20" w:type="dxa"/>
            <w:vAlign w:val="bottom"/>
          </w:tcPr>
          <w:p>
            <w:pPr>
              <w:spacing w:after="0"/>
              <w:rPr>
                <w:sz w:val="5"/>
                <w:szCs w:val="5"/>
                <w:color w:val="auto"/>
              </w:rPr>
            </w:pPr>
          </w:p>
        </w:tc>
        <w:tc>
          <w:tcPr>
            <w:tcW w:w="1520" w:type="dxa"/>
            <w:vAlign w:val="bottom"/>
            <w:shd w:val="clear" w:color="auto" w:fill="9ADAF6"/>
          </w:tcPr>
          <w:p>
            <w:pPr>
              <w:spacing w:after="0"/>
              <w:rPr>
                <w:sz w:val="5"/>
                <w:szCs w:val="5"/>
                <w:color w:val="auto"/>
              </w:rPr>
            </w:pPr>
          </w:p>
        </w:tc>
        <w:tc>
          <w:tcPr>
            <w:tcW w:w="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6"/>
        </w:trPr>
        <w:tc>
          <w:tcPr>
            <w:tcW w:w="60" w:type="dxa"/>
            <w:vAlign w:val="bottom"/>
            <w:tcBorders>
              <w:left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6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60" w:type="dxa"/>
            <w:vAlign w:val="bottom"/>
            <w:tcBorders>
              <w:left w:val="single" w:sz="8" w:color="auto"/>
            </w:tcBorders>
          </w:tcPr>
          <w:p>
            <w:pPr>
              <w:spacing w:after="0"/>
              <w:rPr>
                <w:sz w:val="19"/>
                <w:szCs w:val="19"/>
                <w:color w:val="auto"/>
              </w:rPr>
            </w:pPr>
          </w:p>
        </w:tc>
        <w:tc>
          <w:tcPr>
            <w:tcW w:w="1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E7E7E2"/>
          </w:tcPr>
          <w:p>
            <w:pPr>
              <w:ind w:left="20"/>
              <w:spacing w:after="0" w:line="220" w:lineRule="exact"/>
              <w:rPr>
                <w:sz w:val="20"/>
                <w:szCs w:val="20"/>
                <w:color w:val="auto"/>
              </w:rPr>
            </w:pPr>
            <w:r>
              <w:rPr>
                <w:rFonts w:ascii="Arial" w:cs="Arial" w:eastAsia="Arial" w:hAnsi="Arial"/>
                <w:sz w:val="21"/>
                <w:szCs w:val="21"/>
                <w:color w:val="auto"/>
              </w:rPr>
              <w:t>Class A</w:t>
            </w:r>
          </w:p>
        </w:tc>
        <w:tc>
          <w:tcPr>
            <w:tcW w:w="20" w:type="dxa"/>
            <w:vAlign w:val="bottom"/>
          </w:tcPr>
          <w:p>
            <w:pPr>
              <w:spacing w:after="0"/>
              <w:rPr>
                <w:sz w:val="19"/>
                <w:szCs w:val="19"/>
                <w:color w:val="auto"/>
              </w:rPr>
            </w:pPr>
          </w:p>
        </w:tc>
        <w:tc>
          <w:tcPr>
            <w:tcW w:w="11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10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14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5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520" w:type="dxa"/>
            <w:vAlign w:val="bottom"/>
            <w:shd w:val="clear" w:color="auto" w:fill="E7E7E2"/>
          </w:tcPr>
          <w:p>
            <w:pPr>
              <w:spacing w:after="0"/>
              <w:rPr>
                <w:sz w:val="19"/>
                <w:szCs w:val="19"/>
                <w:color w:val="auto"/>
              </w:rPr>
            </w:pPr>
          </w:p>
        </w:tc>
        <w:tc>
          <w:tcPr>
            <w:tcW w:w="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60" w:type="dxa"/>
            <w:vAlign w:val="bottom"/>
            <w:tcBorders>
              <w:left w:val="single" w:sz="8" w:color="auto"/>
            </w:tcBorders>
          </w:tcPr>
          <w:p>
            <w:pPr>
              <w:spacing w:after="0"/>
              <w:rPr>
                <w:sz w:val="20"/>
                <w:szCs w:val="20"/>
                <w:color w:val="auto"/>
              </w:rPr>
            </w:pPr>
          </w:p>
        </w:tc>
        <w:tc>
          <w:tcPr>
            <w:tcW w:w="18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E7E7E2"/>
          </w:tcPr>
          <w:p>
            <w:pPr>
              <w:ind w:left="20"/>
              <w:spacing w:after="0" w:line="233" w:lineRule="exact"/>
              <w:rPr>
                <w:sz w:val="20"/>
                <w:szCs w:val="20"/>
                <w:color w:val="auto"/>
              </w:rPr>
            </w:pPr>
            <w:r>
              <w:rPr>
                <w:rFonts w:ascii="Arial" w:cs="Arial" w:eastAsia="Arial" w:hAnsi="Arial"/>
                <w:sz w:val="21"/>
                <w:szCs w:val="21"/>
                <w:color w:val="auto"/>
              </w:rPr>
              <w:t>Common</w:t>
            </w:r>
          </w:p>
        </w:tc>
        <w:tc>
          <w:tcPr>
            <w:tcW w:w="20" w:type="dxa"/>
            <w:vAlign w:val="bottom"/>
          </w:tcPr>
          <w:p>
            <w:pPr>
              <w:spacing w:after="0"/>
              <w:rPr>
                <w:sz w:val="20"/>
                <w:szCs w:val="20"/>
                <w:color w:val="auto"/>
              </w:rPr>
            </w:pPr>
          </w:p>
        </w:tc>
        <w:tc>
          <w:tcPr>
            <w:tcW w:w="11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0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40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5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02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520" w:type="dxa"/>
            <w:vAlign w:val="bottom"/>
            <w:shd w:val="clear" w:color="auto" w:fill="E7E7E2"/>
          </w:tcPr>
          <w:p>
            <w:pPr>
              <w:spacing w:after="0"/>
              <w:rPr>
                <w:sz w:val="20"/>
                <w:szCs w:val="20"/>
                <w:color w:val="auto"/>
              </w:rPr>
            </w:pPr>
          </w:p>
        </w:tc>
        <w:tc>
          <w:tcPr>
            <w:tcW w:w="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60" w:type="dxa"/>
            <w:vAlign w:val="bottom"/>
            <w:tcBorders>
              <w:left w:val="single" w:sz="8" w:color="auto"/>
            </w:tcBorders>
          </w:tcPr>
          <w:p>
            <w:pPr>
              <w:spacing w:after="0"/>
              <w:rPr>
                <w:sz w:val="20"/>
                <w:szCs w:val="20"/>
                <w:color w:val="auto"/>
              </w:rPr>
            </w:pPr>
          </w:p>
        </w:tc>
        <w:tc>
          <w:tcPr>
            <w:tcW w:w="18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1</w:t>
            </w:r>
          </w:p>
        </w:tc>
        <w:tc>
          <w:tcPr>
            <w:tcW w:w="20" w:type="dxa"/>
            <w:vAlign w:val="bottom"/>
          </w:tcPr>
          <w:p>
            <w:pPr>
              <w:spacing w:after="0"/>
              <w:rPr>
                <w:sz w:val="20"/>
                <w:szCs w:val="20"/>
                <w:color w:val="auto"/>
              </w:rPr>
            </w:pPr>
          </w:p>
        </w:tc>
        <w:tc>
          <w:tcPr>
            <w:tcW w:w="960" w:type="dxa"/>
            <w:vAlign w:val="bottom"/>
            <w:vMerge w:val="restart"/>
            <w:shd w:val="clear" w:color="auto" w:fill="E7E7E2"/>
          </w:tcPr>
          <w:p>
            <w:pPr>
              <w:spacing w:after="0"/>
              <w:rPr>
                <w:sz w:val="20"/>
                <w:szCs w:val="20"/>
                <w:color w:val="auto"/>
              </w:rPr>
            </w:pPr>
            <w:r>
              <w:rPr>
                <w:rFonts w:ascii="Arial" w:cs="Arial" w:eastAsia="Arial" w:hAnsi="Arial"/>
                <w:sz w:val="21"/>
                <w:szCs w:val="21"/>
                <w:color w:val="auto"/>
              </w:rPr>
              <w:t>Equity</w:t>
            </w:r>
          </w:p>
        </w:tc>
        <w:tc>
          <w:tcPr>
            <w:tcW w:w="20" w:type="dxa"/>
            <w:vAlign w:val="bottom"/>
          </w:tcPr>
          <w:p>
            <w:pPr>
              <w:spacing w:after="0"/>
              <w:rPr>
                <w:sz w:val="20"/>
                <w:szCs w:val="20"/>
                <w:color w:val="auto"/>
              </w:rPr>
            </w:pPr>
          </w:p>
        </w:tc>
        <w:tc>
          <w:tcPr>
            <w:tcW w:w="960" w:type="dxa"/>
            <w:vAlign w:val="bottom"/>
            <w:shd w:val="clear" w:color="auto" w:fill="E7E7E2"/>
          </w:tcPr>
          <w:p>
            <w:pPr>
              <w:ind w:left="20"/>
              <w:spacing w:after="0" w:line="233" w:lineRule="exact"/>
              <w:rPr>
                <w:sz w:val="20"/>
                <w:szCs w:val="20"/>
                <w:color w:val="auto"/>
              </w:rPr>
            </w:pPr>
            <w:r>
              <w:rPr>
                <w:rFonts w:ascii="Arial" w:cs="Arial" w:eastAsia="Arial" w:hAnsi="Arial"/>
                <w:sz w:val="21"/>
                <w:szCs w:val="21"/>
                <w:color w:val="auto"/>
              </w:rPr>
              <w:t>stock, par</w:t>
            </w:r>
          </w:p>
        </w:tc>
        <w:tc>
          <w:tcPr>
            <w:tcW w:w="20" w:type="dxa"/>
            <w:vAlign w:val="bottom"/>
          </w:tcPr>
          <w:p>
            <w:pPr>
              <w:spacing w:after="0"/>
              <w:rPr>
                <w:sz w:val="20"/>
                <w:szCs w:val="20"/>
                <w:color w:val="auto"/>
              </w:rPr>
            </w:pPr>
          </w:p>
        </w:tc>
        <w:tc>
          <w:tcPr>
            <w:tcW w:w="1160" w:type="dxa"/>
            <w:vAlign w:val="bottom"/>
            <w:vMerge w:val="restart"/>
            <w:shd w:val="clear" w:color="auto" w:fill="E7E7E2"/>
          </w:tcPr>
          <w:p>
            <w:pPr>
              <w:jc w:val="center"/>
              <w:spacing w:after="0"/>
              <w:rPr>
                <w:sz w:val="20"/>
                <w:szCs w:val="20"/>
                <w:color w:val="auto"/>
              </w:rPr>
            </w:pPr>
            <w:r>
              <w:rPr>
                <w:rFonts w:ascii="Arial" w:cs="Arial" w:eastAsia="Arial" w:hAnsi="Arial"/>
                <w:sz w:val="21"/>
                <w:szCs w:val="21"/>
                <w:color w:val="auto"/>
                <w:w w:val="98"/>
              </w:rPr>
              <w:t>Other</w:t>
            </w:r>
          </w:p>
        </w:tc>
        <w:tc>
          <w:tcPr>
            <w:tcW w:w="20" w:type="dxa"/>
            <w:vAlign w:val="bottom"/>
          </w:tcPr>
          <w:p>
            <w:pPr>
              <w:spacing w:after="0"/>
              <w:rPr>
                <w:sz w:val="20"/>
                <w:szCs w:val="20"/>
                <w:color w:val="auto"/>
              </w:rPr>
            </w:pPr>
          </w:p>
        </w:tc>
        <w:tc>
          <w:tcPr>
            <w:tcW w:w="110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2,000,000</w:t>
            </w:r>
          </w:p>
        </w:tc>
        <w:tc>
          <w:tcPr>
            <w:tcW w:w="40" w:type="dxa"/>
            <w:vAlign w:val="bottom"/>
          </w:tcPr>
          <w:p>
            <w:pPr>
              <w:spacing w:after="0"/>
              <w:rPr>
                <w:sz w:val="20"/>
                <w:szCs w:val="20"/>
                <w:color w:val="auto"/>
              </w:rPr>
            </w:pPr>
          </w:p>
        </w:tc>
        <w:tc>
          <w:tcPr>
            <w:tcW w:w="140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$ 10.00</w:t>
            </w:r>
          </w:p>
        </w:tc>
        <w:tc>
          <w:tcPr>
            <w:tcW w:w="20" w:type="dxa"/>
            <w:vAlign w:val="bottom"/>
          </w:tcPr>
          <w:p>
            <w:pPr>
              <w:spacing w:after="0"/>
              <w:rPr>
                <w:sz w:val="20"/>
                <w:szCs w:val="20"/>
                <w:color w:val="auto"/>
              </w:rPr>
            </w:pPr>
          </w:p>
        </w:tc>
        <w:tc>
          <w:tcPr>
            <w:tcW w:w="1540" w:type="dxa"/>
            <w:vAlign w:val="bottom"/>
            <w:vMerge w:val="restart"/>
            <w:shd w:val="clear" w:color="auto" w:fill="E7E7E2"/>
          </w:tcPr>
          <w:p>
            <w:pPr>
              <w:jc w:val="center"/>
              <w:spacing w:after="0"/>
              <w:rPr>
                <w:sz w:val="20"/>
                <w:szCs w:val="20"/>
                <w:color w:val="auto"/>
              </w:rPr>
            </w:pPr>
            <w:r>
              <w:rPr>
                <w:rFonts w:ascii="Arial" w:cs="Arial" w:eastAsia="Arial" w:hAnsi="Arial"/>
                <w:sz w:val="21"/>
                <w:szCs w:val="21"/>
                <w:color w:val="auto"/>
                <w:w w:val="98"/>
              </w:rPr>
              <w:t>$ 20,000,000.00</w:t>
            </w:r>
          </w:p>
        </w:tc>
        <w:tc>
          <w:tcPr>
            <w:tcW w:w="20" w:type="dxa"/>
            <w:vAlign w:val="bottom"/>
          </w:tcPr>
          <w:p>
            <w:pPr>
              <w:spacing w:after="0"/>
              <w:rPr>
                <w:sz w:val="20"/>
                <w:szCs w:val="20"/>
                <w:color w:val="auto"/>
              </w:rPr>
            </w:pPr>
          </w:p>
        </w:tc>
        <w:tc>
          <w:tcPr>
            <w:tcW w:w="102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w w:val="98"/>
              </w:rPr>
              <w:t>0.0001381</w:t>
            </w:r>
          </w:p>
        </w:tc>
        <w:tc>
          <w:tcPr>
            <w:tcW w:w="20" w:type="dxa"/>
            <w:vAlign w:val="bottom"/>
          </w:tcPr>
          <w:p>
            <w:pPr>
              <w:spacing w:after="0"/>
              <w:rPr>
                <w:sz w:val="20"/>
                <w:szCs w:val="20"/>
                <w:color w:val="auto"/>
              </w:rPr>
            </w:pPr>
          </w:p>
        </w:tc>
        <w:tc>
          <w:tcPr>
            <w:tcW w:w="152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$ 2,762.00</w:t>
            </w:r>
          </w:p>
        </w:tc>
        <w:tc>
          <w:tcPr>
            <w:tcW w:w="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57"/>
        </w:trPr>
        <w:tc>
          <w:tcPr>
            <w:tcW w:w="60" w:type="dxa"/>
            <w:vAlign w:val="bottom"/>
            <w:tcBorders>
              <w:left w:val="single" w:sz="8" w:color="auto"/>
            </w:tcBorders>
          </w:tcPr>
          <w:p>
            <w:pPr>
              <w:spacing w:after="0"/>
              <w:rPr>
                <w:sz w:val="13"/>
                <w:szCs w:val="13"/>
                <w:color w:val="auto"/>
              </w:rPr>
            </w:pPr>
          </w:p>
        </w:tc>
        <w:tc>
          <w:tcPr>
            <w:tcW w:w="180" w:type="dxa"/>
            <w:vAlign w:val="bottom"/>
            <w:vMerge w:val="continue"/>
            <w:shd w:val="clear" w:color="auto" w:fill="E7E7E2"/>
          </w:tcPr>
          <w:p>
            <w:pPr>
              <w:spacing w:after="0"/>
              <w:rPr>
                <w:sz w:val="13"/>
                <w:szCs w:val="13"/>
                <w:color w:val="auto"/>
              </w:rPr>
            </w:pPr>
          </w:p>
        </w:tc>
        <w:tc>
          <w:tcPr>
            <w:tcW w:w="20" w:type="dxa"/>
            <w:vAlign w:val="bottom"/>
          </w:tcPr>
          <w:p>
            <w:pPr>
              <w:spacing w:after="0"/>
              <w:rPr>
                <w:sz w:val="13"/>
                <w:szCs w:val="13"/>
                <w:color w:val="auto"/>
              </w:rPr>
            </w:pPr>
          </w:p>
        </w:tc>
        <w:tc>
          <w:tcPr>
            <w:tcW w:w="960" w:type="dxa"/>
            <w:vAlign w:val="bottom"/>
            <w:vMerge w:val="continue"/>
            <w:shd w:val="clear" w:color="auto" w:fill="E7E7E2"/>
          </w:tcPr>
          <w:p>
            <w:pPr>
              <w:spacing w:after="0"/>
              <w:rPr>
                <w:sz w:val="13"/>
                <w:szCs w:val="13"/>
                <w:color w:val="auto"/>
              </w:rPr>
            </w:pPr>
          </w:p>
        </w:tc>
        <w:tc>
          <w:tcPr>
            <w:tcW w:w="20" w:type="dxa"/>
            <w:vAlign w:val="bottom"/>
          </w:tcPr>
          <w:p>
            <w:pPr>
              <w:spacing w:after="0"/>
              <w:rPr>
                <w:sz w:val="13"/>
                <w:szCs w:val="13"/>
                <w:color w:val="auto"/>
              </w:rPr>
            </w:pPr>
          </w:p>
        </w:tc>
        <w:tc>
          <w:tcPr>
            <w:tcW w:w="960" w:type="dxa"/>
            <w:vAlign w:val="bottom"/>
            <w:vMerge w:val="restart"/>
            <w:shd w:val="clear" w:color="auto" w:fill="E7E7E2"/>
          </w:tcPr>
          <w:p>
            <w:pPr>
              <w:ind w:left="20"/>
              <w:spacing w:after="0" w:line="233" w:lineRule="exact"/>
              <w:rPr>
                <w:sz w:val="20"/>
                <w:szCs w:val="20"/>
                <w:color w:val="auto"/>
              </w:rPr>
            </w:pPr>
            <w:r>
              <w:rPr>
                <w:rFonts w:ascii="Arial" w:cs="Arial" w:eastAsia="Arial" w:hAnsi="Arial"/>
                <w:sz w:val="21"/>
                <w:szCs w:val="21"/>
                <w:color w:val="auto"/>
              </w:rPr>
              <w:t>value</w:t>
            </w:r>
          </w:p>
        </w:tc>
        <w:tc>
          <w:tcPr>
            <w:tcW w:w="20" w:type="dxa"/>
            <w:vAlign w:val="bottom"/>
          </w:tcPr>
          <w:p>
            <w:pPr>
              <w:spacing w:after="0"/>
              <w:rPr>
                <w:sz w:val="13"/>
                <w:szCs w:val="13"/>
                <w:color w:val="auto"/>
              </w:rPr>
            </w:pPr>
          </w:p>
        </w:tc>
        <w:tc>
          <w:tcPr>
            <w:tcW w:w="1160" w:type="dxa"/>
            <w:vAlign w:val="bottom"/>
            <w:vMerge w:val="continue"/>
            <w:shd w:val="clear" w:color="auto" w:fill="E7E7E2"/>
          </w:tcPr>
          <w:p>
            <w:pPr>
              <w:spacing w:after="0"/>
              <w:rPr>
                <w:sz w:val="13"/>
                <w:szCs w:val="13"/>
                <w:color w:val="auto"/>
              </w:rPr>
            </w:pPr>
          </w:p>
        </w:tc>
        <w:tc>
          <w:tcPr>
            <w:tcW w:w="20" w:type="dxa"/>
            <w:vAlign w:val="bottom"/>
          </w:tcPr>
          <w:p>
            <w:pPr>
              <w:spacing w:after="0"/>
              <w:rPr>
                <w:sz w:val="13"/>
                <w:szCs w:val="13"/>
                <w:color w:val="auto"/>
              </w:rPr>
            </w:pPr>
          </w:p>
        </w:tc>
        <w:tc>
          <w:tcPr>
            <w:tcW w:w="1100" w:type="dxa"/>
            <w:vAlign w:val="bottom"/>
            <w:vMerge w:val="continue"/>
            <w:shd w:val="clear" w:color="auto" w:fill="E7E7E2"/>
          </w:tcPr>
          <w:p>
            <w:pPr>
              <w:spacing w:after="0"/>
              <w:rPr>
                <w:sz w:val="13"/>
                <w:szCs w:val="13"/>
                <w:color w:val="auto"/>
              </w:rPr>
            </w:pPr>
          </w:p>
        </w:tc>
        <w:tc>
          <w:tcPr>
            <w:tcW w:w="40" w:type="dxa"/>
            <w:vAlign w:val="bottom"/>
          </w:tcPr>
          <w:p>
            <w:pPr>
              <w:spacing w:after="0"/>
              <w:rPr>
                <w:sz w:val="13"/>
                <w:szCs w:val="13"/>
                <w:color w:val="auto"/>
              </w:rPr>
            </w:pPr>
          </w:p>
        </w:tc>
        <w:tc>
          <w:tcPr>
            <w:tcW w:w="1400" w:type="dxa"/>
            <w:vAlign w:val="bottom"/>
            <w:vMerge w:val="continue"/>
            <w:shd w:val="clear" w:color="auto" w:fill="E7E7E2"/>
          </w:tcPr>
          <w:p>
            <w:pPr>
              <w:spacing w:after="0"/>
              <w:rPr>
                <w:sz w:val="13"/>
                <w:szCs w:val="13"/>
                <w:color w:val="auto"/>
              </w:rPr>
            </w:pPr>
          </w:p>
        </w:tc>
        <w:tc>
          <w:tcPr>
            <w:tcW w:w="20" w:type="dxa"/>
            <w:vAlign w:val="bottom"/>
          </w:tcPr>
          <w:p>
            <w:pPr>
              <w:spacing w:after="0"/>
              <w:rPr>
                <w:sz w:val="13"/>
                <w:szCs w:val="13"/>
                <w:color w:val="auto"/>
              </w:rPr>
            </w:pPr>
          </w:p>
        </w:tc>
        <w:tc>
          <w:tcPr>
            <w:tcW w:w="1540" w:type="dxa"/>
            <w:vAlign w:val="bottom"/>
            <w:vMerge w:val="continue"/>
            <w:shd w:val="clear" w:color="auto" w:fill="E7E7E2"/>
          </w:tcPr>
          <w:p>
            <w:pPr>
              <w:spacing w:after="0"/>
              <w:rPr>
                <w:sz w:val="13"/>
                <w:szCs w:val="13"/>
                <w:color w:val="auto"/>
              </w:rPr>
            </w:pPr>
          </w:p>
        </w:tc>
        <w:tc>
          <w:tcPr>
            <w:tcW w:w="20" w:type="dxa"/>
            <w:vAlign w:val="bottom"/>
          </w:tcPr>
          <w:p>
            <w:pPr>
              <w:spacing w:after="0"/>
              <w:rPr>
                <w:sz w:val="13"/>
                <w:szCs w:val="13"/>
                <w:color w:val="auto"/>
              </w:rPr>
            </w:pPr>
          </w:p>
        </w:tc>
        <w:tc>
          <w:tcPr>
            <w:tcW w:w="1020" w:type="dxa"/>
            <w:vAlign w:val="bottom"/>
            <w:vMerge w:val="continue"/>
            <w:shd w:val="clear" w:color="auto" w:fill="E7E7E2"/>
          </w:tcPr>
          <w:p>
            <w:pPr>
              <w:spacing w:after="0"/>
              <w:rPr>
                <w:sz w:val="13"/>
                <w:szCs w:val="13"/>
                <w:color w:val="auto"/>
              </w:rPr>
            </w:pPr>
          </w:p>
        </w:tc>
        <w:tc>
          <w:tcPr>
            <w:tcW w:w="20" w:type="dxa"/>
            <w:vAlign w:val="bottom"/>
          </w:tcPr>
          <w:p>
            <w:pPr>
              <w:spacing w:after="0"/>
              <w:rPr>
                <w:sz w:val="13"/>
                <w:szCs w:val="13"/>
                <w:color w:val="auto"/>
              </w:rPr>
            </w:pPr>
          </w:p>
        </w:tc>
        <w:tc>
          <w:tcPr>
            <w:tcW w:w="1520" w:type="dxa"/>
            <w:vAlign w:val="bottom"/>
            <w:vMerge w:val="continue"/>
            <w:shd w:val="clear" w:color="auto" w:fill="E7E7E2"/>
          </w:tcPr>
          <w:p>
            <w:pPr>
              <w:spacing w:after="0"/>
              <w:rPr>
                <w:sz w:val="13"/>
                <w:szCs w:val="13"/>
                <w:color w:val="auto"/>
              </w:rPr>
            </w:pPr>
          </w:p>
        </w:tc>
        <w:tc>
          <w:tcPr>
            <w:tcW w:w="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76"/>
        </w:trPr>
        <w:tc>
          <w:tcPr>
            <w:tcW w:w="60" w:type="dxa"/>
            <w:vAlign w:val="bottom"/>
            <w:tcBorders>
              <w:left w:val="single" w:sz="8" w:color="auto"/>
            </w:tcBorders>
          </w:tcPr>
          <w:p>
            <w:pPr>
              <w:spacing w:after="0"/>
              <w:rPr>
                <w:sz w:val="6"/>
                <w:szCs w:val="6"/>
                <w:color w:val="auto"/>
              </w:rPr>
            </w:pPr>
          </w:p>
        </w:tc>
        <w:tc>
          <w:tcPr>
            <w:tcW w:w="180" w:type="dxa"/>
            <w:vAlign w:val="bottom"/>
            <w:shd w:val="clear" w:color="auto" w:fill="E7E7E2"/>
          </w:tcPr>
          <w:p>
            <w:pPr>
              <w:spacing w:after="0"/>
              <w:rPr>
                <w:sz w:val="6"/>
                <w:szCs w:val="6"/>
                <w:color w:val="auto"/>
              </w:rPr>
            </w:pPr>
          </w:p>
        </w:tc>
        <w:tc>
          <w:tcPr>
            <w:tcW w:w="20" w:type="dxa"/>
            <w:vAlign w:val="bottom"/>
          </w:tcPr>
          <w:p>
            <w:pPr>
              <w:spacing w:after="0"/>
              <w:rPr>
                <w:sz w:val="6"/>
                <w:szCs w:val="6"/>
                <w:color w:val="auto"/>
              </w:rPr>
            </w:pPr>
          </w:p>
        </w:tc>
        <w:tc>
          <w:tcPr>
            <w:tcW w:w="960" w:type="dxa"/>
            <w:vAlign w:val="bottom"/>
            <w:shd w:val="clear" w:color="auto" w:fill="E7E7E2"/>
          </w:tcPr>
          <w:p>
            <w:pPr>
              <w:spacing w:after="0"/>
              <w:rPr>
                <w:sz w:val="6"/>
                <w:szCs w:val="6"/>
                <w:color w:val="auto"/>
              </w:rPr>
            </w:pPr>
          </w:p>
        </w:tc>
        <w:tc>
          <w:tcPr>
            <w:tcW w:w="20" w:type="dxa"/>
            <w:vAlign w:val="bottom"/>
          </w:tcPr>
          <w:p>
            <w:pPr>
              <w:spacing w:after="0"/>
              <w:rPr>
                <w:sz w:val="6"/>
                <w:szCs w:val="6"/>
                <w:color w:val="auto"/>
              </w:rPr>
            </w:pPr>
          </w:p>
        </w:tc>
        <w:tc>
          <w:tcPr>
            <w:tcW w:w="960" w:type="dxa"/>
            <w:vAlign w:val="bottom"/>
            <w:vMerge w:val="continue"/>
            <w:shd w:val="clear" w:color="auto" w:fill="E7E7E2"/>
          </w:tcPr>
          <w:p>
            <w:pPr>
              <w:spacing w:after="0"/>
              <w:rPr>
                <w:sz w:val="6"/>
                <w:szCs w:val="6"/>
                <w:color w:val="auto"/>
              </w:rPr>
            </w:pPr>
          </w:p>
        </w:tc>
        <w:tc>
          <w:tcPr>
            <w:tcW w:w="20" w:type="dxa"/>
            <w:vAlign w:val="bottom"/>
          </w:tcPr>
          <w:p>
            <w:pPr>
              <w:spacing w:after="0"/>
              <w:rPr>
                <w:sz w:val="6"/>
                <w:szCs w:val="6"/>
                <w:color w:val="auto"/>
              </w:rPr>
            </w:pPr>
          </w:p>
        </w:tc>
        <w:tc>
          <w:tcPr>
            <w:tcW w:w="1160" w:type="dxa"/>
            <w:vAlign w:val="bottom"/>
            <w:shd w:val="clear" w:color="auto" w:fill="E7E7E2"/>
          </w:tcPr>
          <w:p>
            <w:pPr>
              <w:spacing w:after="0"/>
              <w:rPr>
                <w:sz w:val="6"/>
                <w:szCs w:val="6"/>
                <w:color w:val="auto"/>
              </w:rPr>
            </w:pPr>
          </w:p>
        </w:tc>
        <w:tc>
          <w:tcPr>
            <w:tcW w:w="20" w:type="dxa"/>
            <w:vAlign w:val="bottom"/>
          </w:tcPr>
          <w:p>
            <w:pPr>
              <w:spacing w:after="0"/>
              <w:rPr>
                <w:sz w:val="6"/>
                <w:szCs w:val="6"/>
                <w:color w:val="auto"/>
              </w:rPr>
            </w:pPr>
          </w:p>
        </w:tc>
        <w:tc>
          <w:tcPr>
            <w:tcW w:w="1100" w:type="dxa"/>
            <w:vAlign w:val="bottom"/>
            <w:shd w:val="clear" w:color="auto" w:fill="E7E7E2"/>
          </w:tcPr>
          <w:p>
            <w:pPr>
              <w:spacing w:after="0"/>
              <w:rPr>
                <w:sz w:val="6"/>
                <w:szCs w:val="6"/>
                <w:color w:val="auto"/>
              </w:rPr>
            </w:pPr>
          </w:p>
        </w:tc>
        <w:tc>
          <w:tcPr>
            <w:tcW w:w="40" w:type="dxa"/>
            <w:vAlign w:val="bottom"/>
          </w:tcPr>
          <w:p>
            <w:pPr>
              <w:spacing w:after="0"/>
              <w:rPr>
                <w:sz w:val="6"/>
                <w:szCs w:val="6"/>
                <w:color w:val="auto"/>
              </w:rPr>
            </w:pPr>
          </w:p>
        </w:tc>
        <w:tc>
          <w:tcPr>
            <w:tcW w:w="1400" w:type="dxa"/>
            <w:vAlign w:val="bottom"/>
            <w:shd w:val="clear" w:color="auto" w:fill="E7E7E2"/>
          </w:tcPr>
          <w:p>
            <w:pPr>
              <w:spacing w:after="0"/>
              <w:rPr>
                <w:sz w:val="6"/>
                <w:szCs w:val="6"/>
                <w:color w:val="auto"/>
              </w:rPr>
            </w:pPr>
          </w:p>
        </w:tc>
        <w:tc>
          <w:tcPr>
            <w:tcW w:w="20" w:type="dxa"/>
            <w:vAlign w:val="bottom"/>
          </w:tcPr>
          <w:p>
            <w:pPr>
              <w:spacing w:after="0"/>
              <w:rPr>
                <w:sz w:val="6"/>
                <w:szCs w:val="6"/>
                <w:color w:val="auto"/>
              </w:rPr>
            </w:pPr>
          </w:p>
        </w:tc>
        <w:tc>
          <w:tcPr>
            <w:tcW w:w="1540" w:type="dxa"/>
            <w:vAlign w:val="bottom"/>
            <w:shd w:val="clear" w:color="auto" w:fill="E7E7E2"/>
          </w:tcPr>
          <w:p>
            <w:pPr>
              <w:spacing w:after="0"/>
              <w:rPr>
                <w:sz w:val="6"/>
                <w:szCs w:val="6"/>
                <w:color w:val="auto"/>
              </w:rPr>
            </w:pPr>
          </w:p>
        </w:tc>
        <w:tc>
          <w:tcPr>
            <w:tcW w:w="20" w:type="dxa"/>
            <w:vAlign w:val="bottom"/>
          </w:tcPr>
          <w:p>
            <w:pPr>
              <w:spacing w:after="0"/>
              <w:rPr>
                <w:sz w:val="6"/>
                <w:szCs w:val="6"/>
                <w:color w:val="auto"/>
              </w:rPr>
            </w:pPr>
          </w:p>
        </w:tc>
        <w:tc>
          <w:tcPr>
            <w:tcW w:w="1020" w:type="dxa"/>
            <w:vAlign w:val="bottom"/>
            <w:shd w:val="clear" w:color="auto" w:fill="E7E7E2"/>
          </w:tcPr>
          <w:p>
            <w:pPr>
              <w:spacing w:after="0"/>
              <w:rPr>
                <w:sz w:val="6"/>
                <w:szCs w:val="6"/>
                <w:color w:val="auto"/>
              </w:rPr>
            </w:pPr>
          </w:p>
        </w:tc>
        <w:tc>
          <w:tcPr>
            <w:tcW w:w="20" w:type="dxa"/>
            <w:vAlign w:val="bottom"/>
          </w:tcPr>
          <w:p>
            <w:pPr>
              <w:spacing w:after="0"/>
              <w:rPr>
                <w:sz w:val="6"/>
                <w:szCs w:val="6"/>
                <w:color w:val="auto"/>
              </w:rPr>
            </w:pPr>
          </w:p>
        </w:tc>
        <w:tc>
          <w:tcPr>
            <w:tcW w:w="1520" w:type="dxa"/>
            <w:vAlign w:val="bottom"/>
            <w:shd w:val="clear" w:color="auto" w:fill="E7E7E2"/>
          </w:tcPr>
          <w:p>
            <w:pPr>
              <w:spacing w:after="0"/>
              <w:rPr>
                <w:sz w:val="6"/>
                <w:szCs w:val="6"/>
                <w:color w:val="auto"/>
              </w:rPr>
            </w:pPr>
          </w:p>
        </w:tc>
        <w:tc>
          <w:tcPr>
            <w:tcW w:w="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33"/>
        </w:trPr>
        <w:tc>
          <w:tcPr>
            <w:tcW w:w="60" w:type="dxa"/>
            <w:vAlign w:val="bottom"/>
            <w:tcBorders>
              <w:left w:val="single" w:sz="8" w:color="auto"/>
            </w:tcBorders>
          </w:tcPr>
          <w:p>
            <w:pPr>
              <w:spacing w:after="0"/>
              <w:rPr>
                <w:sz w:val="20"/>
                <w:szCs w:val="20"/>
                <w:color w:val="auto"/>
              </w:rPr>
            </w:pPr>
          </w:p>
        </w:tc>
        <w:tc>
          <w:tcPr>
            <w:tcW w:w="18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E7E7E2"/>
          </w:tcPr>
          <w:p>
            <w:pPr>
              <w:ind w:left="20"/>
              <w:spacing w:after="0" w:line="233" w:lineRule="exact"/>
              <w:rPr>
                <w:sz w:val="20"/>
                <w:szCs w:val="20"/>
                <w:color w:val="auto"/>
              </w:rPr>
            </w:pPr>
            <w:r>
              <w:rPr>
                <w:rFonts w:ascii="Arial" w:cs="Arial" w:eastAsia="Arial" w:hAnsi="Arial"/>
                <w:sz w:val="21"/>
                <w:szCs w:val="21"/>
                <w:color w:val="auto"/>
              </w:rPr>
              <w:t>$0.0001</w:t>
            </w:r>
          </w:p>
        </w:tc>
        <w:tc>
          <w:tcPr>
            <w:tcW w:w="20" w:type="dxa"/>
            <w:vAlign w:val="bottom"/>
          </w:tcPr>
          <w:p>
            <w:pPr>
              <w:spacing w:after="0"/>
              <w:rPr>
                <w:sz w:val="20"/>
                <w:szCs w:val="20"/>
                <w:color w:val="auto"/>
              </w:rPr>
            </w:pPr>
          </w:p>
        </w:tc>
        <w:tc>
          <w:tcPr>
            <w:tcW w:w="11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0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40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5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02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520" w:type="dxa"/>
            <w:vAlign w:val="bottom"/>
            <w:shd w:val="clear" w:color="auto" w:fill="E7E7E2"/>
          </w:tcPr>
          <w:p>
            <w:pPr>
              <w:spacing w:after="0"/>
              <w:rPr>
                <w:sz w:val="20"/>
                <w:szCs w:val="20"/>
                <w:color w:val="auto"/>
              </w:rPr>
            </w:pPr>
          </w:p>
        </w:tc>
        <w:tc>
          <w:tcPr>
            <w:tcW w:w="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2"/>
        </w:trPr>
        <w:tc>
          <w:tcPr>
            <w:tcW w:w="60" w:type="dxa"/>
            <w:vAlign w:val="bottom"/>
            <w:tcBorders>
              <w:left w:val="single" w:sz="8" w:color="auto"/>
            </w:tcBorders>
          </w:tcPr>
          <w:p>
            <w:pPr>
              <w:spacing w:after="0"/>
              <w:rPr>
                <w:sz w:val="23"/>
                <w:szCs w:val="23"/>
                <w:color w:val="auto"/>
              </w:rPr>
            </w:pPr>
          </w:p>
        </w:tc>
        <w:tc>
          <w:tcPr>
            <w:tcW w:w="18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96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960" w:type="dxa"/>
            <w:vAlign w:val="bottom"/>
            <w:shd w:val="clear" w:color="auto" w:fill="E7E7E2"/>
          </w:tcPr>
          <w:p>
            <w:pPr>
              <w:ind w:left="20"/>
              <w:spacing w:after="0"/>
              <w:rPr>
                <w:sz w:val="20"/>
                <w:szCs w:val="20"/>
                <w:color w:val="auto"/>
              </w:rPr>
            </w:pPr>
            <w:r>
              <w:rPr>
                <w:rFonts w:ascii="Arial" w:cs="Arial" w:eastAsia="Arial" w:hAnsi="Arial"/>
                <w:sz w:val="21"/>
                <w:szCs w:val="21"/>
                <w:color w:val="auto"/>
              </w:rPr>
              <w:t>per share</w:t>
            </w:r>
          </w:p>
        </w:tc>
        <w:tc>
          <w:tcPr>
            <w:tcW w:w="20" w:type="dxa"/>
            <w:vAlign w:val="bottom"/>
          </w:tcPr>
          <w:p>
            <w:pPr>
              <w:spacing w:after="0"/>
              <w:rPr>
                <w:sz w:val="23"/>
                <w:szCs w:val="23"/>
                <w:color w:val="auto"/>
              </w:rPr>
            </w:pPr>
          </w:p>
        </w:tc>
        <w:tc>
          <w:tcPr>
            <w:tcW w:w="116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1100" w:type="dxa"/>
            <w:vAlign w:val="bottom"/>
            <w:shd w:val="clear" w:color="auto" w:fill="E7E7E2"/>
          </w:tcPr>
          <w:p>
            <w:pPr>
              <w:spacing w:after="0"/>
              <w:rPr>
                <w:sz w:val="23"/>
                <w:szCs w:val="23"/>
                <w:color w:val="auto"/>
              </w:rPr>
            </w:pPr>
          </w:p>
        </w:tc>
        <w:tc>
          <w:tcPr>
            <w:tcW w:w="40" w:type="dxa"/>
            <w:vAlign w:val="bottom"/>
          </w:tcPr>
          <w:p>
            <w:pPr>
              <w:spacing w:after="0"/>
              <w:rPr>
                <w:sz w:val="23"/>
                <w:szCs w:val="23"/>
                <w:color w:val="auto"/>
              </w:rPr>
            </w:pPr>
          </w:p>
        </w:tc>
        <w:tc>
          <w:tcPr>
            <w:tcW w:w="140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154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102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1520" w:type="dxa"/>
            <w:vAlign w:val="bottom"/>
            <w:shd w:val="clear" w:color="auto" w:fill="E7E7E2"/>
          </w:tcPr>
          <w:p>
            <w:pPr>
              <w:spacing w:after="0"/>
              <w:rPr>
                <w:sz w:val="23"/>
                <w:szCs w:val="23"/>
                <w:color w:val="auto"/>
              </w:rPr>
            </w:pPr>
          </w:p>
        </w:tc>
        <w:tc>
          <w:tcPr>
            <w:tcW w:w="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60" w:type="dxa"/>
            <w:vAlign w:val="bottom"/>
            <w:tcBorders>
              <w:lef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80" w:type="dxa"/>
            <w:vAlign w:val="bottom"/>
            <w:gridSpan w:val="3"/>
          </w:tcPr>
          <w:p>
            <w:pPr>
              <w:jc w:val="right"/>
              <w:spacing w:after="0"/>
              <w:rPr>
                <w:sz w:val="20"/>
                <w:szCs w:val="20"/>
                <w:color w:val="auto"/>
              </w:rPr>
            </w:pPr>
            <w:r>
              <w:rPr>
                <w:rFonts w:ascii="Arial" w:cs="Arial" w:eastAsia="Arial" w:hAnsi="Arial"/>
                <w:sz w:val="21"/>
                <w:szCs w:val="21"/>
                <w:color w:val="auto"/>
              </w:rPr>
              <w:t>Total Offering Amounts:</w:t>
            </w:r>
          </w:p>
        </w:tc>
        <w:tc>
          <w:tcPr>
            <w:tcW w:w="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560" w:type="dxa"/>
            <w:vAlign w:val="bottom"/>
            <w:gridSpan w:val="2"/>
          </w:tcPr>
          <w:p>
            <w:pPr>
              <w:jc w:val="center"/>
              <w:spacing w:after="0"/>
              <w:rPr>
                <w:sz w:val="20"/>
                <w:szCs w:val="20"/>
                <w:color w:val="auto"/>
              </w:rPr>
            </w:pPr>
            <w:r>
              <w:rPr>
                <w:rFonts w:ascii="Arial" w:cs="Arial" w:eastAsia="Arial" w:hAnsi="Arial"/>
                <w:sz w:val="21"/>
                <w:szCs w:val="21"/>
                <w:color w:val="auto"/>
                <w:w w:val="98"/>
              </w:rPr>
              <w:t>$ 20,000,000.00</w:t>
            </w: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540" w:type="dxa"/>
            <w:vAlign w:val="bottom"/>
            <w:gridSpan w:val="2"/>
          </w:tcPr>
          <w:p>
            <w:pPr>
              <w:jc w:val="right"/>
              <w:spacing w:after="0"/>
              <w:rPr>
                <w:sz w:val="20"/>
                <w:szCs w:val="20"/>
                <w:color w:val="auto"/>
              </w:rPr>
            </w:pPr>
            <w:r>
              <w:rPr>
                <w:rFonts w:ascii="Arial" w:cs="Arial" w:eastAsia="Arial" w:hAnsi="Arial"/>
                <w:sz w:val="21"/>
                <w:szCs w:val="21"/>
                <w:color w:val="auto"/>
              </w:rPr>
              <w:t>$ 2,762.00</w:t>
            </w:r>
          </w:p>
        </w:tc>
        <w:tc>
          <w:tcPr>
            <w:tcW w:w="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60" w:type="dxa"/>
            <w:vAlign w:val="bottom"/>
            <w:tcBorders>
              <w:lef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80" w:type="dxa"/>
            <w:vAlign w:val="bottom"/>
            <w:gridSpan w:val="3"/>
          </w:tcPr>
          <w:p>
            <w:pPr>
              <w:jc w:val="right"/>
              <w:spacing w:after="0"/>
              <w:rPr>
                <w:sz w:val="20"/>
                <w:szCs w:val="20"/>
                <w:color w:val="auto"/>
              </w:rPr>
            </w:pPr>
            <w:r>
              <w:rPr>
                <w:rFonts w:ascii="Arial" w:cs="Arial" w:eastAsia="Arial" w:hAnsi="Arial"/>
                <w:sz w:val="21"/>
                <w:szCs w:val="21"/>
                <w:color w:val="auto"/>
              </w:rPr>
              <w:t>Total Fee Offsets:</w:t>
            </w:r>
          </w:p>
        </w:tc>
        <w:tc>
          <w:tcPr>
            <w:tcW w:w="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540" w:type="dxa"/>
            <w:vAlign w:val="bottom"/>
            <w:gridSpan w:val="2"/>
          </w:tcPr>
          <w:p>
            <w:pPr>
              <w:jc w:val="right"/>
              <w:spacing w:after="0"/>
              <w:rPr>
                <w:sz w:val="20"/>
                <w:szCs w:val="20"/>
                <w:color w:val="auto"/>
              </w:rPr>
            </w:pPr>
            <w:r>
              <w:rPr>
                <w:rFonts w:ascii="Arial" w:cs="Arial" w:eastAsia="Arial" w:hAnsi="Arial"/>
                <w:sz w:val="21"/>
                <w:szCs w:val="21"/>
                <w:color w:val="auto"/>
              </w:rPr>
              <w:t>$ 0.00</w:t>
            </w:r>
          </w:p>
        </w:tc>
        <w:tc>
          <w:tcPr>
            <w:tcW w:w="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60" w:type="dxa"/>
            <w:vAlign w:val="bottom"/>
            <w:tcBorders>
              <w:lef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80" w:type="dxa"/>
            <w:vAlign w:val="bottom"/>
            <w:gridSpan w:val="3"/>
          </w:tcPr>
          <w:p>
            <w:pPr>
              <w:jc w:val="right"/>
              <w:spacing w:after="0"/>
              <w:rPr>
                <w:sz w:val="20"/>
                <w:szCs w:val="20"/>
                <w:color w:val="auto"/>
              </w:rPr>
            </w:pPr>
            <w:r>
              <w:rPr>
                <w:rFonts w:ascii="Arial" w:cs="Arial" w:eastAsia="Arial" w:hAnsi="Arial"/>
                <w:sz w:val="21"/>
                <w:szCs w:val="21"/>
                <w:color w:val="auto"/>
              </w:rPr>
              <w:t>Net Fee Due:</w:t>
            </w:r>
          </w:p>
        </w:tc>
        <w:tc>
          <w:tcPr>
            <w:tcW w:w="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540" w:type="dxa"/>
            <w:vAlign w:val="bottom"/>
            <w:gridSpan w:val="2"/>
          </w:tcPr>
          <w:p>
            <w:pPr>
              <w:jc w:val="right"/>
              <w:spacing w:after="0"/>
              <w:rPr>
                <w:sz w:val="20"/>
                <w:szCs w:val="20"/>
                <w:color w:val="auto"/>
              </w:rPr>
            </w:pPr>
            <w:r>
              <w:rPr>
                <w:rFonts w:ascii="Arial" w:cs="Arial" w:eastAsia="Arial" w:hAnsi="Arial"/>
                <w:sz w:val="21"/>
                <w:szCs w:val="21"/>
                <w:color w:val="auto"/>
              </w:rPr>
              <w:t>$ 2,762.00</w:t>
            </w:r>
          </w:p>
        </w:tc>
        <w:tc>
          <w:tcPr>
            <w:tcW w:w="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60" w:type="dxa"/>
            <w:vAlign w:val="bottom"/>
            <w:tcBorders>
              <w:left w:val="single" w:sz="8" w:color="auto"/>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68" w:lineRule="exact"/>
        <w:rPr>
          <w:sz w:val="20"/>
          <w:szCs w:val="20"/>
          <w:color w:val="auto"/>
        </w:rPr>
      </w:pPr>
    </w:p>
    <w:p>
      <w:pPr>
        <w:ind w:left="600"/>
        <w:spacing w:after="0"/>
        <w:rPr>
          <w:sz w:val="20"/>
          <w:szCs w:val="20"/>
          <w:color w:val="auto"/>
        </w:rPr>
      </w:pPr>
      <w:r>
        <w:rPr>
          <w:rFonts w:ascii="Arial" w:cs="Arial" w:eastAsia="Arial" w:hAnsi="Arial"/>
          <w:sz w:val="21"/>
          <w:szCs w:val="21"/>
          <w:b w:val="1"/>
          <w:bCs w:val="1"/>
          <w:color w:val="auto"/>
        </w:rPr>
        <w:t>Offering Note</w:t>
      </w:r>
    </w:p>
    <w:p>
      <w:pPr>
        <w:spacing w:after="0" w:line="134" w:lineRule="exact"/>
        <w:rPr>
          <w:sz w:val="20"/>
          <w:szCs w:val="20"/>
          <w:color w:val="auto"/>
        </w:rPr>
      </w:pPr>
    </w:p>
    <w:p>
      <w:pPr>
        <w:ind w:left="820" w:right="700" w:hanging="214"/>
        <w:spacing w:after="0" w:line="230" w:lineRule="auto"/>
        <w:tabs>
          <w:tab w:leader="none" w:pos="820" w:val="left"/>
        </w:tabs>
        <w:numPr>
          <w:ilvl w:val="0"/>
          <w:numId w:val="11"/>
        </w:numPr>
        <w:rPr>
          <w:rFonts w:ascii="Arial" w:cs="Arial" w:eastAsia="Arial" w:hAnsi="Arial"/>
          <w:sz w:val="26"/>
          <w:szCs w:val="26"/>
          <w:color w:val="auto"/>
          <w:vertAlign w:val="superscript"/>
        </w:rPr>
      </w:pPr>
      <w:r>
        <w:rPr>
          <w:rFonts w:ascii="Arial" w:cs="Arial" w:eastAsia="Arial" w:hAnsi="Arial"/>
          <w:sz w:val="21"/>
          <w:szCs w:val="21"/>
          <w:color w:val="auto"/>
        </w:rPr>
        <w:t>(1) This Registration Statement covers shares of Class A common stock, $0.0001 par value per share, of Bakkt Holdings, Inc., or the Company, that may be issued pursuant to the Company's Option Award Agreements (the "Option Program"). Pursuant to Rule 416(a) of the Securities Act of 1933, as amended (the "Securities Act"), this Registration Statement also covers any additional shares that may become issuable under the Option Program by reason of any substitutions or adjustments to shares to account for any change in corporate capitalization, such as a merger, consolidation, reorganization, recapitalization, separation, partial or complete liquidation, stock dividend, stock split, reverse stock split, split up, spin-off or other distribution of stock or property of the Company, combination or exchange of shares, dividend in kind or other like change in capital structure. Additionally, to the extent that any awards granted under the Option Program are forfeited or cancelled in accordance with the terms of the Option Program prior to vesting or being exercised, such shares will be reacquired by the Company and will again be available for issuance by the Company, pursuant to the terms of the Option Program. (2) Estimated solely for purposes of calculating the registration fee in accordance with Rule 457(h) under the Securities Act. The proposed maximum offering price per share and the proposed maximum aggregate offering price are based upon $10.00, which is the weighted-average exercise price for stock options outstanding under the Option Program as of November 10, 2025, which is the date of this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375920</wp:posOffset>
            </wp:positionH>
            <wp:positionV relativeFrom="paragraph">
              <wp:posOffset>84455</wp:posOffset>
            </wp:positionV>
            <wp:extent cx="639826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53">
                      <a:extLst>
                        <a:ext uri="{28A0092B-C50C-407E-A947-70E740481C1C}"/>
                      </a:extLst>
                    </a:blip>
                    <a:srcRect/>
                    <a:stretch>
                      <a:fillRect/>
                    </a:stretch>
                  </pic:blipFill>
                  <pic:spPr bwMode="auto">
                    <a:xfrm>
                      <a:off x="0" y="0"/>
                      <a:ext cx="6398260" cy="41910"/>
                    </a:xfrm>
                    <a:prstGeom prst="rect">
                      <a:avLst/>
                    </a:prstGeom>
                    <a:noFill/>
                  </pic:spPr>
                </pic:pic>
              </a:graphicData>
            </a:graphic>
          </wp:anchor>
        </w:drawing>
      </w:r>
    </w:p>
    <w:p>
      <w:pPr>
        <w:spacing w:after="0" w:line="200" w:lineRule="exact"/>
        <w:rPr>
          <w:sz w:val="20"/>
          <w:szCs w:val="20"/>
          <w:color w:val="auto"/>
        </w:rPr>
      </w:pPr>
    </w:p>
    <w:p>
      <w:pPr>
        <w:spacing w:after="0" w:line="340" w:lineRule="exact"/>
        <w:rPr>
          <w:sz w:val="20"/>
          <w:szCs w:val="20"/>
          <w:color w:val="auto"/>
        </w:rPr>
      </w:pPr>
    </w:p>
    <w:tbl>
      <w:tblPr>
        <w:tblLayout w:type="fixed"/>
        <w:tblInd w:w="10" w:type="dxa"/>
        <w:tblCellMar>
          <w:top w:w="0" w:type="dxa"/>
          <w:left w:w="0" w:type="dxa"/>
          <w:bottom w:w="0" w:type="dxa"/>
          <w:right w:w="0" w:type="dxa"/>
        </w:tblCellMar>
      </w:tblPr>
      <w:tr>
        <w:trPr>
          <w:trHeight w:val="364"/>
        </w:trPr>
        <w:tc>
          <w:tcPr>
            <w:tcW w:w="4380" w:type="dxa"/>
            <w:vAlign w:val="bottom"/>
            <w:tcBorders>
              <w:bottom w:val="single" w:sz="8" w:color="auto"/>
            </w:tcBorders>
            <w:gridSpan w:val="12"/>
          </w:tcPr>
          <w:p>
            <w:pPr>
              <w:ind w:left="40"/>
              <w:spacing w:after="0"/>
              <w:rPr>
                <w:sz w:val="20"/>
                <w:szCs w:val="20"/>
                <w:color w:val="auto"/>
              </w:rPr>
            </w:pPr>
            <w:r>
              <w:rPr>
                <w:rFonts w:ascii="Arial" w:cs="Arial" w:eastAsia="Arial" w:hAnsi="Arial"/>
                <w:sz w:val="21"/>
                <w:szCs w:val="21"/>
                <w:b w:val="1"/>
                <w:bCs w:val="1"/>
                <w:color w:val="auto"/>
              </w:rPr>
              <w:t>Table 2: Fee Offset Claims and Sources</w:t>
            </w:r>
          </w:p>
        </w:tc>
        <w:tc>
          <w:tcPr>
            <w:tcW w:w="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gridSpan w:val="4"/>
          </w:tcPr>
          <w:p>
            <w:pPr>
              <w:ind w:left="200"/>
              <w:spacing w:after="0" w:line="242" w:lineRule="exact"/>
              <w:rPr>
                <w:sz w:val="20"/>
                <w:szCs w:val="20"/>
                <w:color w:val="auto"/>
              </w:rPr>
            </w:pPr>
            <w:r>
              <w:rPr>
                <w:rFonts w:ascii="MS PGothic" w:cs="MS PGothic" w:eastAsia="MS PGothic" w:hAnsi="MS PGothic"/>
                <w:sz w:val="21"/>
                <w:szCs w:val="21"/>
                <w:color w:val="auto"/>
                <w:highlight w:val="black"/>
              </w:rPr>
              <w:t>☑</w:t>
            </w:r>
            <w:r>
              <w:rPr>
                <w:rFonts w:ascii="Arial" w:cs="Arial" w:eastAsia="Arial" w:hAnsi="Arial"/>
                <w:sz w:val="21"/>
                <w:szCs w:val="21"/>
                <w:b w:val="1"/>
                <w:bCs w:val="1"/>
                <w:color w:val="auto"/>
              </w:rPr>
              <w:t>Not Applicable</w:t>
            </w:r>
          </w:p>
        </w:tc>
      </w:tr>
      <w:tr>
        <w:trPr>
          <w:trHeight w:val="220"/>
        </w:trPr>
        <w:tc>
          <w:tcPr>
            <w:tcW w:w="40" w:type="dxa"/>
            <w:vAlign w:val="bottom"/>
            <w:tcBorders>
              <w:left w:val="single" w:sz="8" w:color="auto"/>
            </w:tcBorders>
          </w:tcPr>
          <w:p>
            <w:pPr>
              <w:spacing w:after="0"/>
              <w:rPr>
                <w:sz w:val="19"/>
                <w:szCs w:val="19"/>
                <w:color w:val="auto"/>
              </w:rPr>
            </w:pPr>
          </w:p>
        </w:tc>
        <w:tc>
          <w:tcPr>
            <w:tcW w:w="8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0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8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11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shd w:val="clear" w:color="auto" w:fill="9ADAF6"/>
          </w:tcPr>
          <w:p>
            <w:pPr>
              <w:jc w:val="center"/>
              <w:spacing w:after="0" w:line="220" w:lineRule="exact"/>
              <w:rPr>
                <w:sz w:val="20"/>
                <w:szCs w:val="20"/>
                <w:color w:val="auto"/>
              </w:rPr>
            </w:pPr>
            <w:r>
              <w:rPr>
                <w:rFonts w:ascii="Arial" w:cs="Arial" w:eastAsia="Arial" w:hAnsi="Arial"/>
                <w:sz w:val="21"/>
                <w:szCs w:val="21"/>
                <w:b w:val="1"/>
                <w:bCs w:val="1"/>
                <w:color w:val="auto"/>
                <w:w w:val="98"/>
              </w:rPr>
              <w:t>Unsold</w:t>
            </w:r>
          </w:p>
        </w:tc>
        <w:tc>
          <w:tcPr>
            <w:tcW w:w="20" w:type="dxa"/>
            <w:vAlign w:val="bottom"/>
          </w:tcPr>
          <w:p>
            <w:pPr>
              <w:spacing w:after="0"/>
              <w:rPr>
                <w:sz w:val="19"/>
                <w:szCs w:val="19"/>
                <w:color w:val="auto"/>
              </w:rPr>
            </w:pPr>
          </w:p>
        </w:tc>
        <w:tc>
          <w:tcPr>
            <w:tcW w:w="740" w:type="dxa"/>
            <w:vAlign w:val="bottom"/>
            <w:shd w:val="clear" w:color="auto" w:fill="9ADAF6"/>
          </w:tcPr>
          <w:p>
            <w:pPr>
              <w:spacing w:after="0"/>
              <w:rPr>
                <w:sz w:val="19"/>
                <w:szCs w:val="19"/>
                <w:color w:val="auto"/>
              </w:rPr>
            </w:pPr>
          </w:p>
        </w:tc>
        <w:tc>
          <w:tcPr>
            <w:tcW w:w="80" w:type="dxa"/>
            <w:vAlign w:val="bottom"/>
            <w:tcBorders>
              <w:right w:val="single" w:sz="8" w:color="auto"/>
            </w:tcBorders>
          </w:tcPr>
          <w:p>
            <w:pPr>
              <w:spacing w:after="0"/>
              <w:rPr>
                <w:sz w:val="19"/>
                <w:szCs w:val="19"/>
                <w:color w:val="auto"/>
              </w:rPr>
            </w:pPr>
          </w:p>
        </w:tc>
      </w:tr>
      <w:tr>
        <w:trPr>
          <w:trHeight w:val="233"/>
        </w:trPr>
        <w:tc>
          <w:tcPr>
            <w:tcW w:w="40" w:type="dxa"/>
            <w:vAlign w:val="bottom"/>
            <w:tcBorders>
              <w:left w:val="single" w:sz="8" w:color="auto"/>
            </w:tcBorders>
          </w:tcPr>
          <w:p>
            <w:pPr>
              <w:spacing w:after="0"/>
              <w:rPr>
                <w:sz w:val="20"/>
                <w:szCs w:val="20"/>
                <w:color w:val="auto"/>
              </w:rPr>
            </w:pPr>
          </w:p>
        </w:tc>
        <w:tc>
          <w:tcPr>
            <w:tcW w:w="80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106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84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8"/>
              </w:rPr>
              <w:t>Security</w:t>
            </w:r>
          </w:p>
        </w:tc>
        <w:tc>
          <w:tcPr>
            <w:tcW w:w="20" w:type="dxa"/>
            <w:vAlign w:val="bottom"/>
          </w:tcPr>
          <w:p>
            <w:pPr>
              <w:spacing w:after="0"/>
              <w:rPr>
                <w:sz w:val="20"/>
                <w:szCs w:val="20"/>
                <w:color w:val="auto"/>
              </w:rPr>
            </w:pPr>
          </w:p>
        </w:tc>
        <w:tc>
          <w:tcPr>
            <w:tcW w:w="11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8"/>
              </w:rPr>
              <w:t>Security</w:t>
            </w:r>
          </w:p>
        </w:tc>
        <w:tc>
          <w:tcPr>
            <w:tcW w:w="40" w:type="dxa"/>
            <w:vAlign w:val="bottom"/>
          </w:tcPr>
          <w:p>
            <w:pPr>
              <w:spacing w:after="0"/>
              <w:rPr>
                <w:sz w:val="20"/>
                <w:szCs w:val="20"/>
                <w:color w:val="auto"/>
              </w:rPr>
            </w:pPr>
          </w:p>
        </w:tc>
        <w:tc>
          <w:tcPr>
            <w:tcW w:w="11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8"/>
              </w:rPr>
              <w:t>Unsold</w:t>
            </w:r>
          </w:p>
        </w:tc>
        <w:tc>
          <w:tcPr>
            <w:tcW w:w="20" w:type="dxa"/>
            <w:vAlign w:val="bottom"/>
          </w:tcPr>
          <w:p>
            <w:pPr>
              <w:spacing w:after="0"/>
              <w:rPr>
                <w:sz w:val="20"/>
                <w:szCs w:val="20"/>
                <w:color w:val="auto"/>
              </w:rPr>
            </w:pPr>
          </w:p>
        </w:tc>
        <w:tc>
          <w:tcPr>
            <w:tcW w:w="11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8"/>
              </w:rPr>
              <w:t>Aggregate</w:t>
            </w:r>
          </w:p>
        </w:tc>
        <w:tc>
          <w:tcPr>
            <w:tcW w:w="20" w:type="dxa"/>
            <w:vAlign w:val="bottom"/>
          </w:tcPr>
          <w:p>
            <w:pPr>
              <w:spacing w:after="0"/>
              <w:rPr>
                <w:sz w:val="20"/>
                <w:szCs w:val="20"/>
                <w:color w:val="auto"/>
              </w:rPr>
            </w:pPr>
          </w:p>
        </w:tc>
        <w:tc>
          <w:tcPr>
            <w:tcW w:w="7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9"/>
              </w:rPr>
              <w:t>Fee</w:t>
            </w:r>
          </w:p>
        </w:tc>
        <w:tc>
          <w:tcPr>
            <w:tcW w:w="80" w:type="dxa"/>
            <w:vAlign w:val="bottom"/>
            <w:tcBorders>
              <w:right w:val="single" w:sz="8" w:color="auto"/>
            </w:tcBorders>
          </w:tcPr>
          <w:p>
            <w:pPr>
              <w:spacing w:after="0"/>
              <w:rPr>
                <w:sz w:val="20"/>
                <w:szCs w:val="20"/>
                <w:color w:val="auto"/>
              </w:rPr>
            </w:pPr>
          </w:p>
        </w:tc>
      </w:tr>
      <w:tr>
        <w:trPr>
          <w:trHeight w:val="324"/>
        </w:trPr>
        <w:tc>
          <w:tcPr>
            <w:tcW w:w="40" w:type="dxa"/>
            <w:vAlign w:val="bottom"/>
            <w:tcBorders>
              <w:left w:val="single" w:sz="8" w:color="auto"/>
            </w:tcBorders>
          </w:tcPr>
          <w:p>
            <w:pPr>
              <w:spacing w:after="0"/>
              <w:rPr>
                <w:sz w:val="24"/>
                <w:szCs w:val="24"/>
                <w:color w:val="auto"/>
              </w:rPr>
            </w:pPr>
          </w:p>
        </w:tc>
        <w:tc>
          <w:tcPr>
            <w:tcW w:w="80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shd w:val="clear" w:color="auto" w:fill="9ADAF6"/>
          </w:tcPr>
          <w:p>
            <w:pPr>
              <w:ind w:left="20"/>
              <w:spacing w:after="0"/>
              <w:rPr>
                <w:sz w:val="20"/>
                <w:szCs w:val="20"/>
                <w:color w:val="auto"/>
              </w:rPr>
            </w:pPr>
            <w:r>
              <w:rPr>
                <w:rFonts w:ascii="Arial" w:cs="Arial" w:eastAsia="Arial" w:hAnsi="Arial"/>
                <w:sz w:val="21"/>
                <w:szCs w:val="21"/>
                <w:b w:val="1"/>
                <w:bCs w:val="1"/>
                <w:color w:val="auto"/>
                <w:w w:val="98"/>
              </w:rPr>
              <w:t>Registrant</w:t>
            </w:r>
          </w:p>
        </w:tc>
        <w:tc>
          <w:tcPr>
            <w:tcW w:w="20" w:type="dxa"/>
            <w:vAlign w:val="bottom"/>
          </w:tcPr>
          <w:p>
            <w:pPr>
              <w:spacing w:after="0"/>
              <w:rPr>
                <w:sz w:val="24"/>
                <w:szCs w:val="24"/>
                <w:color w:val="auto"/>
              </w:rPr>
            </w:pPr>
          </w:p>
        </w:tc>
        <w:tc>
          <w:tcPr>
            <w:tcW w:w="60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8"/>
              </w:rPr>
              <w:t>Form</w:t>
            </w:r>
          </w:p>
        </w:tc>
        <w:tc>
          <w:tcPr>
            <w:tcW w:w="20" w:type="dxa"/>
            <w:vAlign w:val="bottom"/>
          </w:tcPr>
          <w:p>
            <w:pPr>
              <w:spacing w:after="0"/>
              <w:rPr>
                <w:sz w:val="24"/>
                <w:szCs w:val="24"/>
                <w:color w:val="auto"/>
              </w:rPr>
            </w:pPr>
          </w:p>
        </w:tc>
        <w:tc>
          <w:tcPr>
            <w:tcW w:w="82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8"/>
              </w:rPr>
              <w:t>Initial</w:t>
            </w:r>
          </w:p>
        </w:tc>
        <w:tc>
          <w:tcPr>
            <w:tcW w:w="20" w:type="dxa"/>
            <w:vAlign w:val="bottom"/>
          </w:tcPr>
          <w:p>
            <w:pPr>
              <w:spacing w:after="0"/>
              <w:rPr>
                <w:sz w:val="24"/>
                <w:szCs w:val="24"/>
                <w:color w:val="auto"/>
              </w:rPr>
            </w:pPr>
          </w:p>
        </w:tc>
        <w:tc>
          <w:tcPr>
            <w:tcW w:w="58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shd w:val="clear" w:color="auto" w:fill="9ADAF6"/>
          </w:tcPr>
          <w:p>
            <w:pPr>
              <w:jc w:val="right"/>
              <w:ind w:right="136"/>
              <w:spacing w:after="0"/>
              <w:rPr>
                <w:sz w:val="20"/>
                <w:szCs w:val="20"/>
                <w:color w:val="auto"/>
              </w:rPr>
            </w:pPr>
            <w:r>
              <w:rPr>
                <w:rFonts w:ascii="Arial" w:cs="Arial" w:eastAsia="Arial" w:hAnsi="Arial"/>
                <w:sz w:val="21"/>
                <w:szCs w:val="21"/>
                <w:b w:val="1"/>
                <w:bCs w:val="1"/>
                <w:color w:val="auto"/>
              </w:rPr>
              <w:t>Fee</w:t>
            </w:r>
          </w:p>
        </w:tc>
        <w:tc>
          <w:tcPr>
            <w:tcW w:w="20" w:type="dxa"/>
            <w:vAlign w:val="bottom"/>
          </w:tcPr>
          <w:p>
            <w:pPr>
              <w:spacing w:after="0"/>
              <w:rPr>
                <w:sz w:val="24"/>
                <w:szCs w:val="24"/>
                <w:color w:val="auto"/>
              </w:rPr>
            </w:pPr>
          </w:p>
        </w:tc>
        <w:tc>
          <w:tcPr>
            <w:tcW w:w="114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3"/>
              </w:rPr>
              <w:t>Type</w:t>
            </w:r>
          </w:p>
        </w:tc>
        <w:tc>
          <w:tcPr>
            <w:tcW w:w="20" w:type="dxa"/>
            <w:vAlign w:val="bottom"/>
          </w:tcPr>
          <w:p>
            <w:pPr>
              <w:spacing w:after="0"/>
              <w:rPr>
                <w:sz w:val="24"/>
                <w:szCs w:val="24"/>
                <w:color w:val="auto"/>
              </w:rPr>
            </w:pPr>
          </w:p>
        </w:tc>
        <w:tc>
          <w:tcPr>
            <w:tcW w:w="114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7"/>
              </w:rPr>
              <w:t>Title</w:t>
            </w:r>
          </w:p>
        </w:tc>
        <w:tc>
          <w:tcPr>
            <w:tcW w:w="40" w:type="dxa"/>
            <w:vAlign w:val="bottom"/>
          </w:tcPr>
          <w:p>
            <w:pPr>
              <w:spacing w:after="0"/>
              <w:rPr>
                <w:sz w:val="24"/>
                <w:szCs w:val="24"/>
                <w:color w:val="auto"/>
              </w:rPr>
            </w:pPr>
          </w:p>
        </w:tc>
        <w:tc>
          <w:tcPr>
            <w:tcW w:w="114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Securities</w:t>
            </w:r>
          </w:p>
        </w:tc>
        <w:tc>
          <w:tcPr>
            <w:tcW w:w="20" w:type="dxa"/>
            <w:vAlign w:val="bottom"/>
          </w:tcPr>
          <w:p>
            <w:pPr>
              <w:spacing w:after="0"/>
              <w:rPr>
                <w:sz w:val="24"/>
                <w:szCs w:val="24"/>
                <w:color w:val="auto"/>
              </w:rPr>
            </w:pPr>
          </w:p>
        </w:tc>
        <w:tc>
          <w:tcPr>
            <w:tcW w:w="114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Offering</w:t>
            </w:r>
          </w:p>
        </w:tc>
        <w:tc>
          <w:tcPr>
            <w:tcW w:w="20" w:type="dxa"/>
            <w:vAlign w:val="bottom"/>
          </w:tcPr>
          <w:p>
            <w:pPr>
              <w:spacing w:after="0"/>
              <w:rPr>
                <w:sz w:val="24"/>
                <w:szCs w:val="24"/>
                <w:color w:val="auto"/>
              </w:rPr>
            </w:pPr>
          </w:p>
        </w:tc>
        <w:tc>
          <w:tcPr>
            <w:tcW w:w="74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Paid</w:t>
            </w:r>
          </w:p>
        </w:tc>
        <w:tc>
          <w:tcPr>
            <w:tcW w:w="80" w:type="dxa"/>
            <w:vAlign w:val="bottom"/>
            <w:tcBorders>
              <w:right w:val="single" w:sz="8" w:color="auto"/>
            </w:tcBorders>
          </w:tcPr>
          <w:p>
            <w:pPr>
              <w:spacing w:after="0"/>
              <w:rPr>
                <w:sz w:val="24"/>
                <w:szCs w:val="24"/>
                <w:color w:val="auto"/>
              </w:rPr>
            </w:pPr>
          </w:p>
        </w:tc>
      </w:tr>
      <w:tr>
        <w:trPr>
          <w:trHeight w:val="233"/>
        </w:trPr>
        <w:tc>
          <w:tcPr>
            <w:tcW w:w="40" w:type="dxa"/>
            <w:vAlign w:val="bottom"/>
            <w:tcBorders>
              <w:left w:val="single" w:sz="8" w:color="auto"/>
            </w:tcBorders>
          </w:tcPr>
          <w:p>
            <w:pPr>
              <w:spacing w:after="0"/>
              <w:rPr>
                <w:sz w:val="20"/>
                <w:szCs w:val="20"/>
                <w:color w:val="auto"/>
              </w:rPr>
            </w:pPr>
          </w:p>
        </w:tc>
        <w:tc>
          <w:tcPr>
            <w:tcW w:w="80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106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8"/>
              </w:rPr>
              <w:t>or Filer</w:t>
            </w:r>
          </w:p>
        </w:tc>
        <w:tc>
          <w:tcPr>
            <w:tcW w:w="20" w:type="dxa"/>
            <w:vAlign w:val="bottom"/>
          </w:tcPr>
          <w:p>
            <w:pPr>
              <w:spacing w:after="0"/>
              <w:rPr>
                <w:sz w:val="20"/>
                <w:szCs w:val="20"/>
                <w:color w:val="auto"/>
              </w:rPr>
            </w:pPr>
          </w:p>
        </w:tc>
        <w:tc>
          <w:tcPr>
            <w:tcW w:w="60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5"/>
              </w:rPr>
              <w:t>or</w:t>
            </w:r>
          </w:p>
        </w:tc>
        <w:tc>
          <w:tcPr>
            <w:tcW w:w="20" w:type="dxa"/>
            <w:vAlign w:val="bottom"/>
          </w:tcPr>
          <w:p>
            <w:pPr>
              <w:spacing w:after="0"/>
              <w:rPr>
                <w:sz w:val="20"/>
                <w:szCs w:val="20"/>
                <w:color w:val="auto"/>
              </w:rPr>
            </w:pPr>
          </w:p>
        </w:tc>
        <w:tc>
          <w:tcPr>
            <w:tcW w:w="82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9"/>
              </w:rPr>
              <w:t>File</w:t>
            </w:r>
          </w:p>
        </w:tc>
        <w:tc>
          <w:tcPr>
            <w:tcW w:w="20" w:type="dxa"/>
            <w:vAlign w:val="bottom"/>
          </w:tcPr>
          <w:p>
            <w:pPr>
              <w:spacing w:after="0"/>
              <w:rPr>
                <w:sz w:val="20"/>
                <w:szCs w:val="20"/>
                <w:color w:val="auto"/>
              </w:rPr>
            </w:pPr>
          </w:p>
        </w:tc>
        <w:tc>
          <w:tcPr>
            <w:tcW w:w="58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6"/>
              </w:rPr>
              <w:t>Filing</w:t>
            </w:r>
          </w:p>
        </w:tc>
        <w:tc>
          <w:tcPr>
            <w:tcW w:w="20" w:type="dxa"/>
            <w:vAlign w:val="bottom"/>
          </w:tcPr>
          <w:p>
            <w:pPr>
              <w:spacing w:after="0"/>
              <w:rPr>
                <w:sz w:val="20"/>
                <w:szCs w:val="20"/>
                <w:color w:val="auto"/>
              </w:rPr>
            </w:pPr>
          </w:p>
        </w:tc>
        <w:tc>
          <w:tcPr>
            <w:tcW w:w="58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9"/>
              </w:rPr>
              <w:t>Filing</w:t>
            </w:r>
          </w:p>
        </w:tc>
        <w:tc>
          <w:tcPr>
            <w:tcW w:w="40" w:type="dxa"/>
            <w:vAlign w:val="bottom"/>
          </w:tcPr>
          <w:p>
            <w:pPr>
              <w:spacing w:after="0"/>
              <w:rPr>
                <w:sz w:val="20"/>
                <w:szCs w:val="20"/>
                <w:color w:val="auto"/>
              </w:rPr>
            </w:pPr>
          </w:p>
        </w:tc>
        <w:tc>
          <w:tcPr>
            <w:tcW w:w="840" w:type="dxa"/>
            <w:vAlign w:val="bottom"/>
            <w:shd w:val="clear" w:color="auto" w:fill="9ADAF6"/>
          </w:tcPr>
          <w:p>
            <w:pPr>
              <w:ind w:left="120"/>
              <w:spacing w:after="0" w:line="233" w:lineRule="exact"/>
              <w:rPr>
                <w:sz w:val="20"/>
                <w:szCs w:val="20"/>
                <w:color w:val="auto"/>
              </w:rPr>
            </w:pPr>
            <w:r>
              <w:rPr>
                <w:rFonts w:ascii="Arial" w:cs="Arial" w:eastAsia="Arial" w:hAnsi="Arial"/>
                <w:sz w:val="21"/>
                <w:szCs w:val="21"/>
                <w:b w:val="1"/>
                <w:bCs w:val="1"/>
                <w:color w:val="auto"/>
              </w:rPr>
              <w:t>Offset</w:t>
            </w:r>
          </w:p>
        </w:tc>
        <w:tc>
          <w:tcPr>
            <w:tcW w:w="20" w:type="dxa"/>
            <w:vAlign w:val="bottom"/>
          </w:tcPr>
          <w:p>
            <w:pPr>
              <w:spacing w:after="0"/>
              <w:rPr>
                <w:sz w:val="20"/>
                <w:szCs w:val="20"/>
                <w:color w:val="auto"/>
              </w:rPr>
            </w:pPr>
          </w:p>
        </w:tc>
        <w:tc>
          <w:tcPr>
            <w:tcW w:w="11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8"/>
              </w:rPr>
              <w:t>Associated</w:t>
            </w:r>
          </w:p>
        </w:tc>
        <w:tc>
          <w:tcPr>
            <w:tcW w:w="20" w:type="dxa"/>
            <w:vAlign w:val="bottom"/>
          </w:tcPr>
          <w:p>
            <w:pPr>
              <w:spacing w:after="0"/>
              <w:rPr>
                <w:sz w:val="20"/>
                <w:szCs w:val="20"/>
                <w:color w:val="auto"/>
              </w:rPr>
            </w:pPr>
          </w:p>
        </w:tc>
        <w:tc>
          <w:tcPr>
            <w:tcW w:w="11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9"/>
              </w:rPr>
              <w:t>Associated</w:t>
            </w:r>
          </w:p>
        </w:tc>
        <w:tc>
          <w:tcPr>
            <w:tcW w:w="40" w:type="dxa"/>
            <w:vAlign w:val="bottom"/>
          </w:tcPr>
          <w:p>
            <w:pPr>
              <w:spacing w:after="0"/>
              <w:rPr>
                <w:sz w:val="20"/>
                <w:szCs w:val="20"/>
                <w:color w:val="auto"/>
              </w:rPr>
            </w:pPr>
          </w:p>
        </w:tc>
        <w:tc>
          <w:tcPr>
            <w:tcW w:w="11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8"/>
              </w:rPr>
              <w:t>Associated</w:t>
            </w:r>
          </w:p>
        </w:tc>
        <w:tc>
          <w:tcPr>
            <w:tcW w:w="20" w:type="dxa"/>
            <w:vAlign w:val="bottom"/>
          </w:tcPr>
          <w:p>
            <w:pPr>
              <w:spacing w:after="0"/>
              <w:rPr>
                <w:sz w:val="20"/>
                <w:szCs w:val="20"/>
                <w:color w:val="auto"/>
              </w:rPr>
            </w:pPr>
          </w:p>
        </w:tc>
        <w:tc>
          <w:tcPr>
            <w:tcW w:w="11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8"/>
              </w:rPr>
              <w:t>Amount</w:t>
            </w:r>
          </w:p>
        </w:tc>
        <w:tc>
          <w:tcPr>
            <w:tcW w:w="20" w:type="dxa"/>
            <w:vAlign w:val="bottom"/>
          </w:tcPr>
          <w:p>
            <w:pPr>
              <w:spacing w:after="0"/>
              <w:rPr>
                <w:sz w:val="20"/>
                <w:szCs w:val="20"/>
                <w:color w:val="auto"/>
              </w:rPr>
            </w:pPr>
          </w:p>
        </w:tc>
        <w:tc>
          <w:tcPr>
            <w:tcW w:w="7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9"/>
              </w:rPr>
              <w:t>with</w:t>
            </w:r>
          </w:p>
        </w:tc>
        <w:tc>
          <w:tcPr>
            <w:tcW w:w="80" w:type="dxa"/>
            <w:vAlign w:val="bottom"/>
            <w:tcBorders>
              <w:right w:val="single" w:sz="8" w:color="auto"/>
            </w:tcBorders>
          </w:tcPr>
          <w:p>
            <w:pPr>
              <w:spacing w:after="0"/>
              <w:rPr>
                <w:sz w:val="20"/>
                <w:szCs w:val="20"/>
                <w:color w:val="auto"/>
              </w:rPr>
            </w:pPr>
          </w:p>
        </w:tc>
      </w:tr>
      <w:tr>
        <w:trPr>
          <w:trHeight w:val="233"/>
        </w:trPr>
        <w:tc>
          <w:tcPr>
            <w:tcW w:w="40" w:type="dxa"/>
            <w:vAlign w:val="bottom"/>
            <w:tcBorders>
              <w:left w:val="single" w:sz="8" w:color="auto"/>
            </w:tcBorders>
          </w:tcPr>
          <w:p>
            <w:pPr>
              <w:spacing w:after="0"/>
              <w:rPr>
                <w:sz w:val="20"/>
                <w:szCs w:val="20"/>
                <w:color w:val="auto"/>
              </w:rPr>
            </w:pPr>
          </w:p>
        </w:tc>
        <w:tc>
          <w:tcPr>
            <w:tcW w:w="80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106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rPr>
              <w:t>Name</w:t>
            </w:r>
          </w:p>
        </w:tc>
        <w:tc>
          <w:tcPr>
            <w:tcW w:w="20" w:type="dxa"/>
            <w:vAlign w:val="bottom"/>
          </w:tcPr>
          <w:p>
            <w:pPr>
              <w:spacing w:after="0"/>
              <w:rPr>
                <w:sz w:val="20"/>
                <w:szCs w:val="20"/>
                <w:color w:val="auto"/>
              </w:rPr>
            </w:pPr>
          </w:p>
        </w:tc>
        <w:tc>
          <w:tcPr>
            <w:tcW w:w="60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9"/>
              </w:rPr>
              <w:t>Filing</w:t>
            </w:r>
          </w:p>
        </w:tc>
        <w:tc>
          <w:tcPr>
            <w:tcW w:w="20" w:type="dxa"/>
            <w:vAlign w:val="bottom"/>
          </w:tcPr>
          <w:p>
            <w:pPr>
              <w:spacing w:after="0"/>
              <w:rPr>
                <w:sz w:val="20"/>
                <w:szCs w:val="20"/>
                <w:color w:val="auto"/>
              </w:rPr>
            </w:pPr>
          </w:p>
        </w:tc>
        <w:tc>
          <w:tcPr>
            <w:tcW w:w="82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8"/>
              </w:rPr>
              <w:t>Number</w:t>
            </w:r>
          </w:p>
        </w:tc>
        <w:tc>
          <w:tcPr>
            <w:tcW w:w="20" w:type="dxa"/>
            <w:vAlign w:val="bottom"/>
          </w:tcPr>
          <w:p>
            <w:pPr>
              <w:spacing w:after="0"/>
              <w:rPr>
                <w:sz w:val="20"/>
                <w:szCs w:val="20"/>
                <w:color w:val="auto"/>
              </w:rPr>
            </w:pPr>
          </w:p>
        </w:tc>
        <w:tc>
          <w:tcPr>
            <w:tcW w:w="58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rPr>
              <w:t>Date</w:t>
            </w:r>
          </w:p>
        </w:tc>
        <w:tc>
          <w:tcPr>
            <w:tcW w:w="20" w:type="dxa"/>
            <w:vAlign w:val="bottom"/>
          </w:tcPr>
          <w:p>
            <w:pPr>
              <w:spacing w:after="0"/>
              <w:rPr>
                <w:sz w:val="20"/>
                <w:szCs w:val="20"/>
                <w:color w:val="auto"/>
              </w:rPr>
            </w:pPr>
          </w:p>
        </w:tc>
        <w:tc>
          <w:tcPr>
            <w:tcW w:w="58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6"/>
              </w:rPr>
              <w:t>Date</w:t>
            </w:r>
          </w:p>
        </w:tc>
        <w:tc>
          <w:tcPr>
            <w:tcW w:w="40" w:type="dxa"/>
            <w:vAlign w:val="bottom"/>
          </w:tcPr>
          <w:p>
            <w:pPr>
              <w:spacing w:after="0"/>
              <w:rPr>
                <w:sz w:val="20"/>
                <w:szCs w:val="20"/>
                <w:color w:val="auto"/>
              </w:rPr>
            </w:pPr>
          </w:p>
        </w:tc>
        <w:tc>
          <w:tcPr>
            <w:tcW w:w="840" w:type="dxa"/>
            <w:vAlign w:val="bottom"/>
            <w:shd w:val="clear" w:color="auto" w:fill="9ADAF6"/>
          </w:tcPr>
          <w:p>
            <w:pPr>
              <w:jc w:val="right"/>
              <w:spacing w:after="0" w:line="233" w:lineRule="exact"/>
              <w:rPr>
                <w:sz w:val="20"/>
                <w:szCs w:val="20"/>
                <w:color w:val="auto"/>
              </w:rPr>
            </w:pPr>
            <w:r>
              <w:rPr>
                <w:rFonts w:ascii="Arial" w:cs="Arial" w:eastAsia="Arial" w:hAnsi="Arial"/>
                <w:sz w:val="21"/>
                <w:szCs w:val="21"/>
                <w:b w:val="1"/>
                <w:bCs w:val="1"/>
                <w:color w:val="auto"/>
                <w:w w:val="97"/>
              </w:rPr>
              <w:t>Claimed</w:t>
            </w:r>
          </w:p>
        </w:tc>
        <w:tc>
          <w:tcPr>
            <w:tcW w:w="20" w:type="dxa"/>
            <w:vAlign w:val="bottom"/>
          </w:tcPr>
          <w:p>
            <w:pPr>
              <w:spacing w:after="0"/>
              <w:rPr>
                <w:sz w:val="20"/>
                <w:szCs w:val="20"/>
                <w:color w:val="auto"/>
              </w:rPr>
            </w:pPr>
          </w:p>
        </w:tc>
        <w:tc>
          <w:tcPr>
            <w:tcW w:w="11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7"/>
              </w:rPr>
              <w:t>with Fee</w:t>
            </w:r>
          </w:p>
        </w:tc>
        <w:tc>
          <w:tcPr>
            <w:tcW w:w="20" w:type="dxa"/>
            <w:vAlign w:val="bottom"/>
          </w:tcPr>
          <w:p>
            <w:pPr>
              <w:spacing w:after="0"/>
              <w:rPr>
                <w:sz w:val="20"/>
                <w:szCs w:val="20"/>
                <w:color w:val="auto"/>
              </w:rPr>
            </w:pPr>
          </w:p>
        </w:tc>
        <w:tc>
          <w:tcPr>
            <w:tcW w:w="11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9"/>
              </w:rPr>
              <w:t>with Fee</w:t>
            </w:r>
          </w:p>
        </w:tc>
        <w:tc>
          <w:tcPr>
            <w:tcW w:w="40" w:type="dxa"/>
            <w:vAlign w:val="bottom"/>
          </w:tcPr>
          <w:p>
            <w:pPr>
              <w:spacing w:after="0"/>
              <w:rPr>
                <w:sz w:val="20"/>
                <w:szCs w:val="20"/>
                <w:color w:val="auto"/>
              </w:rPr>
            </w:pPr>
          </w:p>
        </w:tc>
        <w:tc>
          <w:tcPr>
            <w:tcW w:w="11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9"/>
              </w:rPr>
              <w:t>with Fee</w:t>
            </w:r>
          </w:p>
        </w:tc>
        <w:tc>
          <w:tcPr>
            <w:tcW w:w="20" w:type="dxa"/>
            <w:vAlign w:val="bottom"/>
          </w:tcPr>
          <w:p>
            <w:pPr>
              <w:spacing w:after="0"/>
              <w:rPr>
                <w:sz w:val="20"/>
                <w:szCs w:val="20"/>
                <w:color w:val="auto"/>
              </w:rPr>
            </w:pPr>
          </w:p>
        </w:tc>
        <w:tc>
          <w:tcPr>
            <w:tcW w:w="11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8"/>
              </w:rPr>
              <w:t>Associated</w:t>
            </w:r>
          </w:p>
        </w:tc>
        <w:tc>
          <w:tcPr>
            <w:tcW w:w="20" w:type="dxa"/>
            <w:vAlign w:val="bottom"/>
          </w:tcPr>
          <w:p>
            <w:pPr>
              <w:spacing w:after="0"/>
              <w:rPr>
                <w:sz w:val="20"/>
                <w:szCs w:val="20"/>
                <w:color w:val="auto"/>
              </w:rPr>
            </w:pPr>
          </w:p>
        </w:tc>
        <w:tc>
          <w:tcPr>
            <w:tcW w:w="7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9"/>
              </w:rPr>
              <w:t>Fee</w:t>
            </w:r>
          </w:p>
        </w:tc>
        <w:tc>
          <w:tcPr>
            <w:tcW w:w="80" w:type="dxa"/>
            <w:vAlign w:val="bottom"/>
            <w:tcBorders>
              <w:right w:val="single" w:sz="8" w:color="auto"/>
            </w:tcBorders>
          </w:tcPr>
          <w:p>
            <w:pPr>
              <w:spacing w:after="0"/>
              <w:rPr>
                <w:sz w:val="20"/>
                <w:szCs w:val="20"/>
                <w:color w:val="auto"/>
              </w:rPr>
            </w:pPr>
          </w:p>
        </w:tc>
      </w:tr>
      <w:tr>
        <w:trPr>
          <w:trHeight w:val="142"/>
        </w:trPr>
        <w:tc>
          <w:tcPr>
            <w:tcW w:w="40" w:type="dxa"/>
            <w:vAlign w:val="bottom"/>
            <w:tcBorders>
              <w:left w:val="single" w:sz="8" w:color="auto"/>
            </w:tcBorders>
          </w:tcPr>
          <w:p>
            <w:pPr>
              <w:spacing w:after="0"/>
              <w:rPr>
                <w:sz w:val="12"/>
                <w:szCs w:val="12"/>
                <w:color w:val="auto"/>
              </w:rPr>
            </w:pPr>
          </w:p>
        </w:tc>
        <w:tc>
          <w:tcPr>
            <w:tcW w:w="80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106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shd w:val="clear" w:color="auto" w:fill="9ADAF6"/>
          </w:tcPr>
          <w:p>
            <w:pPr>
              <w:jc w:val="center"/>
              <w:spacing w:after="0" w:line="142" w:lineRule="exact"/>
              <w:rPr>
                <w:sz w:val="20"/>
                <w:szCs w:val="20"/>
                <w:color w:val="auto"/>
              </w:rPr>
            </w:pPr>
            <w:r>
              <w:rPr>
                <w:rFonts w:ascii="Arial" w:cs="Arial" w:eastAsia="Arial" w:hAnsi="Arial"/>
                <w:sz w:val="16"/>
                <w:szCs w:val="16"/>
                <w:b w:val="1"/>
                <w:bCs w:val="1"/>
                <w:color w:val="auto"/>
              </w:rPr>
              <w:t>Type</w:t>
            </w:r>
          </w:p>
        </w:tc>
        <w:tc>
          <w:tcPr>
            <w:tcW w:w="20" w:type="dxa"/>
            <w:vAlign w:val="bottom"/>
          </w:tcPr>
          <w:p>
            <w:pPr>
              <w:spacing w:after="0"/>
              <w:rPr>
                <w:sz w:val="12"/>
                <w:szCs w:val="12"/>
                <w:color w:val="auto"/>
              </w:rPr>
            </w:pPr>
          </w:p>
        </w:tc>
        <w:tc>
          <w:tcPr>
            <w:tcW w:w="82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shd w:val="clear" w:color="auto" w:fill="9ADAF6"/>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1140" w:type="dxa"/>
            <w:vAlign w:val="bottom"/>
            <w:shd w:val="clear" w:color="auto" w:fill="9ADAF6"/>
          </w:tcPr>
          <w:p>
            <w:pPr>
              <w:jc w:val="center"/>
              <w:spacing w:after="0" w:line="142" w:lineRule="exact"/>
              <w:rPr>
                <w:sz w:val="20"/>
                <w:szCs w:val="20"/>
                <w:color w:val="auto"/>
              </w:rPr>
            </w:pPr>
            <w:r>
              <w:rPr>
                <w:rFonts w:ascii="Arial" w:cs="Arial" w:eastAsia="Arial" w:hAnsi="Arial"/>
                <w:sz w:val="16"/>
                <w:szCs w:val="16"/>
                <w:b w:val="1"/>
                <w:bCs w:val="1"/>
                <w:color w:val="auto"/>
              </w:rPr>
              <w:t>Offset</w:t>
            </w:r>
          </w:p>
        </w:tc>
        <w:tc>
          <w:tcPr>
            <w:tcW w:w="20" w:type="dxa"/>
            <w:vAlign w:val="bottom"/>
          </w:tcPr>
          <w:p>
            <w:pPr>
              <w:spacing w:after="0"/>
              <w:rPr>
                <w:sz w:val="12"/>
                <w:szCs w:val="12"/>
                <w:color w:val="auto"/>
              </w:rPr>
            </w:pPr>
          </w:p>
        </w:tc>
        <w:tc>
          <w:tcPr>
            <w:tcW w:w="1140" w:type="dxa"/>
            <w:vAlign w:val="bottom"/>
            <w:shd w:val="clear" w:color="auto" w:fill="9ADAF6"/>
          </w:tcPr>
          <w:p>
            <w:pPr>
              <w:jc w:val="center"/>
              <w:spacing w:after="0" w:line="142" w:lineRule="exact"/>
              <w:rPr>
                <w:sz w:val="20"/>
                <w:szCs w:val="20"/>
                <w:color w:val="auto"/>
              </w:rPr>
            </w:pPr>
            <w:r>
              <w:rPr>
                <w:rFonts w:ascii="Arial" w:cs="Arial" w:eastAsia="Arial" w:hAnsi="Arial"/>
                <w:sz w:val="16"/>
                <w:szCs w:val="16"/>
                <w:b w:val="1"/>
                <w:bCs w:val="1"/>
                <w:color w:val="auto"/>
              </w:rPr>
              <w:t>Offset</w:t>
            </w:r>
          </w:p>
        </w:tc>
        <w:tc>
          <w:tcPr>
            <w:tcW w:w="40" w:type="dxa"/>
            <w:vAlign w:val="bottom"/>
          </w:tcPr>
          <w:p>
            <w:pPr>
              <w:spacing w:after="0"/>
              <w:rPr>
                <w:sz w:val="12"/>
                <w:szCs w:val="12"/>
                <w:color w:val="auto"/>
              </w:rPr>
            </w:pPr>
          </w:p>
        </w:tc>
        <w:tc>
          <w:tcPr>
            <w:tcW w:w="1140" w:type="dxa"/>
            <w:vAlign w:val="bottom"/>
            <w:shd w:val="clear" w:color="auto" w:fill="9ADAF6"/>
          </w:tcPr>
          <w:p>
            <w:pPr>
              <w:jc w:val="center"/>
              <w:spacing w:after="0" w:line="142" w:lineRule="exact"/>
              <w:rPr>
                <w:sz w:val="20"/>
                <w:szCs w:val="20"/>
                <w:color w:val="auto"/>
              </w:rPr>
            </w:pPr>
            <w:r>
              <w:rPr>
                <w:rFonts w:ascii="Arial" w:cs="Arial" w:eastAsia="Arial" w:hAnsi="Arial"/>
                <w:sz w:val="16"/>
                <w:szCs w:val="16"/>
                <w:b w:val="1"/>
                <w:bCs w:val="1"/>
                <w:color w:val="auto"/>
              </w:rPr>
              <w:t>Offset</w:t>
            </w:r>
          </w:p>
        </w:tc>
        <w:tc>
          <w:tcPr>
            <w:tcW w:w="20" w:type="dxa"/>
            <w:vAlign w:val="bottom"/>
          </w:tcPr>
          <w:p>
            <w:pPr>
              <w:spacing w:after="0"/>
              <w:rPr>
                <w:sz w:val="12"/>
                <w:szCs w:val="12"/>
                <w:color w:val="auto"/>
              </w:rPr>
            </w:pPr>
          </w:p>
        </w:tc>
        <w:tc>
          <w:tcPr>
            <w:tcW w:w="1140" w:type="dxa"/>
            <w:vAlign w:val="bottom"/>
            <w:shd w:val="clear" w:color="auto" w:fill="9ADAF6"/>
          </w:tcPr>
          <w:p>
            <w:pPr>
              <w:jc w:val="center"/>
              <w:spacing w:after="0" w:line="142" w:lineRule="exact"/>
              <w:rPr>
                <w:sz w:val="20"/>
                <w:szCs w:val="20"/>
                <w:color w:val="auto"/>
              </w:rPr>
            </w:pPr>
            <w:r>
              <w:rPr>
                <w:rFonts w:ascii="Arial" w:cs="Arial" w:eastAsia="Arial" w:hAnsi="Arial"/>
                <w:sz w:val="16"/>
                <w:szCs w:val="16"/>
                <w:b w:val="1"/>
                <w:bCs w:val="1"/>
                <w:color w:val="auto"/>
              </w:rPr>
              <w:t>with Fee</w:t>
            </w:r>
          </w:p>
        </w:tc>
        <w:tc>
          <w:tcPr>
            <w:tcW w:w="20" w:type="dxa"/>
            <w:vAlign w:val="bottom"/>
          </w:tcPr>
          <w:p>
            <w:pPr>
              <w:spacing w:after="0"/>
              <w:rPr>
                <w:sz w:val="12"/>
                <w:szCs w:val="12"/>
                <w:color w:val="auto"/>
              </w:rPr>
            </w:pPr>
          </w:p>
        </w:tc>
        <w:tc>
          <w:tcPr>
            <w:tcW w:w="740" w:type="dxa"/>
            <w:vAlign w:val="bottom"/>
            <w:shd w:val="clear" w:color="auto" w:fill="9ADAF6"/>
          </w:tcPr>
          <w:p>
            <w:pPr>
              <w:jc w:val="center"/>
              <w:spacing w:after="0" w:line="142" w:lineRule="exact"/>
              <w:rPr>
                <w:sz w:val="20"/>
                <w:szCs w:val="20"/>
                <w:color w:val="auto"/>
              </w:rPr>
            </w:pPr>
            <w:r>
              <w:rPr>
                <w:rFonts w:ascii="Arial" w:cs="Arial" w:eastAsia="Arial" w:hAnsi="Arial"/>
                <w:sz w:val="16"/>
                <w:szCs w:val="16"/>
                <w:b w:val="1"/>
                <w:bCs w:val="1"/>
                <w:color w:val="auto"/>
              </w:rPr>
              <w:t>Offset</w:t>
            </w:r>
          </w:p>
        </w:tc>
        <w:tc>
          <w:tcPr>
            <w:tcW w:w="80" w:type="dxa"/>
            <w:vAlign w:val="bottom"/>
            <w:tcBorders>
              <w:right w:val="single" w:sz="8" w:color="auto"/>
            </w:tcBorders>
          </w:tcPr>
          <w:p>
            <w:pPr>
              <w:spacing w:after="0"/>
              <w:rPr>
                <w:sz w:val="12"/>
                <w:szCs w:val="12"/>
                <w:color w:val="auto"/>
              </w:rPr>
            </w:pPr>
          </w:p>
        </w:tc>
      </w:tr>
      <w:tr>
        <w:trPr>
          <w:trHeight w:val="233"/>
        </w:trPr>
        <w:tc>
          <w:tcPr>
            <w:tcW w:w="40" w:type="dxa"/>
            <w:vAlign w:val="bottom"/>
            <w:tcBorders>
              <w:left w:val="single" w:sz="8" w:color="auto"/>
            </w:tcBorders>
          </w:tcPr>
          <w:p>
            <w:pPr>
              <w:spacing w:after="0"/>
              <w:rPr>
                <w:sz w:val="20"/>
                <w:szCs w:val="20"/>
                <w:color w:val="auto"/>
              </w:rPr>
            </w:pPr>
          </w:p>
        </w:tc>
        <w:tc>
          <w:tcPr>
            <w:tcW w:w="80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106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84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rPr>
              <w:t>Claimed</w:t>
            </w:r>
          </w:p>
        </w:tc>
        <w:tc>
          <w:tcPr>
            <w:tcW w:w="20" w:type="dxa"/>
            <w:vAlign w:val="bottom"/>
          </w:tcPr>
          <w:p>
            <w:pPr>
              <w:spacing w:after="0"/>
              <w:rPr>
                <w:sz w:val="20"/>
                <w:szCs w:val="20"/>
                <w:color w:val="auto"/>
              </w:rPr>
            </w:pPr>
          </w:p>
        </w:tc>
        <w:tc>
          <w:tcPr>
            <w:tcW w:w="11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7"/>
              </w:rPr>
              <w:t>Claimed</w:t>
            </w:r>
          </w:p>
        </w:tc>
        <w:tc>
          <w:tcPr>
            <w:tcW w:w="40" w:type="dxa"/>
            <w:vAlign w:val="bottom"/>
          </w:tcPr>
          <w:p>
            <w:pPr>
              <w:spacing w:after="0"/>
              <w:rPr>
                <w:sz w:val="20"/>
                <w:szCs w:val="20"/>
                <w:color w:val="auto"/>
              </w:rPr>
            </w:pPr>
          </w:p>
        </w:tc>
        <w:tc>
          <w:tcPr>
            <w:tcW w:w="11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7"/>
              </w:rPr>
              <w:t>Claimed</w:t>
            </w:r>
          </w:p>
        </w:tc>
        <w:tc>
          <w:tcPr>
            <w:tcW w:w="20" w:type="dxa"/>
            <w:vAlign w:val="bottom"/>
          </w:tcPr>
          <w:p>
            <w:pPr>
              <w:spacing w:after="0"/>
              <w:rPr>
                <w:sz w:val="20"/>
                <w:szCs w:val="20"/>
                <w:color w:val="auto"/>
              </w:rPr>
            </w:pPr>
          </w:p>
        </w:tc>
        <w:tc>
          <w:tcPr>
            <w:tcW w:w="11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5"/>
              </w:rPr>
              <w:t>Offset</w:t>
            </w:r>
          </w:p>
        </w:tc>
        <w:tc>
          <w:tcPr>
            <w:tcW w:w="20" w:type="dxa"/>
            <w:vAlign w:val="bottom"/>
          </w:tcPr>
          <w:p>
            <w:pPr>
              <w:spacing w:after="0"/>
              <w:rPr>
                <w:sz w:val="20"/>
                <w:szCs w:val="20"/>
                <w:color w:val="auto"/>
              </w:rPr>
            </w:pPr>
          </w:p>
        </w:tc>
        <w:tc>
          <w:tcPr>
            <w:tcW w:w="7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8"/>
              </w:rPr>
              <w:t>Source</w:t>
            </w:r>
          </w:p>
        </w:tc>
        <w:tc>
          <w:tcPr>
            <w:tcW w:w="80" w:type="dxa"/>
            <w:vAlign w:val="bottom"/>
            <w:tcBorders>
              <w:right w:val="single" w:sz="8" w:color="auto"/>
            </w:tcBorders>
          </w:tcPr>
          <w:p>
            <w:pPr>
              <w:spacing w:after="0"/>
              <w:rPr>
                <w:sz w:val="20"/>
                <w:szCs w:val="20"/>
                <w:color w:val="auto"/>
              </w:rPr>
            </w:pPr>
          </w:p>
        </w:tc>
      </w:tr>
      <w:tr>
        <w:trPr>
          <w:trHeight w:val="272"/>
        </w:trPr>
        <w:tc>
          <w:tcPr>
            <w:tcW w:w="40" w:type="dxa"/>
            <w:vAlign w:val="bottom"/>
            <w:tcBorders>
              <w:left w:val="single" w:sz="8" w:color="auto"/>
            </w:tcBorders>
          </w:tcPr>
          <w:p>
            <w:pPr>
              <w:spacing w:after="0"/>
              <w:rPr>
                <w:sz w:val="23"/>
                <w:szCs w:val="23"/>
                <w:color w:val="auto"/>
              </w:rPr>
            </w:pPr>
          </w:p>
        </w:tc>
        <w:tc>
          <w:tcPr>
            <w:tcW w:w="800" w:type="dxa"/>
            <w:vAlign w:val="bottom"/>
            <w:shd w:val="clear" w:color="auto" w:fill="9ADAF6"/>
          </w:tcPr>
          <w:p>
            <w:pPr>
              <w:spacing w:after="0"/>
              <w:rPr>
                <w:sz w:val="23"/>
                <w:szCs w:val="23"/>
                <w:color w:val="auto"/>
              </w:rPr>
            </w:pPr>
          </w:p>
        </w:tc>
        <w:tc>
          <w:tcPr>
            <w:tcW w:w="20" w:type="dxa"/>
            <w:vAlign w:val="bottom"/>
          </w:tcPr>
          <w:p>
            <w:pPr>
              <w:spacing w:after="0"/>
              <w:rPr>
                <w:sz w:val="23"/>
                <w:szCs w:val="23"/>
                <w:color w:val="auto"/>
              </w:rPr>
            </w:pPr>
          </w:p>
        </w:tc>
        <w:tc>
          <w:tcPr>
            <w:tcW w:w="380" w:type="dxa"/>
            <w:vAlign w:val="bottom"/>
            <w:shd w:val="clear" w:color="auto" w:fill="9ADAF6"/>
          </w:tcPr>
          <w:p>
            <w:pPr>
              <w:spacing w:after="0"/>
              <w:rPr>
                <w:sz w:val="23"/>
                <w:szCs w:val="23"/>
                <w:color w:val="auto"/>
              </w:rPr>
            </w:pPr>
          </w:p>
        </w:tc>
        <w:tc>
          <w:tcPr>
            <w:tcW w:w="20" w:type="dxa"/>
            <w:vAlign w:val="bottom"/>
          </w:tcPr>
          <w:p>
            <w:pPr>
              <w:spacing w:after="0"/>
              <w:rPr>
                <w:sz w:val="23"/>
                <w:szCs w:val="23"/>
                <w:color w:val="auto"/>
              </w:rPr>
            </w:pPr>
          </w:p>
        </w:tc>
        <w:tc>
          <w:tcPr>
            <w:tcW w:w="1060" w:type="dxa"/>
            <w:vAlign w:val="bottom"/>
            <w:shd w:val="clear" w:color="auto" w:fill="9ADAF6"/>
          </w:tcPr>
          <w:p>
            <w:pPr>
              <w:spacing w:after="0"/>
              <w:rPr>
                <w:sz w:val="23"/>
                <w:szCs w:val="23"/>
                <w:color w:val="auto"/>
              </w:rPr>
            </w:pPr>
          </w:p>
        </w:tc>
        <w:tc>
          <w:tcPr>
            <w:tcW w:w="20" w:type="dxa"/>
            <w:vAlign w:val="bottom"/>
          </w:tcPr>
          <w:p>
            <w:pPr>
              <w:spacing w:after="0"/>
              <w:rPr>
                <w:sz w:val="23"/>
                <w:szCs w:val="23"/>
                <w:color w:val="auto"/>
              </w:rPr>
            </w:pPr>
          </w:p>
        </w:tc>
        <w:tc>
          <w:tcPr>
            <w:tcW w:w="600" w:type="dxa"/>
            <w:vAlign w:val="bottom"/>
            <w:shd w:val="clear" w:color="auto" w:fill="9ADAF6"/>
          </w:tcPr>
          <w:p>
            <w:pPr>
              <w:spacing w:after="0"/>
              <w:rPr>
                <w:sz w:val="23"/>
                <w:szCs w:val="23"/>
                <w:color w:val="auto"/>
              </w:rPr>
            </w:pPr>
          </w:p>
        </w:tc>
        <w:tc>
          <w:tcPr>
            <w:tcW w:w="20" w:type="dxa"/>
            <w:vAlign w:val="bottom"/>
          </w:tcPr>
          <w:p>
            <w:pPr>
              <w:spacing w:after="0"/>
              <w:rPr>
                <w:sz w:val="23"/>
                <w:szCs w:val="23"/>
                <w:color w:val="auto"/>
              </w:rPr>
            </w:pPr>
          </w:p>
        </w:tc>
        <w:tc>
          <w:tcPr>
            <w:tcW w:w="820" w:type="dxa"/>
            <w:vAlign w:val="bottom"/>
            <w:shd w:val="clear" w:color="auto" w:fill="9ADAF6"/>
          </w:tcPr>
          <w:p>
            <w:pPr>
              <w:spacing w:after="0"/>
              <w:rPr>
                <w:sz w:val="23"/>
                <w:szCs w:val="23"/>
                <w:color w:val="auto"/>
              </w:rPr>
            </w:pPr>
          </w:p>
        </w:tc>
        <w:tc>
          <w:tcPr>
            <w:tcW w:w="20" w:type="dxa"/>
            <w:vAlign w:val="bottom"/>
          </w:tcPr>
          <w:p>
            <w:pPr>
              <w:spacing w:after="0"/>
              <w:rPr>
                <w:sz w:val="23"/>
                <w:szCs w:val="23"/>
                <w:color w:val="auto"/>
              </w:rPr>
            </w:pPr>
          </w:p>
        </w:tc>
        <w:tc>
          <w:tcPr>
            <w:tcW w:w="580" w:type="dxa"/>
            <w:vAlign w:val="bottom"/>
            <w:shd w:val="clear" w:color="auto" w:fill="9ADAF6"/>
          </w:tcPr>
          <w:p>
            <w:pPr>
              <w:spacing w:after="0"/>
              <w:rPr>
                <w:sz w:val="23"/>
                <w:szCs w:val="23"/>
                <w:color w:val="auto"/>
              </w:rPr>
            </w:pPr>
          </w:p>
        </w:tc>
        <w:tc>
          <w:tcPr>
            <w:tcW w:w="20" w:type="dxa"/>
            <w:vAlign w:val="bottom"/>
          </w:tcPr>
          <w:p>
            <w:pPr>
              <w:spacing w:after="0"/>
              <w:rPr>
                <w:sz w:val="23"/>
                <w:szCs w:val="23"/>
                <w:color w:val="auto"/>
              </w:rPr>
            </w:pPr>
          </w:p>
        </w:tc>
        <w:tc>
          <w:tcPr>
            <w:tcW w:w="580" w:type="dxa"/>
            <w:vAlign w:val="bottom"/>
            <w:shd w:val="clear" w:color="auto" w:fill="9ADAF6"/>
          </w:tcPr>
          <w:p>
            <w:pPr>
              <w:spacing w:after="0"/>
              <w:rPr>
                <w:sz w:val="23"/>
                <w:szCs w:val="23"/>
                <w:color w:val="auto"/>
              </w:rPr>
            </w:pPr>
          </w:p>
        </w:tc>
        <w:tc>
          <w:tcPr>
            <w:tcW w:w="40" w:type="dxa"/>
            <w:vAlign w:val="bottom"/>
          </w:tcPr>
          <w:p>
            <w:pPr>
              <w:spacing w:after="0"/>
              <w:rPr>
                <w:sz w:val="23"/>
                <w:szCs w:val="23"/>
                <w:color w:val="auto"/>
              </w:rPr>
            </w:pPr>
          </w:p>
        </w:tc>
        <w:tc>
          <w:tcPr>
            <w:tcW w:w="840" w:type="dxa"/>
            <w:vAlign w:val="bottom"/>
            <w:shd w:val="clear" w:color="auto" w:fill="9ADAF6"/>
          </w:tcPr>
          <w:p>
            <w:pPr>
              <w:spacing w:after="0"/>
              <w:rPr>
                <w:sz w:val="23"/>
                <w:szCs w:val="23"/>
                <w:color w:val="auto"/>
              </w:rPr>
            </w:pPr>
          </w:p>
        </w:tc>
        <w:tc>
          <w:tcPr>
            <w:tcW w:w="20" w:type="dxa"/>
            <w:vAlign w:val="bottom"/>
          </w:tcPr>
          <w:p>
            <w:pPr>
              <w:spacing w:after="0"/>
              <w:rPr>
                <w:sz w:val="23"/>
                <w:szCs w:val="23"/>
                <w:color w:val="auto"/>
              </w:rPr>
            </w:pPr>
          </w:p>
        </w:tc>
        <w:tc>
          <w:tcPr>
            <w:tcW w:w="1140" w:type="dxa"/>
            <w:vAlign w:val="bottom"/>
            <w:shd w:val="clear" w:color="auto" w:fill="9ADAF6"/>
          </w:tcPr>
          <w:p>
            <w:pPr>
              <w:spacing w:after="0"/>
              <w:rPr>
                <w:sz w:val="23"/>
                <w:szCs w:val="23"/>
                <w:color w:val="auto"/>
              </w:rPr>
            </w:pPr>
          </w:p>
        </w:tc>
        <w:tc>
          <w:tcPr>
            <w:tcW w:w="20" w:type="dxa"/>
            <w:vAlign w:val="bottom"/>
          </w:tcPr>
          <w:p>
            <w:pPr>
              <w:spacing w:after="0"/>
              <w:rPr>
                <w:sz w:val="23"/>
                <w:szCs w:val="23"/>
                <w:color w:val="auto"/>
              </w:rPr>
            </w:pPr>
          </w:p>
        </w:tc>
        <w:tc>
          <w:tcPr>
            <w:tcW w:w="1140" w:type="dxa"/>
            <w:vAlign w:val="bottom"/>
            <w:shd w:val="clear" w:color="auto" w:fill="9ADAF6"/>
          </w:tcPr>
          <w:p>
            <w:pPr>
              <w:spacing w:after="0"/>
              <w:rPr>
                <w:sz w:val="23"/>
                <w:szCs w:val="23"/>
                <w:color w:val="auto"/>
              </w:rPr>
            </w:pPr>
          </w:p>
        </w:tc>
        <w:tc>
          <w:tcPr>
            <w:tcW w:w="40" w:type="dxa"/>
            <w:vAlign w:val="bottom"/>
          </w:tcPr>
          <w:p>
            <w:pPr>
              <w:spacing w:after="0"/>
              <w:rPr>
                <w:sz w:val="23"/>
                <w:szCs w:val="23"/>
                <w:color w:val="auto"/>
              </w:rPr>
            </w:pPr>
          </w:p>
        </w:tc>
        <w:tc>
          <w:tcPr>
            <w:tcW w:w="1140" w:type="dxa"/>
            <w:vAlign w:val="bottom"/>
            <w:shd w:val="clear" w:color="auto" w:fill="9ADAF6"/>
          </w:tcPr>
          <w:p>
            <w:pPr>
              <w:spacing w:after="0"/>
              <w:rPr>
                <w:sz w:val="23"/>
                <w:szCs w:val="23"/>
                <w:color w:val="auto"/>
              </w:rPr>
            </w:pPr>
          </w:p>
        </w:tc>
        <w:tc>
          <w:tcPr>
            <w:tcW w:w="20" w:type="dxa"/>
            <w:vAlign w:val="bottom"/>
          </w:tcPr>
          <w:p>
            <w:pPr>
              <w:spacing w:after="0"/>
              <w:rPr>
                <w:sz w:val="23"/>
                <w:szCs w:val="23"/>
                <w:color w:val="auto"/>
              </w:rPr>
            </w:pPr>
          </w:p>
        </w:tc>
        <w:tc>
          <w:tcPr>
            <w:tcW w:w="114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Claimed</w:t>
            </w:r>
          </w:p>
        </w:tc>
        <w:tc>
          <w:tcPr>
            <w:tcW w:w="20" w:type="dxa"/>
            <w:vAlign w:val="bottom"/>
          </w:tcPr>
          <w:p>
            <w:pPr>
              <w:spacing w:after="0"/>
              <w:rPr>
                <w:sz w:val="23"/>
                <w:szCs w:val="23"/>
                <w:color w:val="auto"/>
              </w:rPr>
            </w:pPr>
          </w:p>
        </w:tc>
        <w:tc>
          <w:tcPr>
            <w:tcW w:w="740" w:type="dxa"/>
            <w:vAlign w:val="bottom"/>
            <w:shd w:val="clear" w:color="auto" w:fill="9ADAF6"/>
          </w:tcPr>
          <w:p>
            <w:pPr>
              <w:spacing w:after="0"/>
              <w:rPr>
                <w:sz w:val="23"/>
                <w:szCs w:val="23"/>
                <w:color w:val="auto"/>
              </w:rPr>
            </w:pPr>
          </w:p>
        </w:tc>
        <w:tc>
          <w:tcPr>
            <w:tcW w:w="80" w:type="dxa"/>
            <w:vAlign w:val="bottom"/>
            <w:tcBorders>
              <w:right w:val="single" w:sz="8" w:color="auto"/>
            </w:tcBorders>
          </w:tcPr>
          <w:p>
            <w:pPr>
              <w:spacing w:after="0"/>
              <w:rPr>
                <w:sz w:val="23"/>
                <w:szCs w:val="23"/>
                <w:color w:val="auto"/>
              </w:rPr>
            </w:pPr>
          </w:p>
        </w:tc>
      </w:tr>
      <w:tr>
        <w:trPr>
          <w:trHeight w:val="303"/>
        </w:trPr>
        <w:tc>
          <w:tcPr>
            <w:tcW w:w="40" w:type="dxa"/>
            <w:vAlign w:val="bottom"/>
            <w:tcBorders>
              <w:left w:val="single" w:sz="8" w:color="auto"/>
            </w:tcBorders>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0" w:type="dxa"/>
            <w:vAlign w:val="bottom"/>
            <w:gridSpan w:val="3"/>
          </w:tcPr>
          <w:p>
            <w:pPr>
              <w:ind w:left="100"/>
              <w:spacing w:after="0"/>
              <w:rPr>
                <w:sz w:val="20"/>
                <w:szCs w:val="20"/>
                <w:color w:val="auto"/>
              </w:rPr>
            </w:pPr>
            <w:r>
              <w:rPr>
                <w:rFonts w:ascii="Arial" w:cs="Arial" w:eastAsia="Arial" w:hAnsi="Arial"/>
                <w:sz w:val="21"/>
                <w:szCs w:val="21"/>
                <w:b w:val="1"/>
                <w:bCs w:val="1"/>
                <w:color w:val="auto"/>
              </w:rPr>
              <w:t>Rule 457(p)</w:t>
            </w:r>
          </w:p>
        </w:tc>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Borders>
              <w:right w:val="single" w:sz="8" w:color="auto"/>
            </w:tcBorders>
          </w:tcPr>
          <w:p>
            <w:pPr>
              <w:spacing w:after="0"/>
              <w:rPr>
                <w:sz w:val="24"/>
                <w:szCs w:val="24"/>
                <w:color w:val="auto"/>
              </w:rPr>
            </w:pPr>
          </w:p>
        </w:tc>
      </w:tr>
      <w:tr>
        <w:trPr>
          <w:trHeight w:val="227"/>
        </w:trPr>
        <w:tc>
          <w:tcPr>
            <w:tcW w:w="40" w:type="dxa"/>
            <w:vAlign w:val="bottom"/>
            <w:tcBorders>
              <w:left w:val="single" w:sz="8" w:color="auto"/>
            </w:tcBorders>
          </w:tcPr>
          <w:p>
            <w:pPr>
              <w:spacing w:after="0"/>
              <w:rPr>
                <w:sz w:val="19"/>
                <w:szCs w:val="19"/>
                <w:color w:val="auto"/>
              </w:rPr>
            </w:pPr>
          </w:p>
        </w:tc>
        <w:tc>
          <w:tcPr>
            <w:tcW w:w="800" w:type="dxa"/>
            <w:vAlign w:val="bottom"/>
            <w:shd w:val="clear" w:color="auto" w:fill="E7E7E2"/>
          </w:tcPr>
          <w:p>
            <w:pPr>
              <w:ind w:left="20"/>
              <w:spacing w:after="0" w:line="227" w:lineRule="exact"/>
              <w:rPr>
                <w:sz w:val="20"/>
                <w:szCs w:val="20"/>
                <w:color w:val="auto"/>
              </w:rPr>
            </w:pPr>
            <w:r>
              <w:rPr>
                <w:rFonts w:ascii="Arial" w:cs="Arial" w:eastAsia="Arial" w:hAnsi="Arial"/>
                <w:sz w:val="21"/>
                <w:szCs w:val="21"/>
                <w:color w:val="auto"/>
              </w:rPr>
              <w:t>Fee</w:t>
            </w:r>
          </w:p>
        </w:tc>
        <w:tc>
          <w:tcPr>
            <w:tcW w:w="20" w:type="dxa"/>
            <w:vAlign w:val="bottom"/>
          </w:tcPr>
          <w:p>
            <w:pPr>
              <w:spacing w:after="0"/>
              <w:rPr>
                <w:sz w:val="19"/>
                <w:szCs w:val="19"/>
                <w:color w:val="auto"/>
              </w:rPr>
            </w:pPr>
          </w:p>
        </w:tc>
        <w:tc>
          <w:tcPr>
            <w:tcW w:w="3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8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11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80" w:type="dxa"/>
            <w:vAlign w:val="bottom"/>
            <w:tcBorders>
              <w:right w:val="single" w:sz="8" w:color="auto"/>
            </w:tcBorders>
          </w:tcPr>
          <w:p>
            <w:pPr>
              <w:spacing w:after="0"/>
              <w:rPr>
                <w:sz w:val="19"/>
                <w:szCs w:val="19"/>
                <w:color w:val="auto"/>
              </w:rPr>
            </w:pPr>
          </w:p>
        </w:tc>
      </w:tr>
      <w:tr>
        <w:trPr>
          <w:trHeight w:val="233"/>
        </w:trPr>
        <w:tc>
          <w:tcPr>
            <w:tcW w:w="40" w:type="dxa"/>
            <w:vAlign w:val="bottom"/>
            <w:tcBorders>
              <w:left w:val="single" w:sz="8" w:color="auto"/>
            </w:tcBorders>
          </w:tcPr>
          <w:p>
            <w:pPr>
              <w:spacing w:after="0"/>
              <w:rPr>
                <w:sz w:val="20"/>
                <w:szCs w:val="20"/>
                <w:color w:val="auto"/>
              </w:rPr>
            </w:pPr>
          </w:p>
        </w:tc>
        <w:tc>
          <w:tcPr>
            <w:tcW w:w="800" w:type="dxa"/>
            <w:vAlign w:val="bottom"/>
            <w:shd w:val="clear" w:color="auto" w:fill="E7E7E2"/>
          </w:tcPr>
          <w:p>
            <w:pPr>
              <w:ind w:left="20"/>
              <w:spacing w:after="0" w:line="233" w:lineRule="exact"/>
              <w:rPr>
                <w:sz w:val="20"/>
                <w:szCs w:val="20"/>
                <w:color w:val="auto"/>
              </w:rPr>
            </w:pPr>
            <w:r>
              <w:rPr>
                <w:rFonts w:ascii="Arial" w:cs="Arial" w:eastAsia="Arial" w:hAnsi="Arial"/>
                <w:sz w:val="21"/>
                <w:szCs w:val="21"/>
                <w:color w:val="auto"/>
              </w:rPr>
              <w:t>Offset</w:t>
            </w:r>
          </w:p>
        </w:tc>
        <w:tc>
          <w:tcPr>
            <w:tcW w:w="20" w:type="dxa"/>
            <w:vAlign w:val="bottom"/>
          </w:tcPr>
          <w:p>
            <w:pPr>
              <w:spacing w:after="0"/>
              <w:rPr>
                <w:sz w:val="20"/>
                <w:szCs w:val="20"/>
                <w:color w:val="auto"/>
              </w:rPr>
            </w:pPr>
          </w:p>
        </w:tc>
        <w:tc>
          <w:tcPr>
            <w:tcW w:w="380" w:type="dxa"/>
            <w:vAlign w:val="bottom"/>
            <w:shd w:val="clear" w:color="auto" w:fill="E7E7E2"/>
          </w:tcPr>
          <w:p>
            <w:pPr>
              <w:ind w:left="20"/>
              <w:spacing w:after="0" w:line="233" w:lineRule="exact"/>
              <w:rPr>
                <w:sz w:val="20"/>
                <w:szCs w:val="20"/>
                <w:color w:val="auto"/>
              </w:rPr>
            </w:pPr>
            <w:r>
              <w:rPr>
                <w:rFonts w:ascii="Arial" w:cs="Arial" w:eastAsia="Arial" w:hAnsi="Arial"/>
                <w:sz w:val="21"/>
                <w:szCs w:val="21"/>
                <w:color w:val="auto"/>
                <w:w w:val="96"/>
              </w:rPr>
              <w:t>N/A</w:t>
            </w:r>
          </w:p>
        </w:tc>
        <w:tc>
          <w:tcPr>
            <w:tcW w:w="20" w:type="dxa"/>
            <w:vAlign w:val="bottom"/>
          </w:tcPr>
          <w:p>
            <w:pPr>
              <w:spacing w:after="0"/>
              <w:rPr>
                <w:sz w:val="20"/>
                <w:szCs w:val="20"/>
                <w:color w:val="auto"/>
              </w:rPr>
            </w:pPr>
          </w:p>
        </w:tc>
        <w:tc>
          <w:tcPr>
            <w:tcW w:w="1060" w:type="dxa"/>
            <w:vAlign w:val="bottom"/>
            <w:shd w:val="clear" w:color="auto" w:fill="E7E7E2"/>
          </w:tcPr>
          <w:p>
            <w:pPr>
              <w:ind w:left="20"/>
              <w:spacing w:after="0" w:line="233" w:lineRule="exact"/>
              <w:rPr>
                <w:sz w:val="20"/>
                <w:szCs w:val="20"/>
                <w:color w:val="auto"/>
              </w:rPr>
            </w:pPr>
            <w:r>
              <w:rPr>
                <w:rFonts w:ascii="Arial" w:cs="Arial" w:eastAsia="Arial" w:hAnsi="Arial"/>
                <w:sz w:val="21"/>
                <w:szCs w:val="21"/>
                <w:color w:val="auto"/>
              </w:rPr>
              <w:t>N/A</w:t>
            </w:r>
          </w:p>
        </w:tc>
        <w:tc>
          <w:tcPr>
            <w:tcW w:w="20" w:type="dxa"/>
            <w:vAlign w:val="bottom"/>
          </w:tcPr>
          <w:p>
            <w:pPr>
              <w:spacing w:after="0"/>
              <w:rPr>
                <w:sz w:val="20"/>
                <w:szCs w:val="20"/>
                <w:color w:val="auto"/>
              </w:rPr>
            </w:pPr>
          </w:p>
        </w:tc>
        <w:tc>
          <w:tcPr>
            <w:tcW w:w="600" w:type="dxa"/>
            <w:vAlign w:val="bottom"/>
            <w:shd w:val="clear" w:color="auto" w:fill="E7E7E2"/>
          </w:tcPr>
          <w:p>
            <w:pPr>
              <w:jc w:val="center"/>
              <w:spacing w:after="0" w:line="233" w:lineRule="exact"/>
              <w:rPr>
                <w:sz w:val="20"/>
                <w:szCs w:val="20"/>
                <w:color w:val="auto"/>
              </w:rPr>
            </w:pPr>
            <w:r>
              <w:rPr>
                <w:rFonts w:ascii="Arial" w:cs="Arial" w:eastAsia="Arial" w:hAnsi="Arial"/>
                <w:sz w:val="21"/>
                <w:szCs w:val="21"/>
                <w:color w:val="auto"/>
              </w:rPr>
              <w:t>N/A</w:t>
            </w:r>
          </w:p>
        </w:tc>
        <w:tc>
          <w:tcPr>
            <w:tcW w:w="20" w:type="dxa"/>
            <w:vAlign w:val="bottom"/>
          </w:tcPr>
          <w:p>
            <w:pPr>
              <w:spacing w:after="0"/>
              <w:rPr>
                <w:sz w:val="20"/>
                <w:szCs w:val="20"/>
                <w:color w:val="auto"/>
              </w:rPr>
            </w:pPr>
          </w:p>
        </w:tc>
        <w:tc>
          <w:tcPr>
            <w:tcW w:w="820" w:type="dxa"/>
            <w:vAlign w:val="bottom"/>
            <w:shd w:val="clear" w:color="auto" w:fill="E7E7E2"/>
          </w:tcPr>
          <w:p>
            <w:pPr>
              <w:jc w:val="center"/>
              <w:spacing w:after="0" w:line="233" w:lineRule="exact"/>
              <w:rPr>
                <w:sz w:val="20"/>
                <w:szCs w:val="20"/>
                <w:color w:val="auto"/>
              </w:rPr>
            </w:pPr>
            <w:r>
              <w:rPr>
                <w:rFonts w:ascii="Arial" w:cs="Arial" w:eastAsia="Arial" w:hAnsi="Arial"/>
                <w:sz w:val="21"/>
                <w:szCs w:val="21"/>
                <w:color w:val="auto"/>
                <w:w w:val="96"/>
              </w:rPr>
              <w:t>N/A</w:t>
            </w:r>
          </w:p>
        </w:tc>
        <w:tc>
          <w:tcPr>
            <w:tcW w:w="20" w:type="dxa"/>
            <w:vAlign w:val="bottom"/>
          </w:tcPr>
          <w:p>
            <w:pPr>
              <w:spacing w:after="0"/>
              <w:rPr>
                <w:sz w:val="20"/>
                <w:szCs w:val="20"/>
                <w:color w:val="auto"/>
              </w:rPr>
            </w:pPr>
          </w:p>
        </w:tc>
        <w:tc>
          <w:tcPr>
            <w:tcW w:w="580" w:type="dxa"/>
            <w:vAlign w:val="bottom"/>
            <w:shd w:val="clear" w:color="auto" w:fill="E7E7E2"/>
          </w:tcPr>
          <w:p>
            <w:pPr>
              <w:jc w:val="center"/>
              <w:spacing w:after="0" w:line="233" w:lineRule="exact"/>
              <w:rPr>
                <w:sz w:val="20"/>
                <w:szCs w:val="20"/>
                <w:color w:val="auto"/>
              </w:rPr>
            </w:pPr>
            <w:r>
              <w:rPr>
                <w:rFonts w:ascii="Arial" w:cs="Arial" w:eastAsia="Arial" w:hAnsi="Arial"/>
                <w:sz w:val="21"/>
                <w:szCs w:val="21"/>
                <w:color w:val="auto"/>
                <w:w w:val="96"/>
              </w:rPr>
              <w:t>N/A</w:t>
            </w:r>
          </w:p>
        </w:tc>
        <w:tc>
          <w:tcPr>
            <w:tcW w:w="20" w:type="dxa"/>
            <w:vAlign w:val="bottom"/>
          </w:tcPr>
          <w:p>
            <w:pPr>
              <w:spacing w:after="0"/>
              <w:rPr>
                <w:sz w:val="20"/>
                <w:szCs w:val="20"/>
                <w:color w:val="auto"/>
              </w:rPr>
            </w:pPr>
          </w:p>
        </w:tc>
        <w:tc>
          <w:tcPr>
            <w:tcW w:w="580" w:type="dxa"/>
            <w:vAlign w:val="bottom"/>
            <w:shd w:val="clear" w:color="auto" w:fill="E7E7E2"/>
          </w:tcPr>
          <w:p>
            <w:pPr>
              <w:jc w:val="center"/>
              <w:spacing w:after="0" w:line="233" w:lineRule="exact"/>
              <w:rPr>
                <w:sz w:val="20"/>
                <w:szCs w:val="20"/>
                <w:color w:val="auto"/>
              </w:rPr>
            </w:pPr>
            <w:r>
              <w:rPr>
                <w:rFonts w:ascii="Arial" w:cs="Arial" w:eastAsia="Arial" w:hAnsi="Arial"/>
                <w:sz w:val="21"/>
                <w:szCs w:val="21"/>
                <w:color w:val="auto"/>
              </w:rPr>
              <w:t>N/A</w:t>
            </w:r>
          </w:p>
        </w:tc>
        <w:tc>
          <w:tcPr>
            <w:tcW w:w="40" w:type="dxa"/>
            <w:vAlign w:val="bottom"/>
          </w:tcPr>
          <w:p>
            <w:pPr>
              <w:spacing w:after="0"/>
              <w:rPr>
                <w:sz w:val="20"/>
                <w:szCs w:val="20"/>
                <w:color w:val="auto"/>
              </w:rPr>
            </w:pPr>
          </w:p>
        </w:tc>
        <w:tc>
          <w:tcPr>
            <w:tcW w:w="840" w:type="dxa"/>
            <w:vAlign w:val="bottom"/>
            <w:shd w:val="clear" w:color="auto" w:fill="E7E7E2"/>
          </w:tcPr>
          <w:p>
            <w:pPr>
              <w:jc w:val="right"/>
              <w:spacing w:after="0" w:line="233" w:lineRule="exact"/>
              <w:rPr>
                <w:sz w:val="20"/>
                <w:szCs w:val="20"/>
                <w:color w:val="auto"/>
              </w:rPr>
            </w:pPr>
            <w:r>
              <w:rPr>
                <w:rFonts w:ascii="Arial" w:cs="Arial" w:eastAsia="Arial" w:hAnsi="Arial"/>
                <w:sz w:val="21"/>
                <w:szCs w:val="21"/>
                <w:color w:val="auto"/>
              </w:rPr>
              <w:t>N/A</w:t>
            </w:r>
          </w:p>
        </w:tc>
        <w:tc>
          <w:tcPr>
            <w:tcW w:w="20" w:type="dxa"/>
            <w:vAlign w:val="bottom"/>
          </w:tcPr>
          <w:p>
            <w:pPr>
              <w:spacing w:after="0"/>
              <w:rPr>
                <w:sz w:val="20"/>
                <w:szCs w:val="20"/>
                <w:color w:val="auto"/>
              </w:rPr>
            </w:pPr>
          </w:p>
        </w:tc>
        <w:tc>
          <w:tcPr>
            <w:tcW w:w="1140" w:type="dxa"/>
            <w:vAlign w:val="bottom"/>
            <w:shd w:val="clear" w:color="auto" w:fill="E7E7E2"/>
          </w:tcPr>
          <w:p>
            <w:pPr>
              <w:ind w:left="20"/>
              <w:spacing w:after="0" w:line="233" w:lineRule="exact"/>
              <w:rPr>
                <w:sz w:val="20"/>
                <w:szCs w:val="20"/>
                <w:color w:val="auto"/>
              </w:rPr>
            </w:pPr>
            <w:r>
              <w:rPr>
                <w:rFonts w:ascii="Arial" w:cs="Arial" w:eastAsia="Arial" w:hAnsi="Arial"/>
                <w:sz w:val="21"/>
                <w:szCs w:val="21"/>
                <w:color w:val="auto"/>
              </w:rPr>
              <w:t>N/A</w:t>
            </w:r>
          </w:p>
        </w:tc>
        <w:tc>
          <w:tcPr>
            <w:tcW w:w="20" w:type="dxa"/>
            <w:vAlign w:val="bottom"/>
          </w:tcPr>
          <w:p>
            <w:pPr>
              <w:spacing w:after="0"/>
              <w:rPr>
                <w:sz w:val="20"/>
                <w:szCs w:val="20"/>
                <w:color w:val="auto"/>
              </w:rPr>
            </w:pPr>
          </w:p>
        </w:tc>
        <w:tc>
          <w:tcPr>
            <w:tcW w:w="1140" w:type="dxa"/>
            <w:vAlign w:val="bottom"/>
            <w:shd w:val="clear" w:color="auto" w:fill="E7E7E2"/>
          </w:tcPr>
          <w:p>
            <w:pPr>
              <w:ind w:left="20"/>
              <w:spacing w:after="0" w:line="233" w:lineRule="exact"/>
              <w:rPr>
                <w:sz w:val="20"/>
                <w:szCs w:val="20"/>
                <w:color w:val="auto"/>
              </w:rPr>
            </w:pPr>
            <w:r>
              <w:rPr>
                <w:rFonts w:ascii="Arial" w:cs="Arial" w:eastAsia="Arial" w:hAnsi="Arial"/>
                <w:sz w:val="21"/>
                <w:szCs w:val="21"/>
                <w:color w:val="auto"/>
              </w:rPr>
              <w:t>N/A</w:t>
            </w:r>
          </w:p>
        </w:tc>
        <w:tc>
          <w:tcPr>
            <w:tcW w:w="40" w:type="dxa"/>
            <w:vAlign w:val="bottom"/>
          </w:tcPr>
          <w:p>
            <w:pPr>
              <w:spacing w:after="0"/>
              <w:rPr>
                <w:sz w:val="20"/>
                <w:szCs w:val="20"/>
                <w:color w:val="auto"/>
              </w:rPr>
            </w:pPr>
          </w:p>
        </w:tc>
        <w:tc>
          <w:tcPr>
            <w:tcW w:w="1140" w:type="dxa"/>
            <w:vAlign w:val="bottom"/>
            <w:shd w:val="clear" w:color="auto" w:fill="E7E7E2"/>
          </w:tcPr>
          <w:p>
            <w:pPr>
              <w:ind w:left="780"/>
              <w:spacing w:after="0" w:line="233" w:lineRule="exact"/>
              <w:rPr>
                <w:sz w:val="20"/>
                <w:szCs w:val="20"/>
                <w:color w:val="auto"/>
              </w:rPr>
            </w:pPr>
            <w:r>
              <w:rPr>
                <w:rFonts w:ascii="Arial" w:cs="Arial" w:eastAsia="Arial" w:hAnsi="Arial"/>
                <w:sz w:val="21"/>
                <w:szCs w:val="21"/>
                <w:color w:val="auto"/>
                <w:w w:val="96"/>
              </w:rPr>
              <w:t>N/A</w:t>
            </w:r>
          </w:p>
        </w:tc>
        <w:tc>
          <w:tcPr>
            <w:tcW w:w="20" w:type="dxa"/>
            <w:vAlign w:val="bottom"/>
          </w:tcPr>
          <w:p>
            <w:pPr>
              <w:spacing w:after="0"/>
              <w:rPr>
                <w:sz w:val="20"/>
                <w:szCs w:val="20"/>
                <w:color w:val="auto"/>
              </w:rPr>
            </w:pPr>
          </w:p>
        </w:tc>
        <w:tc>
          <w:tcPr>
            <w:tcW w:w="1140" w:type="dxa"/>
            <w:vAlign w:val="bottom"/>
            <w:shd w:val="clear" w:color="auto" w:fill="E7E7E2"/>
          </w:tcPr>
          <w:p>
            <w:pPr>
              <w:ind w:left="780"/>
              <w:spacing w:after="0" w:line="233" w:lineRule="exact"/>
              <w:rPr>
                <w:sz w:val="20"/>
                <w:szCs w:val="20"/>
                <w:color w:val="auto"/>
              </w:rPr>
            </w:pPr>
            <w:r>
              <w:rPr>
                <w:rFonts w:ascii="Arial" w:cs="Arial" w:eastAsia="Arial" w:hAnsi="Arial"/>
                <w:sz w:val="21"/>
                <w:szCs w:val="21"/>
                <w:color w:val="auto"/>
                <w:w w:val="96"/>
              </w:rPr>
              <w:t>N/A</w:t>
            </w:r>
          </w:p>
        </w:tc>
        <w:tc>
          <w:tcPr>
            <w:tcW w:w="20" w:type="dxa"/>
            <w:vAlign w:val="bottom"/>
          </w:tcPr>
          <w:p>
            <w:pPr>
              <w:spacing w:after="0"/>
              <w:rPr>
                <w:sz w:val="20"/>
                <w:szCs w:val="20"/>
                <w:color w:val="auto"/>
              </w:rPr>
            </w:pPr>
          </w:p>
        </w:tc>
        <w:tc>
          <w:tcPr>
            <w:tcW w:w="740" w:type="dxa"/>
            <w:vAlign w:val="bottom"/>
            <w:shd w:val="clear" w:color="auto" w:fill="E7E7E2"/>
          </w:tcPr>
          <w:p>
            <w:pPr>
              <w:ind w:left="380"/>
              <w:spacing w:after="0" w:line="233" w:lineRule="exact"/>
              <w:rPr>
                <w:sz w:val="20"/>
                <w:szCs w:val="20"/>
                <w:color w:val="auto"/>
              </w:rPr>
            </w:pPr>
            <w:r>
              <w:rPr>
                <w:rFonts w:ascii="Arial" w:cs="Arial" w:eastAsia="Arial" w:hAnsi="Arial"/>
                <w:sz w:val="21"/>
                <w:szCs w:val="21"/>
                <w:color w:val="auto"/>
                <w:w w:val="96"/>
              </w:rPr>
              <w:t>N/A</w:t>
            </w:r>
          </w:p>
        </w:tc>
        <w:tc>
          <w:tcPr>
            <w:tcW w:w="80" w:type="dxa"/>
            <w:vAlign w:val="bottom"/>
            <w:tcBorders>
              <w:right w:val="single" w:sz="8" w:color="auto"/>
            </w:tcBorders>
          </w:tcPr>
          <w:p>
            <w:pPr>
              <w:spacing w:after="0"/>
              <w:rPr>
                <w:sz w:val="20"/>
                <w:szCs w:val="20"/>
                <w:color w:val="auto"/>
              </w:rPr>
            </w:pPr>
          </w:p>
        </w:tc>
      </w:tr>
      <w:tr>
        <w:trPr>
          <w:trHeight w:val="272"/>
        </w:trPr>
        <w:tc>
          <w:tcPr>
            <w:tcW w:w="40" w:type="dxa"/>
            <w:vAlign w:val="bottom"/>
            <w:tcBorders>
              <w:left w:val="single" w:sz="8" w:color="auto"/>
            </w:tcBorders>
          </w:tcPr>
          <w:p>
            <w:pPr>
              <w:spacing w:after="0"/>
              <w:rPr>
                <w:sz w:val="23"/>
                <w:szCs w:val="23"/>
                <w:color w:val="auto"/>
              </w:rPr>
            </w:pPr>
          </w:p>
        </w:tc>
        <w:tc>
          <w:tcPr>
            <w:tcW w:w="800" w:type="dxa"/>
            <w:vAlign w:val="bottom"/>
            <w:shd w:val="clear" w:color="auto" w:fill="E7E7E2"/>
          </w:tcPr>
          <w:p>
            <w:pPr>
              <w:ind w:left="20"/>
              <w:spacing w:after="0"/>
              <w:rPr>
                <w:sz w:val="20"/>
                <w:szCs w:val="20"/>
                <w:color w:val="auto"/>
              </w:rPr>
            </w:pPr>
            <w:r>
              <w:rPr>
                <w:rFonts w:ascii="Arial" w:cs="Arial" w:eastAsia="Arial" w:hAnsi="Arial"/>
                <w:sz w:val="21"/>
                <w:szCs w:val="21"/>
                <w:color w:val="auto"/>
              </w:rPr>
              <w:t>Claims</w:t>
            </w:r>
          </w:p>
        </w:tc>
        <w:tc>
          <w:tcPr>
            <w:tcW w:w="20" w:type="dxa"/>
            <w:vAlign w:val="bottom"/>
          </w:tcPr>
          <w:p>
            <w:pPr>
              <w:spacing w:after="0"/>
              <w:rPr>
                <w:sz w:val="23"/>
                <w:szCs w:val="23"/>
                <w:color w:val="auto"/>
              </w:rPr>
            </w:pPr>
          </w:p>
        </w:tc>
        <w:tc>
          <w:tcPr>
            <w:tcW w:w="38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106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60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82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58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580" w:type="dxa"/>
            <w:vAlign w:val="bottom"/>
            <w:shd w:val="clear" w:color="auto" w:fill="E7E7E2"/>
          </w:tcPr>
          <w:p>
            <w:pPr>
              <w:spacing w:after="0"/>
              <w:rPr>
                <w:sz w:val="23"/>
                <w:szCs w:val="23"/>
                <w:color w:val="auto"/>
              </w:rPr>
            </w:pPr>
          </w:p>
        </w:tc>
        <w:tc>
          <w:tcPr>
            <w:tcW w:w="40" w:type="dxa"/>
            <w:vAlign w:val="bottom"/>
          </w:tcPr>
          <w:p>
            <w:pPr>
              <w:spacing w:after="0"/>
              <w:rPr>
                <w:sz w:val="23"/>
                <w:szCs w:val="23"/>
                <w:color w:val="auto"/>
              </w:rPr>
            </w:pPr>
          </w:p>
        </w:tc>
        <w:tc>
          <w:tcPr>
            <w:tcW w:w="84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114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1140" w:type="dxa"/>
            <w:vAlign w:val="bottom"/>
            <w:shd w:val="clear" w:color="auto" w:fill="E7E7E2"/>
          </w:tcPr>
          <w:p>
            <w:pPr>
              <w:spacing w:after="0"/>
              <w:rPr>
                <w:sz w:val="23"/>
                <w:szCs w:val="23"/>
                <w:color w:val="auto"/>
              </w:rPr>
            </w:pPr>
          </w:p>
        </w:tc>
        <w:tc>
          <w:tcPr>
            <w:tcW w:w="40" w:type="dxa"/>
            <w:vAlign w:val="bottom"/>
          </w:tcPr>
          <w:p>
            <w:pPr>
              <w:spacing w:after="0"/>
              <w:rPr>
                <w:sz w:val="23"/>
                <w:szCs w:val="23"/>
                <w:color w:val="auto"/>
              </w:rPr>
            </w:pPr>
          </w:p>
        </w:tc>
        <w:tc>
          <w:tcPr>
            <w:tcW w:w="114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114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740" w:type="dxa"/>
            <w:vAlign w:val="bottom"/>
            <w:shd w:val="clear" w:color="auto" w:fill="E7E7E2"/>
          </w:tcPr>
          <w:p>
            <w:pPr>
              <w:spacing w:after="0"/>
              <w:rPr>
                <w:sz w:val="23"/>
                <w:szCs w:val="23"/>
                <w:color w:val="auto"/>
              </w:rPr>
            </w:pPr>
          </w:p>
        </w:tc>
        <w:tc>
          <w:tcPr>
            <w:tcW w:w="80" w:type="dxa"/>
            <w:vAlign w:val="bottom"/>
            <w:tcBorders>
              <w:right w:val="single" w:sz="8" w:color="auto"/>
            </w:tcBorders>
          </w:tcPr>
          <w:p>
            <w:pPr>
              <w:spacing w:after="0"/>
              <w:rPr>
                <w:sz w:val="23"/>
                <w:szCs w:val="23"/>
                <w:color w:val="auto"/>
              </w:rPr>
            </w:pPr>
          </w:p>
        </w:tc>
      </w:tr>
      <w:tr>
        <w:trPr>
          <w:trHeight w:val="26"/>
        </w:trPr>
        <w:tc>
          <w:tcPr>
            <w:tcW w:w="40" w:type="dxa"/>
            <w:vAlign w:val="bottom"/>
            <w:tcBorders>
              <w:left w:val="single" w:sz="8" w:color="auto"/>
            </w:tcBorders>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Borders>
              <w:right w:val="single" w:sz="8" w:color="auto"/>
            </w:tcBorders>
          </w:tcPr>
          <w:p>
            <w:pPr>
              <w:spacing w:after="0"/>
              <w:rPr>
                <w:sz w:val="2"/>
                <w:szCs w:val="2"/>
                <w:color w:val="auto"/>
              </w:rPr>
            </w:pPr>
          </w:p>
        </w:tc>
      </w:tr>
      <w:tr>
        <w:trPr>
          <w:trHeight w:val="220"/>
        </w:trPr>
        <w:tc>
          <w:tcPr>
            <w:tcW w:w="40" w:type="dxa"/>
            <w:vAlign w:val="bottom"/>
            <w:tcBorders>
              <w:left w:val="single" w:sz="8" w:color="auto"/>
            </w:tcBorders>
          </w:tcPr>
          <w:p>
            <w:pPr>
              <w:spacing w:after="0"/>
              <w:rPr>
                <w:sz w:val="19"/>
                <w:szCs w:val="19"/>
                <w:color w:val="auto"/>
              </w:rPr>
            </w:pPr>
          </w:p>
        </w:tc>
        <w:tc>
          <w:tcPr>
            <w:tcW w:w="800" w:type="dxa"/>
            <w:vAlign w:val="bottom"/>
            <w:shd w:val="clear" w:color="auto" w:fill="E7E7E2"/>
          </w:tcPr>
          <w:p>
            <w:pPr>
              <w:ind w:left="20"/>
              <w:spacing w:after="0" w:line="220" w:lineRule="exact"/>
              <w:rPr>
                <w:sz w:val="20"/>
                <w:szCs w:val="20"/>
                <w:color w:val="auto"/>
              </w:rPr>
            </w:pPr>
            <w:r>
              <w:rPr>
                <w:rFonts w:ascii="Arial" w:cs="Arial" w:eastAsia="Arial" w:hAnsi="Arial"/>
                <w:sz w:val="21"/>
                <w:szCs w:val="21"/>
                <w:color w:val="auto"/>
              </w:rPr>
              <w:t>Fee</w:t>
            </w:r>
          </w:p>
        </w:tc>
        <w:tc>
          <w:tcPr>
            <w:tcW w:w="20" w:type="dxa"/>
            <w:vAlign w:val="bottom"/>
          </w:tcPr>
          <w:p>
            <w:pPr>
              <w:spacing w:after="0"/>
              <w:rPr>
                <w:sz w:val="19"/>
                <w:szCs w:val="19"/>
                <w:color w:val="auto"/>
              </w:rPr>
            </w:pPr>
          </w:p>
        </w:tc>
        <w:tc>
          <w:tcPr>
            <w:tcW w:w="3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8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11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80" w:type="dxa"/>
            <w:vAlign w:val="bottom"/>
            <w:tcBorders>
              <w:right w:val="single" w:sz="8" w:color="auto"/>
            </w:tcBorders>
          </w:tcPr>
          <w:p>
            <w:pPr>
              <w:spacing w:after="0"/>
              <w:rPr>
                <w:sz w:val="19"/>
                <w:szCs w:val="19"/>
                <w:color w:val="auto"/>
              </w:rPr>
            </w:pPr>
          </w:p>
        </w:tc>
      </w:tr>
      <w:tr>
        <w:trPr>
          <w:trHeight w:val="233"/>
        </w:trPr>
        <w:tc>
          <w:tcPr>
            <w:tcW w:w="40" w:type="dxa"/>
            <w:vAlign w:val="bottom"/>
            <w:tcBorders>
              <w:left w:val="single" w:sz="8" w:color="auto"/>
            </w:tcBorders>
          </w:tcPr>
          <w:p>
            <w:pPr>
              <w:spacing w:after="0"/>
              <w:rPr>
                <w:sz w:val="20"/>
                <w:szCs w:val="20"/>
                <w:color w:val="auto"/>
              </w:rPr>
            </w:pPr>
          </w:p>
        </w:tc>
        <w:tc>
          <w:tcPr>
            <w:tcW w:w="800" w:type="dxa"/>
            <w:vAlign w:val="bottom"/>
            <w:shd w:val="clear" w:color="auto" w:fill="E7E7E2"/>
          </w:tcPr>
          <w:p>
            <w:pPr>
              <w:ind w:left="20"/>
              <w:spacing w:after="0" w:line="233" w:lineRule="exact"/>
              <w:rPr>
                <w:sz w:val="20"/>
                <w:szCs w:val="20"/>
                <w:color w:val="auto"/>
              </w:rPr>
            </w:pPr>
            <w:r>
              <w:rPr>
                <w:rFonts w:ascii="Arial" w:cs="Arial" w:eastAsia="Arial" w:hAnsi="Arial"/>
                <w:sz w:val="21"/>
                <w:szCs w:val="21"/>
                <w:color w:val="auto"/>
              </w:rPr>
              <w:t>Offset</w:t>
            </w:r>
          </w:p>
        </w:tc>
        <w:tc>
          <w:tcPr>
            <w:tcW w:w="20" w:type="dxa"/>
            <w:vAlign w:val="bottom"/>
          </w:tcPr>
          <w:p>
            <w:pPr>
              <w:spacing w:after="0"/>
              <w:rPr>
                <w:sz w:val="20"/>
                <w:szCs w:val="20"/>
                <w:color w:val="auto"/>
              </w:rPr>
            </w:pPr>
          </w:p>
        </w:tc>
        <w:tc>
          <w:tcPr>
            <w:tcW w:w="380" w:type="dxa"/>
            <w:vAlign w:val="bottom"/>
            <w:shd w:val="clear" w:color="auto" w:fill="E7E7E2"/>
          </w:tcPr>
          <w:p>
            <w:pPr>
              <w:ind w:left="20"/>
              <w:spacing w:after="0" w:line="233" w:lineRule="exact"/>
              <w:rPr>
                <w:sz w:val="20"/>
                <w:szCs w:val="20"/>
                <w:color w:val="auto"/>
              </w:rPr>
            </w:pPr>
            <w:r>
              <w:rPr>
                <w:rFonts w:ascii="Arial" w:cs="Arial" w:eastAsia="Arial" w:hAnsi="Arial"/>
                <w:sz w:val="21"/>
                <w:szCs w:val="21"/>
                <w:color w:val="auto"/>
                <w:w w:val="96"/>
              </w:rPr>
              <w:t>N/A</w:t>
            </w:r>
          </w:p>
        </w:tc>
        <w:tc>
          <w:tcPr>
            <w:tcW w:w="20" w:type="dxa"/>
            <w:vAlign w:val="bottom"/>
          </w:tcPr>
          <w:p>
            <w:pPr>
              <w:spacing w:after="0"/>
              <w:rPr>
                <w:sz w:val="20"/>
                <w:szCs w:val="20"/>
                <w:color w:val="auto"/>
              </w:rPr>
            </w:pPr>
          </w:p>
        </w:tc>
        <w:tc>
          <w:tcPr>
            <w:tcW w:w="1060" w:type="dxa"/>
            <w:vAlign w:val="bottom"/>
            <w:shd w:val="clear" w:color="auto" w:fill="E7E7E2"/>
          </w:tcPr>
          <w:p>
            <w:pPr>
              <w:ind w:left="20"/>
              <w:spacing w:after="0" w:line="233" w:lineRule="exact"/>
              <w:rPr>
                <w:sz w:val="20"/>
                <w:szCs w:val="20"/>
                <w:color w:val="auto"/>
              </w:rPr>
            </w:pPr>
            <w:r>
              <w:rPr>
                <w:rFonts w:ascii="Arial" w:cs="Arial" w:eastAsia="Arial" w:hAnsi="Arial"/>
                <w:sz w:val="21"/>
                <w:szCs w:val="21"/>
                <w:color w:val="auto"/>
              </w:rPr>
              <w:t>N/A</w:t>
            </w:r>
          </w:p>
        </w:tc>
        <w:tc>
          <w:tcPr>
            <w:tcW w:w="20" w:type="dxa"/>
            <w:vAlign w:val="bottom"/>
          </w:tcPr>
          <w:p>
            <w:pPr>
              <w:spacing w:after="0"/>
              <w:rPr>
                <w:sz w:val="20"/>
                <w:szCs w:val="20"/>
                <w:color w:val="auto"/>
              </w:rPr>
            </w:pPr>
          </w:p>
        </w:tc>
        <w:tc>
          <w:tcPr>
            <w:tcW w:w="600" w:type="dxa"/>
            <w:vAlign w:val="bottom"/>
            <w:shd w:val="clear" w:color="auto" w:fill="E7E7E2"/>
          </w:tcPr>
          <w:p>
            <w:pPr>
              <w:jc w:val="center"/>
              <w:spacing w:after="0" w:line="233" w:lineRule="exact"/>
              <w:rPr>
                <w:sz w:val="20"/>
                <w:szCs w:val="20"/>
                <w:color w:val="auto"/>
              </w:rPr>
            </w:pPr>
            <w:r>
              <w:rPr>
                <w:rFonts w:ascii="Arial" w:cs="Arial" w:eastAsia="Arial" w:hAnsi="Arial"/>
                <w:sz w:val="21"/>
                <w:szCs w:val="21"/>
                <w:color w:val="auto"/>
              </w:rPr>
              <w:t>N/A</w:t>
            </w:r>
          </w:p>
        </w:tc>
        <w:tc>
          <w:tcPr>
            <w:tcW w:w="20" w:type="dxa"/>
            <w:vAlign w:val="bottom"/>
          </w:tcPr>
          <w:p>
            <w:pPr>
              <w:spacing w:after="0"/>
              <w:rPr>
                <w:sz w:val="20"/>
                <w:szCs w:val="20"/>
                <w:color w:val="auto"/>
              </w:rPr>
            </w:pPr>
          </w:p>
        </w:tc>
        <w:tc>
          <w:tcPr>
            <w:tcW w:w="820" w:type="dxa"/>
            <w:vAlign w:val="bottom"/>
            <w:shd w:val="clear" w:color="auto" w:fill="E7E7E2"/>
          </w:tcPr>
          <w:p>
            <w:pPr>
              <w:jc w:val="center"/>
              <w:spacing w:after="0" w:line="233" w:lineRule="exact"/>
              <w:rPr>
                <w:sz w:val="20"/>
                <w:szCs w:val="20"/>
                <w:color w:val="auto"/>
              </w:rPr>
            </w:pPr>
            <w:r>
              <w:rPr>
                <w:rFonts w:ascii="Arial" w:cs="Arial" w:eastAsia="Arial" w:hAnsi="Arial"/>
                <w:sz w:val="21"/>
                <w:szCs w:val="21"/>
                <w:color w:val="auto"/>
                <w:w w:val="96"/>
              </w:rPr>
              <w:t>N/A</w:t>
            </w:r>
          </w:p>
        </w:tc>
        <w:tc>
          <w:tcPr>
            <w:tcW w:w="20" w:type="dxa"/>
            <w:vAlign w:val="bottom"/>
          </w:tcPr>
          <w:p>
            <w:pPr>
              <w:spacing w:after="0"/>
              <w:rPr>
                <w:sz w:val="20"/>
                <w:szCs w:val="20"/>
                <w:color w:val="auto"/>
              </w:rPr>
            </w:pPr>
          </w:p>
        </w:tc>
        <w:tc>
          <w:tcPr>
            <w:tcW w:w="580" w:type="dxa"/>
            <w:vAlign w:val="bottom"/>
            <w:shd w:val="clear" w:color="auto" w:fill="E7E7E2"/>
          </w:tcPr>
          <w:p>
            <w:pPr>
              <w:jc w:val="center"/>
              <w:spacing w:after="0" w:line="233" w:lineRule="exact"/>
              <w:rPr>
                <w:sz w:val="20"/>
                <w:szCs w:val="20"/>
                <w:color w:val="auto"/>
              </w:rPr>
            </w:pPr>
            <w:r>
              <w:rPr>
                <w:rFonts w:ascii="Arial" w:cs="Arial" w:eastAsia="Arial" w:hAnsi="Arial"/>
                <w:sz w:val="21"/>
                <w:szCs w:val="21"/>
                <w:color w:val="auto"/>
                <w:w w:val="96"/>
              </w:rPr>
              <w:t>N/A</w:t>
            </w:r>
          </w:p>
        </w:tc>
        <w:tc>
          <w:tcPr>
            <w:tcW w:w="20" w:type="dxa"/>
            <w:vAlign w:val="bottom"/>
          </w:tcPr>
          <w:p>
            <w:pPr>
              <w:spacing w:after="0"/>
              <w:rPr>
                <w:sz w:val="20"/>
                <w:szCs w:val="20"/>
                <w:color w:val="auto"/>
              </w:rPr>
            </w:pPr>
          </w:p>
        </w:tc>
        <w:tc>
          <w:tcPr>
            <w:tcW w:w="580" w:type="dxa"/>
            <w:vAlign w:val="bottom"/>
            <w:shd w:val="clear" w:color="auto" w:fill="E7E7E2"/>
          </w:tcPr>
          <w:p>
            <w:pPr>
              <w:jc w:val="center"/>
              <w:spacing w:after="0" w:line="233" w:lineRule="exact"/>
              <w:rPr>
                <w:sz w:val="20"/>
                <w:szCs w:val="20"/>
                <w:color w:val="auto"/>
              </w:rPr>
            </w:pPr>
            <w:r>
              <w:rPr>
                <w:rFonts w:ascii="Arial" w:cs="Arial" w:eastAsia="Arial" w:hAnsi="Arial"/>
                <w:sz w:val="21"/>
                <w:szCs w:val="21"/>
                <w:color w:val="auto"/>
              </w:rPr>
              <w:t>N/A</w:t>
            </w:r>
          </w:p>
        </w:tc>
        <w:tc>
          <w:tcPr>
            <w:tcW w:w="40" w:type="dxa"/>
            <w:vAlign w:val="bottom"/>
          </w:tcPr>
          <w:p>
            <w:pPr>
              <w:spacing w:after="0"/>
              <w:rPr>
                <w:sz w:val="20"/>
                <w:szCs w:val="20"/>
                <w:color w:val="auto"/>
              </w:rPr>
            </w:pPr>
          </w:p>
        </w:tc>
        <w:tc>
          <w:tcPr>
            <w:tcW w:w="840" w:type="dxa"/>
            <w:vAlign w:val="bottom"/>
            <w:shd w:val="clear" w:color="auto" w:fill="E7E7E2"/>
          </w:tcPr>
          <w:p>
            <w:pPr>
              <w:jc w:val="right"/>
              <w:spacing w:after="0" w:line="233" w:lineRule="exact"/>
              <w:rPr>
                <w:sz w:val="20"/>
                <w:szCs w:val="20"/>
                <w:color w:val="auto"/>
              </w:rPr>
            </w:pPr>
            <w:r>
              <w:rPr>
                <w:rFonts w:ascii="Arial" w:cs="Arial" w:eastAsia="Arial" w:hAnsi="Arial"/>
                <w:sz w:val="21"/>
                <w:szCs w:val="21"/>
                <w:color w:val="auto"/>
              </w:rPr>
              <w:t>N/A</w:t>
            </w:r>
          </w:p>
        </w:tc>
        <w:tc>
          <w:tcPr>
            <w:tcW w:w="20" w:type="dxa"/>
            <w:vAlign w:val="bottom"/>
          </w:tcPr>
          <w:p>
            <w:pPr>
              <w:spacing w:after="0"/>
              <w:rPr>
                <w:sz w:val="20"/>
                <w:szCs w:val="20"/>
                <w:color w:val="auto"/>
              </w:rPr>
            </w:pPr>
          </w:p>
        </w:tc>
        <w:tc>
          <w:tcPr>
            <w:tcW w:w="1140" w:type="dxa"/>
            <w:vAlign w:val="bottom"/>
            <w:shd w:val="clear" w:color="auto" w:fill="E7E7E2"/>
          </w:tcPr>
          <w:p>
            <w:pPr>
              <w:ind w:left="20"/>
              <w:spacing w:after="0" w:line="233" w:lineRule="exact"/>
              <w:rPr>
                <w:sz w:val="20"/>
                <w:szCs w:val="20"/>
                <w:color w:val="auto"/>
              </w:rPr>
            </w:pPr>
            <w:r>
              <w:rPr>
                <w:rFonts w:ascii="Arial" w:cs="Arial" w:eastAsia="Arial" w:hAnsi="Arial"/>
                <w:sz w:val="21"/>
                <w:szCs w:val="21"/>
                <w:color w:val="auto"/>
              </w:rPr>
              <w:t>N/A</w:t>
            </w:r>
          </w:p>
        </w:tc>
        <w:tc>
          <w:tcPr>
            <w:tcW w:w="20" w:type="dxa"/>
            <w:vAlign w:val="bottom"/>
          </w:tcPr>
          <w:p>
            <w:pPr>
              <w:spacing w:after="0"/>
              <w:rPr>
                <w:sz w:val="20"/>
                <w:szCs w:val="20"/>
                <w:color w:val="auto"/>
              </w:rPr>
            </w:pPr>
          </w:p>
        </w:tc>
        <w:tc>
          <w:tcPr>
            <w:tcW w:w="1140" w:type="dxa"/>
            <w:vAlign w:val="bottom"/>
            <w:shd w:val="clear" w:color="auto" w:fill="E7E7E2"/>
          </w:tcPr>
          <w:p>
            <w:pPr>
              <w:ind w:left="20"/>
              <w:spacing w:after="0" w:line="233" w:lineRule="exact"/>
              <w:rPr>
                <w:sz w:val="20"/>
                <w:szCs w:val="20"/>
                <w:color w:val="auto"/>
              </w:rPr>
            </w:pPr>
            <w:r>
              <w:rPr>
                <w:rFonts w:ascii="Arial" w:cs="Arial" w:eastAsia="Arial" w:hAnsi="Arial"/>
                <w:sz w:val="21"/>
                <w:szCs w:val="21"/>
                <w:color w:val="auto"/>
              </w:rPr>
              <w:t>N/A</w:t>
            </w:r>
          </w:p>
        </w:tc>
        <w:tc>
          <w:tcPr>
            <w:tcW w:w="40" w:type="dxa"/>
            <w:vAlign w:val="bottom"/>
          </w:tcPr>
          <w:p>
            <w:pPr>
              <w:spacing w:after="0"/>
              <w:rPr>
                <w:sz w:val="20"/>
                <w:szCs w:val="20"/>
                <w:color w:val="auto"/>
              </w:rPr>
            </w:pPr>
          </w:p>
        </w:tc>
        <w:tc>
          <w:tcPr>
            <w:tcW w:w="1140" w:type="dxa"/>
            <w:vAlign w:val="bottom"/>
            <w:shd w:val="clear" w:color="auto" w:fill="E7E7E2"/>
          </w:tcPr>
          <w:p>
            <w:pPr>
              <w:ind w:left="780"/>
              <w:spacing w:after="0" w:line="233" w:lineRule="exact"/>
              <w:rPr>
                <w:sz w:val="20"/>
                <w:szCs w:val="20"/>
                <w:color w:val="auto"/>
              </w:rPr>
            </w:pPr>
            <w:r>
              <w:rPr>
                <w:rFonts w:ascii="Arial" w:cs="Arial" w:eastAsia="Arial" w:hAnsi="Arial"/>
                <w:sz w:val="21"/>
                <w:szCs w:val="21"/>
                <w:color w:val="auto"/>
                <w:w w:val="96"/>
              </w:rPr>
              <w:t>N/A</w:t>
            </w:r>
          </w:p>
        </w:tc>
        <w:tc>
          <w:tcPr>
            <w:tcW w:w="20" w:type="dxa"/>
            <w:vAlign w:val="bottom"/>
          </w:tcPr>
          <w:p>
            <w:pPr>
              <w:spacing w:after="0"/>
              <w:rPr>
                <w:sz w:val="20"/>
                <w:szCs w:val="20"/>
                <w:color w:val="auto"/>
              </w:rPr>
            </w:pPr>
          </w:p>
        </w:tc>
        <w:tc>
          <w:tcPr>
            <w:tcW w:w="1140" w:type="dxa"/>
            <w:vAlign w:val="bottom"/>
            <w:shd w:val="clear" w:color="auto" w:fill="E7E7E2"/>
          </w:tcPr>
          <w:p>
            <w:pPr>
              <w:ind w:left="780"/>
              <w:spacing w:after="0" w:line="233" w:lineRule="exact"/>
              <w:rPr>
                <w:sz w:val="20"/>
                <w:szCs w:val="20"/>
                <w:color w:val="auto"/>
              </w:rPr>
            </w:pPr>
            <w:r>
              <w:rPr>
                <w:rFonts w:ascii="Arial" w:cs="Arial" w:eastAsia="Arial" w:hAnsi="Arial"/>
                <w:sz w:val="21"/>
                <w:szCs w:val="21"/>
                <w:color w:val="auto"/>
                <w:w w:val="96"/>
              </w:rPr>
              <w:t>N/A</w:t>
            </w:r>
          </w:p>
        </w:tc>
        <w:tc>
          <w:tcPr>
            <w:tcW w:w="20" w:type="dxa"/>
            <w:vAlign w:val="bottom"/>
          </w:tcPr>
          <w:p>
            <w:pPr>
              <w:spacing w:after="0"/>
              <w:rPr>
                <w:sz w:val="20"/>
                <w:szCs w:val="20"/>
                <w:color w:val="auto"/>
              </w:rPr>
            </w:pPr>
          </w:p>
        </w:tc>
        <w:tc>
          <w:tcPr>
            <w:tcW w:w="740" w:type="dxa"/>
            <w:vAlign w:val="bottom"/>
            <w:shd w:val="clear" w:color="auto" w:fill="E7E7E2"/>
          </w:tcPr>
          <w:p>
            <w:pPr>
              <w:ind w:left="380"/>
              <w:spacing w:after="0" w:line="233" w:lineRule="exact"/>
              <w:rPr>
                <w:sz w:val="20"/>
                <w:szCs w:val="20"/>
                <w:color w:val="auto"/>
              </w:rPr>
            </w:pPr>
            <w:r>
              <w:rPr>
                <w:rFonts w:ascii="Arial" w:cs="Arial" w:eastAsia="Arial" w:hAnsi="Arial"/>
                <w:sz w:val="21"/>
                <w:szCs w:val="21"/>
                <w:color w:val="auto"/>
                <w:w w:val="96"/>
              </w:rPr>
              <w:t>N/A</w:t>
            </w:r>
          </w:p>
        </w:tc>
        <w:tc>
          <w:tcPr>
            <w:tcW w:w="80" w:type="dxa"/>
            <w:vAlign w:val="bottom"/>
            <w:tcBorders>
              <w:right w:val="single" w:sz="8" w:color="auto"/>
            </w:tcBorders>
          </w:tcPr>
          <w:p>
            <w:pPr>
              <w:spacing w:after="0"/>
              <w:rPr>
                <w:sz w:val="20"/>
                <w:szCs w:val="20"/>
                <w:color w:val="auto"/>
              </w:rPr>
            </w:pPr>
          </w:p>
        </w:tc>
      </w:tr>
      <w:tr>
        <w:trPr>
          <w:trHeight w:val="272"/>
        </w:trPr>
        <w:tc>
          <w:tcPr>
            <w:tcW w:w="40" w:type="dxa"/>
            <w:vAlign w:val="bottom"/>
            <w:tcBorders>
              <w:left w:val="single" w:sz="8" w:color="auto"/>
            </w:tcBorders>
          </w:tcPr>
          <w:p>
            <w:pPr>
              <w:spacing w:after="0"/>
              <w:rPr>
                <w:sz w:val="23"/>
                <w:szCs w:val="23"/>
                <w:color w:val="auto"/>
              </w:rPr>
            </w:pPr>
          </w:p>
        </w:tc>
        <w:tc>
          <w:tcPr>
            <w:tcW w:w="800" w:type="dxa"/>
            <w:vAlign w:val="bottom"/>
            <w:shd w:val="clear" w:color="auto" w:fill="E7E7E2"/>
          </w:tcPr>
          <w:p>
            <w:pPr>
              <w:ind w:left="20"/>
              <w:spacing w:after="0"/>
              <w:rPr>
                <w:sz w:val="20"/>
                <w:szCs w:val="20"/>
                <w:color w:val="auto"/>
              </w:rPr>
            </w:pPr>
            <w:r>
              <w:rPr>
                <w:rFonts w:ascii="Arial" w:cs="Arial" w:eastAsia="Arial" w:hAnsi="Arial"/>
                <w:sz w:val="21"/>
                <w:szCs w:val="21"/>
                <w:color w:val="auto"/>
                <w:w w:val="98"/>
              </w:rPr>
              <w:t>Sources</w:t>
            </w:r>
          </w:p>
        </w:tc>
        <w:tc>
          <w:tcPr>
            <w:tcW w:w="20" w:type="dxa"/>
            <w:vAlign w:val="bottom"/>
          </w:tcPr>
          <w:p>
            <w:pPr>
              <w:spacing w:after="0"/>
              <w:rPr>
                <w:sz w:val="23"/>
                <w:szCs w:val="23"/>
                <w:color w:val="auto"/>
              </w:rPr>
            </w:pPr>
          </w:p>
        </w:tc>
        <w:tc>
          <w:tcPr>
            <w:tcW w:w="38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106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60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82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58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580" w:type="dxa"/>
            <w:vAlign w:val="bottom"/>
            <w:shd w:val="clear" w:color="auto" w:fill="E7E7E2"/>
          </w:tcPr>
          <w:p>
            <w:pPr>
              <w:spacing w:after="0"/>
              <w:rPr>
                <w:sz w:val="23"/>
                <w:szCs w:val="23"/>
                <w:color w:val="auto"/>
              </w:rPr>
            </w:pPr>
          </w:p>
        </w:tc>
        <w:tc>
          <w:tcPr>
            <w:tcW w:w="40" w:type="dxa"/>
            <w:vAlign w:val="bottom"/>
          </w:tcPr>
          <w:p>
            <w:pPr>
              <w:spacing w:after="0"/>
              <w:rPr>
                <w:sz w:val="23"/>
                <w:szCs w:val="23"/>
                <w:color w:val="auto"/>
              </w:rPr>
            </w:pPr>
          </w:p>
        </w:tc>
        <w:tc>
          <w:tcPr>
            <w:tcW w:w="84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114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1140" w:type="dxa"/>
            <w:vAlign w:val="bottom"/>
            <w:shd w:val="clear" w:color="auto" w:fill="E7E7E2"/>
          </w:tcPr>
          <w:p>
            <w:pPr>
              <w:spacing w:after="0"/>
              <w:rPr>
                <w:sz w:val="23"/>
                <w:szCs w:val="23"/>
                <w:color w:val="auto"/>
              </w:rPr>
            </w:pPr>
          </w:p>
        </w:tc>
        <w:tc>
          <w:tcPr>
            <w:tcW w:w="40" w:type="dxa"/>
            <w:vAlign w:val="bottom"/>
          </w:tcPr>
          <w:p>
            <w:pPr>
              <w:spacing w:after="0"/>
              <w:rPr>
                <w:sz w:val="23"/>
                <w:szCs w:val="23"/>
                <w:color w:val="auto"/>
              </w:rPr>
            </w:pPr>
          </w:p>
        </w:tc>
        <w:tc>
          <w:tcPr>
            <w:tcW w:w="114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114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740" w:type="dxa"/>
            <w:vAlign w:val="bottom"/>
            <w:shd w:val="clear" w:color="auto" w:fill="E7E7E2"/>
          </w:tcPr>
          <w:p>
            <w:pPr>
              <w:spacing w:after="0"/>
              <w:rPr>
                <w:sz w:val="23"/>
                <w:szCs w:val="23"/>
                <w:color w:val="auto"/>
              </w:rPr>
            </w:pPr>
          </w:p>
        </w:tc>
        <w:tc>
          <w:tcPr>
            <w:tcW w:w="80" w:type="dxa"/>
            <w:vAlign w:val="bottom"/>
            <w:tcBorders>
              <w:right w:val="single" w:sz="8" w:color="auto"/>
            </w:tcBorders>
          </w:tcPr>
          <w:p>
            <w:pPr>
              <w:spacing w:after="0"/>
              <w:rPr>
                <w:sz w:val="23"/>
                <w:szCs w:val="23"/>
                <w:color w:val="auto"/>
              </w:rPr>
            </w:pPr>
          </w:p>
        </w:tc>
      </w:tr>
      <w:tr>
        <w:trPr>
          <w:trHeight w:val="22"/>
        </w:trPr>
        <w:tc>
          <w:tcPr>
            <w:tcW w:w="40" w:type="dxa"/>
            <w:vAlign w:val="bottom"/>
            <w:tcBorders>
              <w:left w:val="single" w:sz="8" w:color="auto"/>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340"/>
      </w:cols>
      <w:pgMar w:left="320" w:top="14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lowerLetter"/>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 "/>
      <w:numFmt w:val="bullet"/>
      <w:start w:val="1"/>
    </w:lvl>
  </w:abstractNum>
  <w:abstractNum w:abstractNumId="4">
    <w:nsid w:val="7545E146"/>
    <w:multiLevelType w:val="hybridMultilevel"/>
    <w:lvl w:ilvl="0">
      <w:lvlJc w:val="left"/>
      <w:lvlText w:val=" "/>
      <w:numFmt w:val="bullet"/>
      <w:start w:val="1"/>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decimal"/>
      <w:start w:val="1"/>
    </w:lvl>
    <w:lvl w:ilvl="1">
      <w:lvlJc w:val="left"/>
      <w:lvlText w:val="(%2)"/>
      <w:numFmt w:val="lowerRoman"/>
      <w:start w:val="1"/>
    </w:lvl>
  </w:abstractNum>
  <w:abstractNum w:abstractNumId="8">
    <w:nsid w:val="4DB127F8"/>
    <w:multiLevelType w:val="hybridMultilevel"/>
    <w:lvl w:ilvl="0">
      <w:lvlJc w:val="left"/>
      <w:lvlText w:val="%1"/>
      <w:numFmt w:val="lowerLetter"/>
      <w:start w:val="1"/>
    </w:lvl>
    <w:lvl w:ilvl="1">
      <w:lvlJc w:val="left"/>
      <w:lvlText w:val="(%2)"/>
      <w:numFmt w:val="decimal"/>
      <w:start w:val="6"/>
    </w:lvl>
  </w:abstractNum>
  <w:abstractNum w:abstractNumId="9">
    <w:nsid w:val="216231B"/>
    <w:multiLevelType w:val="hybridMultilevel"/>
    <w:lvl w:ilvl="0">
      <w:lvlJc w:val="left"/>
      <w:lvlText w:val="(%1)"/>
      <w:numFmt w:val="lowerLetter"/>
      <w:start w:val="2"/>
    </w:lvl>
    <w:lvl w:ilvl="1">
      <w:lvlJc w:val="left"/>
      <w:lvlText w:val="%2"/>
      <w:numFmt w:val="decimal"/>
      <w:start w:val="1"/>
    </w:lvl>
  </w:abstractNum>
  <w:abstractNum w:abstractNumId="10">
    <w:nsid w:val="1F16E9E8"/>
    <w:multiLevelType w:val="hybridMultilevel"/>
    <w:lvl w:ilvl="0">
      <w:lvlJc w:val="left"/>
      <w:lvlText w:val="1"/>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44" Type="http://schemas.openxmlformats.org/officeDocument/2006/relationships/image" Target="media/image12.png"/><Relationship Id="rId49" Type="http://schemas.openxmlformats.org/officeDocument/2006/relationships/image" Target="media/image13.png"/><Relationship Id="rId50" Type="http://schemas.openxmlformats.org/officeDocument/2006/relationships/image" Target="media/image14.png"/><Relationship Id="rId51" Type="http://schemas.openxmlformats.org/officeDocument/2006/relationships/image" Target="media/image15.png"/><Relationship Id="rId52" Type="http://schemas.openxmlformats.org/officeDocument/2006/relationships/image" Target="media/image16.png"/><Relationship Id="rId53" Type="http://schemas.openxmlformats.org/officeDocument/2006/relationships/image" Target="media/image17.png"/><Relationship Id="rId19" Type="http://schemas.openxmlformats.org/officeDocument/2006/relationships/hyperlink" Target="http://www.sec.gov/ix?doc=/Archives/edgar/data/1820302/000162828025013959/bakkt-20241231.htm" TargetMode="External"/><Relationship Id="rId20" Type="http://schemas.openxmlformats.org/officeDocument/2006/relationships/hyperlink" Target="http://www.sec.gov/ix?doc=/Archives/edgar/data/1820302/000162828025020274/bakkt-20250428.htm" TargetMode="External"/><Relationship Id="rId21" Type="http://schemas.openxmlformats.org/officeDocument/2006/relationships/hyperlink" Target="http://www.sec.gov/ix?doc=/Archives/edgar/data/1820302/000162828025024743/bakkt-20250331.htm" TargetMode="External"/><Relationship Id="rId22" Type="http://schemas.openxmlformats.org/officeDocument/2006/relationships/hyperlink" Target="http://www.sec.gov/ix?doc=/Archives/edgar/data/1820302/000162828025039625/bakkt-20250630.htm" TargetMode="External"/><Relationship Id="rId23" Type="http://schemas.openxmlformats.org/officeDocument/2006/relationships/hyperlink" Target="http://www.sec.gov/ix?doc=/Archives/edgar/data/0001820302/000162828025018854/bakkt-20250421.htm" TargetMode="External"/><Relationship Id="rId24" Type="http://schemas.openxmlformats.org/officeDocument/2006/relationships/hyperlink" Target="http://www.sec.gov/ix?doc=/Archives/edgar/data/0001820302/000119312525138191/d76438d8k.htm" TargetMode="External"/><Relationship Id="rId25" Type="http://schemas.openxmlformats.org/officeDocument/2006/relationships/hyperlink" Target="http://www.sec.gov/ix?doc=/Archives/edgar/data/0001820302/000162828025030475/bakkt-20250610.htm" TargetMode="External"/><Relationship Id="rId26" Type="http://schemas.openxmlformats.org/officeDocument/2006/relationships/hyperlink" Target="http://www.sec.gov/ix?doc=/Archives/edgar/data/0001820302/000162828025031314/bakkt-20250609.htm" TargetMode="External"/><Relationship Id="rId27" Type="http://schemas.openxmlformats.org/officeDocument/2006/relationships/hyperlink" Target="http://www.sec.gov/ix?doc=/Archives/edgar/data/0001820302/000119312525142918/d80998d8k.htm" TargetMode="External"/><Relationship Id="rId28" Type="http://schemas.openxmlformats.org/officeDocument/2006/relationships/hyperlink" Target="http://www.sec.gov/ix?doc=/Archives/edgar/data/0001820302/000162828025036239/bakkt-20250723.htm" TargetMode="External"/><Relationship Id="rId29" Type="http://schemas.openxmlformats.org/officeDocument/2006/relationships/hyperlink" Target="http://www.sec.gov/ix?doc=/Archives/edgar/data/0001820302/000119312525169353/d37228d8k.htm" TargetMode="External"/><Relationship Id="rId30" Type="http://schemas.openxmlformats.org/officeDocument/2006/relationships/hyperlink" Target="http://www.sec.gov/ix?doc=/Archives/edgar/data/0001820302/000162828025038417/bakkt-20250806.htm" TargetMode="External"/><Relationship Id="rId31" Type="http://schemas.openxmlformats.org/officeDocument/2006/relationships/hyperlink" Target="http://www.sec.gov/ix?doc=/Archives/edgar/data/0001820302/000162828025042251/bakkt-20250917.htm" TargetMode="External"/><Relationship Id="rId32" Type="http://schemas.openxmlformats.org/officeDocument/2006/relationships/hyperlink" Target="http://www.sec.gov/ix?doc=/Archives/edgar/data/0001820302/000162828025043317/bakkt-20250930.htm" TargetMode="External"/><Relationship Id="rId33" Type="http://schemas.openxmlformats.org/officeDocument/2006/relationships/hyperlink" Target="http://www.sec.gov/ix?doc=/Archives/edgar/data/0001820302/000119312525234538/d87349d8k.htm" TargetMode="External"/><Relationship Id="rId34" Type="http://schemas.openxmlformats.org/officeDocument/2006/relationships/hyperlink" Target="http://www.sec.gov/ix?doc=/Archives/edgar/data/0001820302/000119312525237364/d32118d8k.htm" TargetMode="External"/><Relationship Id="rId35" Type="http://schemas.openxmlformats.org/officeDocument/2006/relationships/hyperlink" Target="http://www.sec.gov/ix?doc=/Archives/edgar/data/0001820302/000119312525242750/d74254d8k.htm" TargetMode="External"/><Relationship Id="rId36" Type="http://schemas.openxmlformats.org/officeDocument/2006/relationships/hyperlink" Target="http://www.sec.gov/ix?doc=/Archives/edgar/data/0001820302/000162828025045560/bakkt-20251019.htm" TargetMode="External"/><Relationship Id="rId37" Type="http://schemas.openxmlformats.org/officeDocument/2006/relationships/hyperlink" Target="http://www.sec.gov/ix?doc=/Archives/edgar/data/0001820302/000119312525245822/d36779d8k.htm" TargetMode="External"/><Relationship Id="rId38" Type="http://schemas.openxmlformats.org/officeDocument/2006/relationships/hyperlink" Target="http://www.sec.gov/ix?doc=/Archives/edgar/data/0001820302/000162828025047840/bakkt-20251031.htm" TargetMode="External"/><Relationship Id="rId39" Type="http://schemas.openxmlformats.org/officeDocument/2006/relationships/hyperlink" Target="http://www.sec.gov/ix?doc=/Archives/edgar/data/0001820302/000119312525262474/d98917d8k.htm" TargetMode="External"/><Relationship Id="rId40" Type="http://schemas.openxmlformats.org/officeDocument/2006/relationships/hyperlink" Target="http://www.sec.gov/ix?doc=/Archives/edgar/data/1820302/000119312525262474/d98917d8k.htm" TargetMode="External"/><Relationship Id="rId41" Type="http://schemas.openxmlformats.org/officeDocument/2006/relationships/hyperlink" Target="http://www.sec.gov/ix?doc=/Archives/edgar/data/1820302/000119312525272524/d70742d8ka.htm" TargetMode="External"/><Relationship Id="rId42" Type="http://schemas.openxmlformats.org/officeDocument/2006/relationships/hyperlink" Target="http://www.sec.gov/Archives/edgar/data/1820302/000119312521299620/d211377d8a12b.htm" TargetMode="External"/><Relationship Id="rId43" Type="http://schemas.openxmlformats.org/officeDocument/2006/relationships/hyperlink" Target="http://www.sec.gov/Archives/edgar/data/1820302/000182030222000005/a46-descriptionofsecurit.htm" TargetMode="External"/><Relationship Id="rId45" Type="http://schemas.openxmlformats.org/officeDocument/2006/relationships/hyperlink" Target="http://www.sec.gov/Archives/edgar/data/1820302/000119312525262732/d83327dex31.htm" TargetMode="External"/><Relationship Id="rId46" Type="http://schemas.openxmlformats.org/officeDocument/2006/relationships/hyperlink" Target="http://www.sec.gov/Archives/edgar/data/1820302/000119312525262732/d83327dex32.htm" TargetMode="External"/><Relationship Id="rId47" Type="http://schemas.openxmlformats.org/officeDocument/2006/relationships/hyperlink" Target="http://www.sec.gov/Archives/edgar/data/1820302/000119312521303985/d219325dex41.htm" TargetMode="External"/><Relationship Id="rId48" Type="http://schemas.openxmlformats.org/officeDocument/2006/relationships/hyperlink" Target="http://www.sec.gov/Archives/edgar/data/1820302/000119312525262474/d98917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2025-11-10T13:36:53Z</dcterms:created>
  <dcterms:modified xsi:type="dcterms:W3CDTF">2025-11-10T13:36:53Z</dcterms:modified>
</cp:coreProperties>
</file>