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1442720</wp:posOffset>
            </wp:positionH>
            <wp:positionV relativeFrom="page">
              <wp:posOffset>1049020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1075055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64135</wp:posOffset>
            </wp:positionV>
            <wp:extent cx="2511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87630</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6" w:lineRule="exact"/>
        <w:rPr>
          <w:sz w:val="24"/>
          <w:szCs w:val="24"/>
          <w:color w:val="auto"/>
        </w:rPr>
      </w:pPr>
    </w:p>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44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22"/>
          <w:szCs w:val="22"/>
          <w:b w:val="1"/>
          <w:bCs w:val="1"/>
          <w:color w:val="auto"/>
        </w:rPr>
        <w:t>May 12,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64135</wp:posOffset>
            </wp:positionV>
            <wp:extent cx="2511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3" w:lineRule="exact"/>
        <w:rPr>
          <w:sz w:val="24"/>
          <w:szCs w:val="24"/>
          <w:color w:val="auto"/>
        </w:rPr>
      </w:pPr>
    </w:p>
    <w:p>
      <w:pPr>
        <w:jc w:val="center"/>
        <w:ind w:right="3440"/>
        <w:spacing w:after="0"/>
        <w:rPr>
          <w:sz w:val="20"/>
          <w:szCs w:val="20"/>
          <w:color w:val="auto"/>
        </w:rPr>
      </w:pPr>
      <w:r>
        <w:rPr>
          <w:rFonts w:ascii="Times New Roman" w:cs="Times New Roman" w:eastAsia="Times New Roman" w:hAnsi="Times New Roman"/>
          <w:sz w:val="36"/>
          <w:szCs w:val="36"/>
          <w:b w:val="1"/>
          <w:bCs w:val="1"/>
          <w:color w:val="auto"/>
        </w:rPr>
        <w:t>Bakkt Holdings, Inc.</w:t>
      </w:r>
    </w:p>
    <w:p>
      <w:pPr>
        <w:ind w:left="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73025</wp:posOffset>
            </wp:positionV>
            <wp:extent cx="2511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7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45" w:lineRule="exact"/>
        <w:rPr>
          <w:sz w:val="24"/>
          <w:szCs w:val="24"/>
          <w:color w:val="auto"/>
        </w:rPr>
      </w:pPr>
    </w:p>
    <w:p>
      <w:pPr>
        <w:sectPr>
          <w:pgSz w:w="11900" w:h="16838" w:orient="portrait"/>
          <w:cols w:equalWidth="0" w:num="2">
            <w:col w:w="2720" w:space="720"/>
            <w:col w:w="7800"/>
          </w:cols>
          <w:pgMar w:left="320" w:top="1440" w:right="339" w:bottom="1440" w:gutter="0" w:footer="0" w:header="0"/>
          <w:type w:val="continuous"/>
        </w:sectPr>
      </w:pPr>
    </w:p>
    <w:tbl>
      <w:tblPr>
        <w:tblLayout w:type="fixed"/>
        <w:tblInd w:w="1360" w:type="dxa"/>
        <w:tblCellMar>
          <w:top w:w="0" w:type="dxa"/>
          <w:left w:w="0" w:type="dxa"/>
          <w:bottom w:w="0" w:type="dxa"/>
          <w:right w:w="0" w:type="dxa"/>
        </w:tblCellMar>
      </w:tblPr>
      <w:tr>
        <w:trPr>
          <w:trHeight w:val="207"/>
        </w:trPr>
        <w:tc>
          <w:tcPr>
            <w:tcW w:w="4800" w:type="dxa"/>
            <w:vAlign w:val="bottom"/>
          </w:tcPr>
          <w:p>
            <w:pPr>
              <w:jc w:val="center"/>
              <w:ind w:right="1916"/>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66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30009</w:t>
            </w:r>
          </w:p>
        </w:tc>
        <w:tc>
          <w:tcPr>
            <w:tcW w:w="0" w:type="dxa"/>
            <w:vAlign w:val="bottom"/>
          </w:tcPr>
          <w:p>
            <w:pPr>
              <w:spacing w:after="0"/>
              <w:rPr>
                <w:sz w:val="1"/>
                <w:szCs w:val="1"/>
                <w:color w:val="auto"/>
              </w:rPr>
            </w:pPr>
          </w:p>
        </w:tc>
      </w:tr>
      <w:tr>
        <w:trPr>
          <w:trHeight w:val="144"/>
        </w:trPr>
        <w:tc>
          <w:tcPr>
            <w:tcW w:w="4800" w:type="dxa"/>
            <w:vAlign w:val="bottom"/>
            <w:vMerge w:val="restart"/>
          </w:tcPr>
          <w:p>
            <w:pPr>
              <w:jc w:val="center"/>
              <w:ind w:right="1936"/>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800" w:type="dxa"/>
            <w:vAlign w:val="bottom"/>
          </w:tcPr>
          <w:p>
            <w:pPr>
              <w:jc w:val="center"/>
              <w:ind w:right="193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left="191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191135</wp:posOffset>
            </wp:positionV>
            <wp:extent cx="251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20" w:right="6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4" w:lineRule="exact"/>
        <w:rPr>
          <w:sz w:val="24"/>
          <w:szCs w:val="24"/>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20" w:hanging="245"/>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552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4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5"/>
        </w:trPr>
        <w:tc>
          <w:tcPr>
            <w:tcW w:w="5520" w:type="dxa"/>
            <w:vAlign w:val="bottom"/>
            <w:tcBorders>
              <w:bottom w:val="single" w:sz="8" w:color="auto"/>
            </w:tcBorders>
            <w:vMerge w:val="continue"/>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4"/>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38"/>
        </w:trPr>
        <w:tc>
          <w:tcPr>
            <w:tcW w:w="552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2240" w:type="dxa"/>
            <w:vAlign w:val="bottom"/>
          </w:tcPr>
          <w:p>
            <w:pPr>
              <w:jc w:val="center"/>
              <w:ind w:left="36"/>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4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51435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76835</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Conditions.</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May 12, 2025, Bakkt Holdings, Inc. (the “Company”) issued a press release regarding the Company’s results for the quarter ended March 31, 2025. A copy of the press release is attached hereto as Exhibit 99.1 and incorporated herein by reference.</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17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7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8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0"/>
                <w:szCs w:val="20"/>
                <w:color w:val="auto"/>
              </w:rPr>
            </w:pPr>
          </w:p>
        </w:tc>
      </w:tr>
      <w:tr>
        <w:trPr>
          <w:trHeight w:val="196"/>
        </w:trPr>
        <w:tc>
          <w:tcPr>
            <w:tcW w:w="1040" w:type="dxa"/>
            <w:vAlign w:val="bottom"/>
            <w:gridSpan w:val="2"/>
          </w:tcPr>
          <w:p>
            <w:pPr>
              <w:spacing w:after="0"/>
              <w:rPr>
                <w:sz w:val="17"/>
                <w:szCs w:val="17"/>
                <w:color w:val="auto"/>
              </w:rPr>
            </w:pPr>
          </w:p>
        </w:tc>
        <w:tc>
          <w:tcPr>
            <w:tcW w:w="3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99.</w:t>
            </w:r>
            <w:r>
              <w:rPr>
                <w:rFonts w:ascii="Times New Roman" w:cs="Times New Roman" w:eastAsia="Times New Roman" w:hAnsi="Times New Roman"/>
                <w:sz w:val="18"/>
                <w:szCs w:val="18"/>
                <w:u w:val="single" w:color="auto"/>
                <w:color w:val="auto"/>
                <w:w w:val="95"/>
              </w:rPr>
              <w:t>1</w:t>
            </w:r>
          </w:p>
        </w:tc>
        <w:tc>
          <w:tcPr>
            <w:tcW w:w="580" w:type="dxa"/>
            <w:vAlign w:val="bottom"/>
          </w:tcPr>
          <w:p>
            <w:pPr>
              <w:spacing w:after="0"/>
              <w:rPr>
                <w:sz w:val="17"/>
                <w:szCs w:val="17"/>
                <w:color w:val="auto"/>
              </w:rPr>
            </w:pPr>
          </w:p>
        </w:tc>
        <w:tc>
          <w:tcPr>
            <w:tcW w:w="9280" w:type="dxa"/>
            <w:vAlign w:val="bottom"/>
          </w:tcPr>
          <w:p>
            <w:pPr>
              <w:ind w:left="280"/>
              <w:spacing w:after="0" w:line="196" w:lineRule="exact"/>
              <w:rPr>
                <w:sz w:val="20"/>
                <w:szCs w:val="20"/>
                <w:color w:val="auto"/>
              </w:rPr>
            </w:pPr>
            <w:r>
              <w:rPr>
                <w:rFonts w:ascii="Times New Roman" w:cs="Times New Roman" w:eastAsia="Times New Roman" w:hAnsi="Times New Roman"/>
                <w:sz w:val="18"/>
                <w:szCs w:val="18"/>
                <w:color w:val="auto"/>
              </w:rPr>
              <w:t>Press release issued by Bakkt Holdings, Inc. on May 12, 2025</w:t>
            </w:r>
          </w:p>
        </w:tc>
        <w:tc>
          <w:tcPr>
            <w:tcW w:w="20" w:type="dxa"/>
            <w:vAlign w:val="bottom"/>
          </w:tcPr>
          <w:p>
            <w:pPr>
              <w:spacing w:after="0"/>
              <w:rPr>
                <w:sz w:val="17"/>
                <w:szCs w:val="17"/>
                <w:color w:val="auto"/>
              </w:rPr>
            </w:pPr>
          </w:p>
        </w:tc>
      </w:tr>
      <w:tr>
        <w:trPr>
          <w:trHeight w:val="263"/>
        </w:trPr>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2"/>
                <w:szCs w:val="22"/>
                <w:color w:val="auto"/>
              </w:rPr>
            </w:pPr>
          </w:p>
        </w:tc>
        <w:tc>
          <w:tcPr>
            <w:tcW w:w="9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92"/>
        </w:trPr>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12, 2025</w:t>
      </w:r>
    </w:p>
    <w:p>
      <w:pPr>
        <w:spacing w:after="0" w:line="26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56" w:lineRule="exact"/>
        <w:rPr>
          <w:sz w:val="20"/>
          <w:szCs w:val="20"/>
          <w:color w:val="auto"/>
        </w:rPr>
      </w:pPr>
    </w:p>
    <w:p>
      <w:pPr>
        <w:ind w:left="580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Marc D’Annunzio</w:t>
      </w:r>
    </w:p>
    <w:p>
      <w:pPr>
        <w:spacing w:after="0" w:line="27" w:lineRule="exact"/>
        <w:rPr>
          <w:sz w:val="20"/>
          <w:szCs w:val="20"/>
          <w:color w:val="auto"/>
        </w:rPr>
      </w:pPr>
    </w:p>
    <w:p>
      <w:pPr>
        <w:ind w:left="6240"/>
        <w:spacing w:after="0"/>
        <w:tabs>
          <w:tab w:leader="none" w:pos="7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General Counsel and Secretary</w:t>
      </w:r>
    </w:p>
    <w:p>
      <w:pPr>
        <w:sectPr>
          <w:pgSz w:w="11900" w:h="16838" w:orient="portrait"/>
          <w:cols w:equalWidth="0" w:num="1">
            <w:col w:w="11240"/>
          </w:cols>
          <w:pgMar w:left="320" w:top="140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911860</wp:posOffset>
            </wp:positionV>
            <wp:extent cx="1474470"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44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Bakkt Reports First Quarter 2025 Results</w:t>
      </w:r>
    </w:p>
    <w:p>
      <w:pPr>
        <w:spacing w:after="0" w:line="287" w:lineRule="exact"/>
        <w:rPr>
          <w:sz w:val="20"/>
          <w:szCs w:val="20"/>
          <w:color w:val="auto"/>
        </w:rPr>
      </w:pPr>
    </w:p>
    <w:p>
      <w:pPr>
        <w:ind w:left="580" w:hanging="332"/>
        <w:spacing w:after="0"/>
        <w:tabs>
          <w:tab w:leader="none" w:pos="580" w:val="left"/>
        </w:tabs>
        <w:numPr>
          <w:ilvl w:val="2"/>
          <w:numId w:val="2"/>
        </w:numPr>
        <w:rPr>
          <w:rFonts w:ascii="Arial" w:cs="Arial" w:eastAsia="Arial" w:hAnsi="Arial"/>
          <w:sz w:val="22"/>
          <w:szCs w:val="22"/>
          <w:color w:val="auto"/>
        </w:rPr>
      </w:pPr>
      <w:r>
        <w:rPr>
          <w:rFonts w:ascii="Arial" w:cs="Arial" w:eastAsia="Arial" w:hAnsi="Arial"/>
          <w:sz w:val="20"/>
          <w:szCs w:val="20"/>
          <w:i w:val="1"/>
          <w:iCs w:val="1"/>
          <w:color w:val="auto"/>
        </w:rPr>
        <w:t>Entered into cooperation agreement with Distributed Technologies Research (DTR) in Q1 2025 for access to AI and</w:t>
      </w:r>
    </w:p>
    <w:p>
      <w:pPr>
        <w:spacing w:after="0" w:line="8" w:lineRule="exact"/>
        <w:rPr>
          <w:rFonts w:ascii="Arial" w:cs="Arial" w:eastAsia="Arial" w:hAnsi="Arial"/>
          <w:sz w:val="22"/>
          <w:szCs w:val="22"/>
          <w:color w:val="auto"/>
        </w:rPr>
      </w:pPr>
    </w:p>
    <w:p>
      <w:pPr>
        <w:ind w:left="4160"/>
        <w:spacing w:after="0"/>
        <w:rPr>
          <w:rFonts w:ascii="Arial" w:cs="Arial" w:eastAsia="Arial" w:hAnsi="Arial"/>
          <w:sz w:val="22"/>
          <w:szCs w:val="22"/>
          <w:color w:val="auto"/>
        </w:rPr>
      </w:pPr>
      <w:r>
        <w:rPr>
          <w:rFonts w:ascii="Arial" w:cs="Arial" w:eastAsia="Arial" w:hAnsi="Arial"/>
          <w:sz w:val="20"/>
          <w:szCs w:val="20"/>
          <w:i w:val="1"/>
          <w:iCs w:val="1"/>
          <w:color w:val="auto"/>
        </w:rPr>
        <w:t>stablecoin payment infrastructure</w:t>
      </w:r>
    </w:p>
    <w:p>
      <w:pPr>
        <w:spacing w:after="0" w:line="13" w:lineRule="exact"/>
        <w:rPr>
          <w:rFonts w:ascii="Arial" w:cs="Arial" w:eastAsia="Arial" w:hAnsi="Arial"/>
          <w:sz w:val="22"/>
          <w:szCs w:val="22"/>
          <w:color w:val="auto"/>
        </w:rPr>
      </w:pPr>
    </w:p>
    <w:p>
      <w:pPr>
        <w:ind w:left="360" w:hanging="336"/>
        <w:spacing w:after="0"/>
        <w:tabs>
          <w:tab w:leader="none" w:pos="360" w:val="left"/>
        </w:tabs>
        <w:numPr>
          <w:ilvl w:val="0"/>
          <w:numId w:val="2"/>
        </w:numPr>
        <w:rPr>
          <w:rFonts w:ascii="Arial" w:cs="Arial" w:eastAsia="Arial" w:hAnsi="Arial"/>
          <w:sz w:val="22"/>
          <w:szCs w:val="22"/>
          <w:color w:val="auto"/>
        </w:rPr>
      </w:pPr>
      <w:r>
        <w:rPr>
          <w:rFonts w:ascii="Arial" w:cs="Arial" w:eastAsia="Arial" w:hAnsi="Arial"/>
          <w:sz w:val="20"/>
          <w:szCs w:val="20"/>
          <w:i w:val="1"/>
          <w:iCs w:val="1"/>
          <w:color w:val="auto"/>
        </w:rPr>
        <w:t>Commercial agreement with DTR, expected to be completed by Q3 2025, expected to bring new products for customers,</w:t>
      </w:r>
    </w:p>
    <w:p>
      <w:pPr>
        <w:spacing w:after="0" w:line="3" w:lineRule="exact"/>
        <w:rPr>
          <w:rFonts w:ascii="Arial" w:cs="Arial" w:eastAsia="Arial" w:hAnsi="Arial"/>
          <w:sz w:val="22"/>
          <w:szCs w:val="22"/>
          <w:color w:val="auto"/>
        </w:rPr>
      </w:pPr>
    </w:p>
    <w:p>
      <w:pPr>
        <w:ind w:left="1260"/>
        <w:spacing w:after="0"/>
        <w:rPr>
          <w:rFonts w:ascii="Arial" w:cs="Arial" w:eastAsia="Arial" w:hAnsi="Arial"/>
          <w:sz w:val="22"/>
          <w:szCs w:val="22"/>
          <w:color w:val="auto"/>
        </w:rPr>
      </w:pPr>
      <w:r>
        <w:rPr>
          <w:rFonts w:ascii="Arial" w:cs="Arial" w:eastAsia="Arial" w:hAnsi="Arial"/>
          <w:sz w:val="20"/>
          <w:szCs w:val="20"/>
          <w:i w:val="1"/>
          <w:iCs w:val="1"/>
          <w:color w:val="auto"/>
        </w:rPr>
        <w:t>including merchant checkout widget and white-label AI-powered plug-in for global money movement</w:t>
      </w:r>
    </w:p>
    <w:p>
      <w:pPr>
        <w:spacing w:after="0" w:line="16" w:lineRule="exact"/>
        <w:rPr>
          <w:rFonts w:ascii="Arial" w:cs="Arial" w:eastAsia="Arial" w:hAnsi="Arial"/>
          <w:sz w:val="22"/>
          <w:szCs w:val="22"/>
          <w:color w:val="auto"/>
        </w:rPr>
      </w:pPr>
    </w:p>
    <w:p>
      <w:pPr>
        <w:ind w:left="380" w:hanging="328"/>
        <w:spacing w:after="0"/>
        <w:tabs>
          <w:tab w:leader="none" w:pos="380" w:val="left"/>
        </w:tabs>
        <w:numPr>
          <w:ilvl w:val="1"/>
          <w:numId w:val="2"/>
        </w:numPr>
        <w:rPr>
          <w:rFonts w:ascii="Arial" w:cs="Arial" w:eastAsia="Arial" w:hAnsi="Arial"/>
          <w:sz w:val="22"/>
          <w:szCs w:val="22"/>
          <w:color w:val="auto"/>
        </w:rPr>
      </w:pPr>
      <w:r>
        <w:rPr>
          <w:rFonts w:ascii="Arial" w:cs="Arial" w:eastAsia="Arial" w:hAnsi="Arial"/>
          <w:sz w:val="20"/>
          <w:szCs w:val="20"/>
          <w:i w:val="1"/>
          <w:iCs w:val="1"/>
          <w:color w:val="auto"/>
        </w:rPr>
        <w:t>- Strengthened the leadership team with the addition of Ankit Khemka, Chief Product Officer, and Phillip Lord, President,</w:t>
      </w:r>
    </w:p>
    <w:p>
      <w:pPr>
        <w:ind w:left="4800"/>
        <w:spacing w:after="0"/>
        <w:rPr>
          <w:rFonts w:ascii="Arial" w:cs="Arial" w:eastAsia="Arial" w:hAnsi="Arial"/>
          <w:sz w:val="22"/>
          <w:szCs w:val="22"/>
          <w:color w:val="auto"/>
        </w:rPr>
      </w:pPr>
      <w:r>
        <w:rPr>
          <w:rFonts w:ascii="Arial" w:cs="Arial" w:eastAsia="Arial" w:hAnsi="Arial"/>
          <w:sz w:val="20"/>
          <w:szCs w:val="20"/>
          <w:i w:val="1"/>
          <w:iCs w:val="1"/>
          <w:color w:val="auto"/>
        </w:rPr>
        <w:t>Bakkt International</w:t>
      </w:r>
    </w:p>
    <w:p>
      <w:pPr>
        <w:spacing w:after="0" w:line="22" w:lineRule="exact"/>
        <w:rPr>
          <w:rFonts w:ascii="Arial" w:cs="Arial" w:eastAsia="Arial" w:hAnsi="Arial"/>
          <w:sz w:val="22"/>
          <w:szCs w:val="22"/>
          <w:color w:val="auto"/>
        </w:rPr>
      </w:pPr>
    </w:p>
    <w:p>
      <w:pPr>
        <w:ind w:left="2300" w:hanging="326"/>
        <w:spacing w:after="0"/>
        <w:tabs>
          <w:tab w:leader="none" w:pos="2300" w:val="left"/>
        </w:tabs>
        <w:numPr>
          <w:ilvl w:val="3"/>
          <w:numId w:val="2"/>
        </w:numPr>
        <w:rPr>
          <w:rFonts w:ascii="Arial" w:cs="Arial" w:eastAsia="Arial" w:hAnsi="Arial"/>
          <w:sz w:val="22"/>
          <w:szCs w:val="22"/>
          <w:color w:val="auto"/>
        </w:rPr>
      </w:pPr>
      <w:r>
        <w:rPr>
          <w:rFonts w:ascii="Arial" w:cs="Arial" w:eastAsia="Arial" w:hAnsi="Arial"/>
          <w:sz w:val="20"/>
          <w:szCs w:val="20"/>
          <w:i w:val="1"/>
          <w:iCs w:val="1"/>
          <w:color w:val="auto"/>
        </w:rPr>
        <w:t>Net income of $16.2 million, up 176.5% year-over-year, 140.4% sequentially</w:t>
      </w:r>
    </w:p>
    <w:p>
      <w:pPr>
        <w:spacing w:after="0" w:line="218" w:lineRule="exact"/>
        <w:rPr>
          <w:sz w:val="20"/>
          <w:szCs w:val="20"/>
          <w:color w:val="auto"/>
        </w:rPr>
      </w:pPr>
    </w:p>
    <w:p>
      <w:pPr>
        <w:ind w:right="400"/>
        <w:spacing w:after="0" w:line="288" w:lineRule="auto"/>
        <w:rPr>
          <w:sz w:val="20"/>
          <w:szCs w:val="20"/>
          <w:color w:val="auto"/>
        </w:rPr>
      </w:pPr>
      <w:r>
        <w:rPr>
          <w:rFonts w:ascii="Arial" w:cs="Arial" w:eastAsia="Arial" w:hAnsi="Arial"/>
          <w:sz w:val="20"/>
          <w:szCs w:val="20"/>
          <w:b w:val="1"/>
          <w:bCs w:val="1"/>
          <w:color w:val="auto"/>
        </w:rPr>
        <w:t xml:space="preserve">ALPHARETTA, GA – May 12, 2025 </w:t>
      </w:r>
      <w:r>
        <w:rPr>
          <w:rFonts w:ascii="Arial" w:cs="Arial" w:eastAsia="Arial" w:hAnsi="Arial"/>
          <w:sz w:val="20"/>
          <w:szCs w:val="20"/>
          <w:color w:val="auto"/>
        </w:rPr>
        <w:t>– Bakkt Holdings, Inc. (“Bakkt,” “Company,” “we” or “us”) (NYSE: BKKT) announced its</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and operational results for the quarter ended March 31, 2025.</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Co-CEO Comments:</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planned strategic collaboration between DTR and Bakkt will represent a transformative convergence of capabilities that we believe will position us to capture significant share in the rapidly expanding stablecoin payments ecosystem," said Akshay Naheta, Co-CEO of Bakkt. "By integrating DTR's cutting-edge payments infrastructure and AI capabilities with Bakkt's U.S. regulated trading platform, we will create a comprehensive ecosystem designed for frictionless movement between crypto trading, AI-powered solutions, and global digital payments. Our integration roadmap includes the launch of innovative products that we expect will redefine user experiences in the digital asset space while adhering to all compliance standards. We're committed to bridging the gap between traditional finance and decentralized finance through AI-integrated payments platforms, creating value for both institutional and retail customers with our groundbreaking products and solutions we look forward to bringing to market."</w:t>
      </w:r>
    </w:p>
    <w:p>
      <w:pPr>
        <w:spacing w:after="0" w:line="215" w:lineRule="exact"/>
        <w:rPr>
          <w:sz w:val="20"/>
          <w:szCs w:val="20"/>
          <w:color w:val="auto"/>
        </w:rPr>
      </w:pPr>
    </w:p>
    <w:p>
      <w:pPr>
        <w:jc w:val="both"/>
        <w:ind w:right="500"/>
        <w:spacing w:after="0" w:line="263" w:lineRule="auto"/>
        <w:rPr>
          <w:sz w:val="20"/>
          <w:szCs w:val="20"/>
          <w:color w:val="auto"/>
        </w:rPr>
      </w:pPr>
      <w:r>
        <w:rPr>
          <w:rFonts w:ascii="Arial" w:cs="Arial" w:eastAsia="Arial" w:hAnsi="Arial"/>
          <w:sz w:val="19"/>
          <w:szCs w:val="19"/>
          <w:color w:val="auto"/>
        </w:rPr>
        <w:t>He continued, “We’ve also strengthened our executive leadership team with two key hires: Ankit Khemka as Chief Product Officer, to accelerate the rollout of our innovative product roadmap, and Phillip Lord as President of Bakkt International, to further expand our sales leads for helping with the launch of established, global fintech platforms in the U.S. market.</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Additionally, we’re conducting a thorough and strategic review of our priorities and organizational structure. We see meaningful opportunities to drive sharper resource allocation, unlock cost efficiencies, and deliver savings across the business, which will be reflected over the next few quarters.”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"Bakkt's evolution into a focused crypto infrastructure company is accelerating with remarkable momentum," said Andy Main, Co-CEO and President of Bakkt. "With our planned strategic divestitures of non-core assets and our collaboration with DTR, we're sharpening our focus on our fundamental crypto strengths while simultaneously enhancing our technological capabilities and reducing operating expenses. Our commercial agreement with DTR, which we are presently negotiating, will unlock access to DTR's advanced AI frameworks, which we believe will create unprecedented opportunities for product innovation, operational efficiencies, and customer engagement. We're seeing growing interest</w:t>
      </w:r>
    </w:p>
    <w:p>
      <w:pPr>
        <w:sectPr>
          <w:pgSz w:w="11900" w:h="16838" w:orient="portrait"/>
          <w:cols w:equalWidth="0" w:num="1">
            <w:col w:w="11180"/>
          </w:cols>
          <w:pgMar w:left="320" w:top="1440" w:right="399" w:bottom="1440" w:gutter="0" w:footer="0" w:header="0"/>
        </w:sectPr>
      </w:pPr>
    </w:p>
    <w:bookmarkStart w:id="4" w:name="page5"/>
    <w:bookmarkEnd w:id="4"/>
    <w:p>
      <w:pPr>
        <w:jc w:val="both"/>
        <w:ind w:right="380"/>
        <w:spacing w:after="0" w:line="259" w:lineRule="auto"/>
        <w:rPr>
          <w:sz w:val="20"/>
          <w:szCs w:val="20"/>
          <w:color w:val="auto"/>
        </w:rPr>
      </w:pPr>
      <w:r>
        <w:rPr>
          <w:rFonts w:ascii="Arial" w:cs="Arial" w:eastAsia="Arial" w:hAnsi="Arial"/>
          <w:sz w:val="20"/>
          <w:szCs w:val="20"/>
          <w:color w:val="auto"/>
        </w:rPr>
        <w:t>from global exchanges, decentralized wallet providers and financial institutions seeking compliant access to next-generation payment solutions. The positive regulatory trajectory in the U.S. for stablecoins, including progress on key legislation like the STABLE Act, combined with major financial and technology companies preparing to enter the space, validates our strategic direction and the timing of our cooperation with DTR as digital payments continue to evolve rapidly."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2025 Key Performance Indicators:</w:t>
      </w:r>
    </w:p>
    <w:p>
      <w:pPr>
        <w:spacing w:after="0" w:line="3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Crypto enabled accounts grew to 6.8 million, up 7.9% year-over-year.</w:t>
      </w:r>
    </w:p>
    <w:p>
      <w:pPr>
        <w:spacing w:after="0" w:line="12" w:lineRule="exact"/>
        <w:rPr>
          <w:rFonts w:ascii="Times New Roman" w:cs="Times New Roman" w:eastAsia="Times New Roman" w:hAnsi="Times New Roman"/>
          <w:sz w:val="20"/>
          <w:szCs w:val="20"/>
          <w:color w:val="auto"/>
        </w:rPr>
      </w:pPr>
    </w:p>
    <w:p>
      <w:pPr>
        <w:ind w:left="660" w:right="540" w:hanging="328"/>
        <w:spacing w:after="0" w:line="246"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transacting accounts remained relatively flat year-over-year and declined 20.1% sequentially to approximately 777,349, driven by reduced broader market activity.</w:t>
      </w:r>
    </w:p>
    <w:p>
      <w:pPr>
        <w:ind w:left="660" w:right="440" w:hanging="328"/>
        <w:spacing w:after="0" w:line="248"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Notional traded volume, comprised of total crypto trading and loyalty redemption, increased 16.6% year-over-year to $1,213.0 million for the quarter, driven by stronger crypto market activity and increased prices and down 39.1% sequentially due to the reduced broader market activity.</w:t>
      </w:r>
    </w:p>
    <w:p>
      <w:pPr>
        <w:spacing w:after="0" w:line="1" w:lineRule="exact"/>
        <w:rPr>
          <w:rFonts w:ascii="Times New Roman" w:cs="Times New Roman" w:eastAsia="Times New Roman" w:hAnsi="Times New Roman"/>
          <w:sz w:val="20"/>
          <w:szCs w:val="20"/>
          <w:color w:val="auto"/>
        </w:rPr>
      </w:pPr>
    </w:p>
    <w:p>
      <w:pPr>
        <w:ind w:left="660" w:right="580" w:hanging="328"/>
        <w:spacing w:after="0" w:line="252"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Assets under custody increased 52.5% year-over-year to $1,872.6 million, primarily due to higher trading prices for crypto assets and declined 18.7% sequentially due to lower crypto prices from the fourth quarter 2024.</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 Quarter 2025 Financial Highlights (unaudited):</w:t>
      </w:r>
    </w:p>
    <w:p>
      <w:pPr>
        <w:spacing w:after="0" w:line="20" w:lineRule="exact"/>
        <w:rPr>
          <w:sz w:val="20"/>
          <w:szCs w:val="20"/>
          <w:color w:val="auto"/>
        </w:rPr>
      </w:pPr>
    </w:p>
    <w:p>
      <w:pPr>
        <w:ind w:left="660" w:right="340" w:hanging="328"/>
        <w:spacing w:after="0" w:line="247"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revenues of $1,074.9 million for the quarter reflect a 25.8% increase year-over-year in gross crypto services revenues driven by Bakkt Crypto and the overall increase in broader market activity and a decrease of 40.2% sequentially due to the reduced broader market activity. Net loyalty revenues of $9.2 million for the quarter decreased 30.3% year-over-year and 17.1% sequentially, driven by reduced volume-based services revenue and transaction volume and the exit of a loyalty client in 2024.</w:t>
      </w:r>
    </w:p>
    <w:p>
      <w:pPr>
        <w:spacing w:after="0" w:line="3" w:lineRule="exact"/>
        <w:rPr>
          <w:rFonts w:ascii="Times New Roman" w:cs="Times New Roman" w:eastAsia="Times New Roman" w:hAnsi="Times New Roman"/>
          <w:sz w:val="20"/>
          <w:szCs w:val="20"/>
          <w:color w:val="auto"/>
        </w:rPr>
      </w:pPr>
    </w:p>
    <w:p>
      <w:pPr>
        <w:ind w:left="660" w:right="40" w:hanging="328"/>
        <w:spacing w:after="0" w:line="248"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Total operating expenses of $1,093.4 million for the quarter, up 23.3% year-over-year driven by an increase in crypto costs and execution, clearing and brokerage fees (“ECB”) driven by higher trading volume, and down 39.6% sequentially due to the reduced broader market activity from the surge post-election.</w:t>
      </w:r>
    </w:p>
    <w:p>
      <w:pPr>
        <w:spacing w:after="0" w:line="1" w:lineRule="exact"/>
        <w:rPr>
          <w:rFonts w:ascii="Times New Roman" w:cs="Times New Roman" w:eastAsia="Times New Roman" w:hAnsi="Times New Roman"/>
          <w:sz w:val="20"/>
          <w:szCs w:val="20"/>
          <w:color w:val="auto"/>
        </w:rPr>
      </w:pPr>
    </w:p>
    <w:p>
      <w:pPr>
        <w:ind w:left="660" w:right="160" w:hanging="328"/>
        <w:spacing w:after="0" w:line="246"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Total operating expenses excluding crypto costs and ECB decreased year-over-year 36.3% to $31.1 million for the quarter, driven by reductions in Selling, General and Administrative expenses (“SG&amp;A”) and compensation and benefits expenses resulting from our restructuring actions in 2024 and increased sequentially 5.4% due to a shift from cash bonuses to stock-based compensation and a non-recurring $4.0 million cash bonus accrual reversal.</w:t>
      </w:r>
    </w:p>
    <w:p>
      <w:pPr>
        <w:spacing w:after="0" w:line="1" w:lineRule="exact"/>
        <w:rPr>
          <w:rFonts w:ascii="Times New Roman" w:cs="Times New Roman" w:eastAsia="Times New Roman" w:hAnsi="Times New Roman"/>
          <w:sz w:val="20"/>
          <w:szCs w:val="20"/>
          <w:color w:val="auto"/>
        </w:rPr>
      </w:pPr>
    </w:p>
    <w:p>
      <w:pPr>
        <w:ind w:left="660" w:right="20" w:hanging="328"/>
        <w:spacing w:after="0" w:line="248"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Operating loss improved year-over-year 41.8% to $18.5 million for the quarter due to the reduction in operating expenses (outside of ECB) driven from the reduction in SG&amp;A and compensation and benefits expenses resulting from our restructuring actions in 2024 and increased 42.0% sequentially due to lower net loyalty and crypto revenues.</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Net income (loss) improved 176.5% year-over-year and 140.4% sequentially from a loss of $21.3 million to a profit of</w:t>
      </w:r>
    </w:p>
    <w:p>
      <w:pPr>
        <w:spacing w:after="0" w:line="12" w:lineRule="exact"/>
        <w:rPr>
          <w:rFonts w:ascii="Times New Roman" w:cs="Times New Roman" w:eastAsia="Times New Roman" w:hAnsi="Times New Roman"/>
          <w:sz w:val="20"/>
          <w:szCs w:val="20"/>
          <w:color w:val="auto"/>
        </w:rPr>
      </w:pPr>
    </w:p>
    <w:p>
      <w:pPr>
        <w:ind w:left="660"/>
        <w:spacing w:after="0" w:line="246" w:lineRule="auto"/>
        <w:rPr>
          <w:rFonts w:ascii="Times New Roman" w:cs="Times New Roman" w:eastAsia="Times New Roman" w:hAnsi="Times New Roman"/>
          <w:sz w:val="20"/>
          <w:szCs w:val="20"/>
          <w:color w:val="auto"/>
        </w:rPr>
      </w:pPr>
      <w:r>
        <w:rPr>
          <w:rFonts w:ascii="Arial" w:cs="Arial" w:eastAsia="Arial" w:hAnsi="Arial"/>
          <w:sz w:val="20"/>
          <w:szCs w:val="20"/>
          <w:color w:val="auto"/>
        </w:rPr>
        <w:t>$16.2 million for the quarter driven by the reduction in operating expenses (outside of ECB) and the recognized gain from the fair value of warrant liability recognized in the first quarter of 2025.</w:t>
      </w:r>
    </w:p>
    <w:p>
      <w:pPr>
        <w:spacing w:after="0" w:line="1" w:lineRule="exact"/>
        <w:rPr>
          <w:rFonts w:ascii="Times New Roman" w:cs="Times New Roman" w:eastAsia="Times New Roman" w:hAnsi="Times New Roman"/>
          <w:sz w:val="20"/>
          <w:szCs w:val="20"/>
          <w:color w:val="auto"/>
        </w:rPr>
      </w:pPr>
    </w:p>
    <w:p>
      <w:pPr>
        <w:ind w:left="660" w:right="280" w:hanging="328"/>
        <w:spacing w:after="0" w:line="252"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loss (non-GAAP) improved year-over-year 11.0% to $14.5 million for the quarter primarily due to the overall decrease in SG&amp;A and compensation and benefits expenses and decreased 126.6% sequentially due to the change in fair value of warrant liability.</w:t>
      </w:r>
    </w:p>
    <w:p>
      <w:pPr>
        <w:sectPr>
          <w:pgSz w:w="11900" w:h="16838" w:orient="portrait"/>
          <w:cols w:equalWidth="0" w:num="1">
            <w:col w:w="11240"/>
          </w:cols>
          <w:pgMar w:left="320" w:top="141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9"/>
          <w:szCs w:val="19"/>
          <w:b w:val="1"/>
          <w:bCs w:val="1"/>
          <w:color w:val="auto"/>
        </w:rPr>
        <w:t>First Quarter 2025 Condensed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201930</wp:posOffset>
            </wp:positionV>
            <wp:extent cx="6866255"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66255" cy="31686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 in millions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revenues</w:t>
      </w:r>
      <w:r>
        <w:rPr>
          <w:rFonts w:ascii="Arial" w:cs="Arial" w:eastAsia="Arial" w:hAnsi="Arial"/>
          <w:sz w:val="23"/>
          <w:szCs w:val="23"/>
          <w:color w:val="auto"/>
          <w:vertAlign w:val="superscript"/>
        </w:rPr>
        <w:t>1</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Crypto costs and execution, clearing and brokerage fees</w:t>
      </w:r>
    </w:p>
    <w:p>
      <w:pPr>
        <w:spacing w:after="0" w:line="25" w:lineRule="exact"/>
        <w:rPr>
          <w:sz w:val="20"/>
          <w:szCs w:val="20"/>
          <w:color w:val="auto"/>
        </w:rPr>
      </w:pPr>
    </w:p>
    <w:p>
      <w:pPr>
        <w:ind w:left="380" w:firstLine="9"/>
        <w:spacing w:after="0" w:line="287" w:lineRule="auto"/>
        <w:rPr>
          <w:sz w:val="20"/>
          <w:szCs w:val="20"/>
          <w:color w:val="auto"/>
        </w:rPr>
      </w:pPr>
      <w:r>
        <w:rPr>
          <w:rFonts w:ascii="Arial" w:cs="Arial" w:eastAsia="Arial" w:hAnsi="Arial"/>
          <w:sz w:val="18"/>
          <w:szCs w:val="18"/>
          <w:color w:val="auto"/>
        </w:rPr>
        <w:t>Operating expenses, excluding crypto costs and execution, clearing and brokerage fees</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operating expenses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loss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income/ (loss)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Adjusted EBITDA loss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17780</wp:posOffset>
            </wp:positionV>
            <wp:extent cx="67976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FFFFFF"/>
              </w:rPr>
              <w:t>1Q25</w:t>
            </w: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FFFFFF"/>
              </w:rPr>
              <w:t>1Q24</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FFFFFF"/>
              </w:rPr>
              <w:t>Increase/</w:t>
            </w:r>
          </w:p>
        </w:tc>
        <w:tc>
          <w:tcPr>
            <w:tcW w:w="0" w:type="dxa"/>
            <w:vAlign w:val="bottom"/>
          </w:tcPr>
          <w:p>
            <w:pPr>
              <w:spacing w:after="0"/>
              <w:rPr>
                <w:sz w:val="1"/>
                <w:szCs w:val="1"/>
                <w:color w:val="auto"/>
              </w:rPr>
            </w:pPr>
          </w:p>
        </w:tc>
      </w:tr>
      <w:tr>
        <w:trPr>
          <w:trHeight w:val="139"/>
        </w:trPr>
        <w:tc>
          <w:tcPr>
            <w:tcW w:w="182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FFFFFF"/>
              </w:rPr>
              <w:t>(decrease)</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1820" w:type="dxa"/>
            <w:vAlign w:val="bottom"/>
          </w:tcPr>
          <w:p>
            <w:pPr>
              <w:jc w:val="right"/>
              <w:ind w:right="410"/>
              <w:spacing w:after="0"/>
              <w:rPr>
                <w:sz w:val="20"/>
                <w:szCs w:val="20"/>
                <w:color w:val="auto"/>
              </w:rPr>
            </w:pPr>
            <w:r>
              <w:rPr>
                <w:rFonts w:ascii="Arial" w:cs="Arial" w:eastAsia="Arial" w:hAnsi="Arial"/>
                <w:sz w:val="18"/>
                <w:szCs w:val="18"/>
                <w:color w:val="auto"/>
              </w:rPr>
              <w:t>$1,074.9</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$854.6</w:t>
            </w:r>
          </w:p>
        </w:tc>
        <w:tc>
          <w:tcPr>
            <w:tcW w:w="1160" w:type="dxa"/>
            <w:vAlign w:val="bottom"/>
          </w:tcPr>
          <w:p>
            <w:pPr>
              <w:jc w:val="right"/>
              <w:spacing w:after="0"/>
              <w:rPr>
                <w:sz w:val="20"/>
                <w:szCs w:val="20"/>
                <w:color w:val="auto"/>
              </w:rPr>
            </w:pPr>
            <w:r>
              <w:rPr>
                <w:rFonts w:ascii="Arial" w:cs="Arial" w:eastAsia="Arial" w:hAnsi="Arial"/>
                <w:sz w:val="18"/>
                <w:szCs w:val="18"/>
                <w:color w:val="auto"/>
              </w:rPr>
              <w:t>25.8%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820" w:type="dxa"/>
            <w:vAlign w:val="bottom"/>
          </w:tcPr>
          <w:p>
            <w:pPr>
              <w:jc w:val="right"/>
              <w:ind w:right="410"/>
              <w:spacing w:after="0"/>
              <w:rPr>
                <w:sz w:val="20"/>
                <w:szCs w:val="20"/>
                <w:color w:val="auto"/>
              </w:rPr>
            </w:pPr>
            <w:r>
              <w:rPr>
                <w:rFonts w:ascii="Arial" w:cs="Arial" w:eastAsia="Arial" w:hAnsi="Arial"/>
                <w:sz w:val="18"/>
                <w:szCs w:val="18"/>
                <w:color w:val="auto"/>
              </w:rPr>
              <w:t>1,062.3</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837.6</w:t>
            </w: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9"/>
        </w:trPr>
        <w:tc>
          <w:tcPr>
            <w:tcW w:w="1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31.1</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48.8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820" w:type="dxa"/>
            <w:vAlign w:val="bottom"/>
          </w:tcPr>
          <w:p>
            <w:pPr>
              <w:jc w:val="right"/>
              <w:ind w:right="410"/>
              <w:spacing w:after="0"/>
              <w:rPr>
                <w:sz w:val="20"/>
                <w:szCs w:val="20"/>
                <w:color w:val="auto"/>
              </w:rPr>
            </w:pPr>
            <w:r>
              <w:rPr>
                <w:rFonts w:ascii="Arial" w:cs="Arial" w:eastAsia="Arial" w:hAnsi="Arial"/>
                <w:sz w:val="18"/>
                <w:szCs w:val="18"/>
                <w:color w:val="auto"/>
              </w:rPr>
              <w:t>1,093.4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886.4</w:t>
            </w:r>
          </w:p>
        </w:tc>
        <w:tc>
          <w:tcPr>
            <w:tcW w:w="116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tcPr>
          <w:p>
            <w:pPr>
              <w:jc w:val="right"/>
              <w:ind w:right="410"/>
              <w:spacing w:after="0"/>
              <w:rPr>
                <w:sz w:val="20"/>
                <w:szCs w:val="20"/>
                <w:color w:val="auto"/>
              </w:rPr>
            </w:pPr>
            <w:r>
              <w:rPr>
                <w:rFonts w:ascii="Arial" w:cs="Arial" w:eastAsia="Arial" w:hAnsi="Arial"/>
                <w:sz w:val="18"/>
                <w:szCs w:val="18"/>
                <w:color w:val="auto"/>
              </w:rPr>
              <w:t>(18.5)</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(31.8)</w:t>
            </w:r>
          </w:p>
        </w:tc>
        <w:tc>
          <w:tcPr>
            <w:tcW w:w="1160" w:type="dxa"/>
            <w:vAlign w:val="bottom"/>
          </w:tcPr>
          <w:p>
            <w:pPr>
              <w:jc w:val="right"/>
              <w:spacing w:after="0"/>
              <w:rPr>
                <w:sz w:val="20"/>
                <w:szCs w:val="20"/>
                <w:color w:val="auto"/>
              </w:rPr>
            </w:pPr>
            <w:r>
              <w:rPr>
                <w:rFonts w:ascii="Arial" w:cs="Arial" w:eastAsia="Arial" w:hAnsi="Arial"/>
                <w:sz w:val="18"/>
                <w:szCs w:val="18"/>
                <w:color w:val="auto"/>
              </w:rPr>
              <w:t>(41.8%)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820" w:type="dxa"/>
            <w:vAlign w:val="bottom"/>
          </w:tcPr>
          <w:p>
            <w:pPr>
              <w:jc w:val="right"/>
              <w:ind w:right="410"/>
              <w:spacing w:after="0"/>
              <w:rPr>
                <w:sz w:val="20"/>
                <w:szCs w:val="20"/>
                <w:color w:val="auto"/>
              </w:rPr>
            </w:pPr>
            <w:r>
              <w:rPr>
                <w:rFonts w:ascii="Arial" w:cs="Arial" w:eastAsia="Arial" w:hAnsi="Arial"/>
                <w:sz w:val="18"/>
                <w:szCs w:val="18"/>
                <w:color w:val="auto"/>
              </w:rPr>
              <w:t>16.2</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(21.3)</w:t>
            </w:r>
          </w:p>
        </w:tc>
        <w:tc>
          <w:tcPr>
            <w:tcW w:w="1160" w:type="dxa"/>
            <w:vAlign w:val="bottom"/>
          </w:tcPr>
          <w:p>
            <w:pPr>
              <w:jc w:val="right"/>
              <w:spacing w:after="0"/>
              <w:rPr>
                <w:sz w:val="20"/>
                <w:szCs w:val="20"/>
                <w:color w:val="auto"/>
              </w:rPr>
            </w:pPr>
            <w:r>
              <w:rPr>
                <w:rFonts w:ascii="Arial" w:cs="Arial" w:eastAsia="Arial" w:hAnsi="Arial"/>
                <w:sz w:val="18"/>
                <w:szCs w:val="18"/>
                <w:color w:val="auto"/>
              </w:rPr>
              <w:t>(176.5%)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1820" w:type="dxa"/>
            <w:vAlign w:val="bottom"/>
          </w:tcPr>
          <w:p>
            <w:pPr>
              <w:jc w:val="right"/>
              <w:ind w:right="410"/>
              <w:spacing w:after="0"/>
              <w:rPr>
                <w:sz w:val="20"/>
                <w:szCs w:val="20"/>
                <w:color w:val="auto"/>
              </w:rPr>
            </w:pPr>
            <w:r>
              <w:rPr>
                <w:rFonts w:ascii="Arial" w:cs="Arial" w:eastAsia="Arial" w:hAnsi="Arial"/>
                <w:sz w:val="18"/>
                <w:szCs w:val="18"/>
                <w:b w:val="1"/>
                <w:bCs w:val="1"/>
                <w:color w:val="auto"/>
              </w:rPr>
              <w:t>($14.5)</w:t>
            </w: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($16.3)</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20" w:space="420"/>
            <w:col w:w="4680"/>
          </w:cols>
          <w:pgMar w:left="320" w:top="1412" w:right="359" w:bottom="1440" w:gutter="0" w:footer="0" w:header="0"/>
          <w:type w:val="continuous"/>
        </w:sectPr>
      </w:pPr>
    </w:p>
    <w:p>
      <w:pPr>
        <w:spacing w:after="0" w:line="143" w:lineRule="exact"/>
        <w:rPr>
          <w:sz w:val="20"/>
          <w:szCs w:val="20"/>
          <w:color w:val="auto"/>
        </w:rPr>
      </w:pPr>
    </w:p>
    <w:p>
      <w:pPr>
        <w:ind w:firstLine="8"/>
        <w:spacing w:after="0" w:line="305" w:lineRule="auto"/>
        <w:tabs>
          <w:tab w:leader="none" w:pos="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accordance with GAAP, crypto services revenue and crypto costs and execution, clearing and brokerage fees are presented on a gross basis as the Company is a principal in those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Operational Updates:</w:t>
      </w:r>
    </w:p>
    <w:p>
      <w:pPr>
        <w:spacing w:after="0" w:line="20"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DTR Cooperation Agreement:</w:t>
      </w:r>
    </w:p>
    <w:p>
      <w:pPr>
        <w:spacing w:after="0" w:line="12" w:lineRule="exact"/>
        <w:rPr>
          <w:sz w:val="20"/>
          <w:szCs w:val="20"/>
          <w:color w:val="auto"/>
        </w:rPr>
      </w:pPr>
    </w:p>
    <w:p>
      <w:pPr>
        <w:ind w:left="1300" w:right="40" w:hanging="320"/>
        <w:spacing w:after="0" w:line="248" w:lineRule="auto"/>
        <w:tabs>
          <w:tab w:leader="none" w:pos="1300" w:val="left"/>
        </w:tabs>
        <w:numPr>
          <w:ilvl w:val="0"/>
          <w:numId w:val="7"/>
        </w:numPr>
        <w:rPr>
          <w:rFonts w:ascii="Courier New" w:cs="Courier New" w:eastAsia="Courier New" w:hAnsi="Courier New"/>
          <w:sz w:val="20"/>
          <w:szCs w:val="20"/>
          <w:color w:val="auto"/>
        </w:rPr>
      </w:pPr>
      <w:r>
        <w:rPr>
          <w:rFonts w:ascii="Arial" w:cs="Arial" w:eastAsia="Arial" w:hAnsi="Arial"/>
          <w:sz w:val="20"/>
          <w:szCs w:val="20"/>
          <w:color w:val="auto"/>
        </w:rPr>
        <w:t>In March 2025, Bakkt entered into a cooperation agreement with Distributed Technologies Research (DTR), which announced a planned collaboration with DTR intended to provide Bakkt with access to and stablecoin payment infrastructure. Under this agreement, and a commercial agreement presently being negotiated, DTR will provide Bakkt with proprietary payment processing technology, advanced APIs, DTR's advanced AI, and infrastructure to be integrated into Bakkt's platform, enabling global transfers and settlement services across all jurisdictions where Bakkt or its affiliates operate.</w:t>
      </w:r>
    </w:p>
    <w:p>
      <w:pPr>
        <w:ind w:left="1300" w:hanging="320"/>
        <w:spacing w:after="0" w:line="245" w:lineRule="auto"/>
        <w:tabs>
          <w:tab w:leader="none" w:pos="1300" w:val="left"/>
        </w:tabs>
        <w:numPr>
          <w:ilvl w:val="0"/>
          <w:numId w:val="7"/>
        </w:numPr>
        <w:rPr>
          <w:rFonts w:ascii="Courier New" w:cs="Courier New" w:eastAsia="Courier New" w:hAnsi="Courier New"/>
          <w:sz w:val="20"/>
          <w:szCs w:val="20"/>
          <w:color w:val="auto"/>
        </w:rPr>
      </w:pPr>
      <w:r>
        <w:rPr>
          <w:rFonts w:ascii="Arial" w:cs="Arial" w:eastAsia="Arial" w:hAnsi="Arial"/>
          <w:sz w:val="20"/>
          <w:szCs w:val="20"/>
          <w:color w:val="auto"/>
        </w:rPr>
        <w:t>The commercial agreement is expected to be signed in by Q3 2025 and will formalize specific terms, revenue structures, and implementation timelines and is also expected to bring several potential new products for customers, including a merchant checkout widget and white-label AI-powered plugin for global money movement. Bakkt has already initiated preliminary integration processes, working to combine its regulated crypto trading platform with DTR's innovative stablecoin infrastructure and AI capabilities, as Bakkt positions itself to gain substantial market share in the expanding stablecoin payments ecosystem. However, there is no guarantee that the commercial agreement or planned integration with DTR will be executed on terms favorable to Bakkt, if at all, or on the expected timeline.</w:t>
      </w:r>
    </w:p>
    <w:p>
      <w:pPr>
        <w:spacing w:after="0" w:line="7" w:lineRule="exact"/>
        <w:rPr>
          <w:rFonts w:ascii="Courier New" w:cs="Courier New" w:eastAsia="Courier New" w:hAnsi="Courier New"/>
          <w:sz w:val="20"/>
          <w:szCs w:val="20"/>
          <w:color w:val="auto"/>
        </w:rPr>
      </w:pPr>
    </w:p>
    <w:p>
      <w:pPr>
        <w:ind w:left="1300" w:hanging="320"/>
        <w:spacing w:after="0" w:line="251" w:lineRule="auto"/>
        <w:tabs>
          <w:tab w:leader="none" w:pos="1300" w:val="left"/>
        </w:tabs>
        <w:numPr>
          <w:ilvl w:val="0"/>
          <w:numId w:val="7"/>
        </w:numPr>
        <w:rPr>
          <w:rFonts w:ascii="Courier New" w:cs="Courier New" w:eastAsia="Courier New" w:hAnsi="Courier New"/>
          <w:sz w:val="20"/>
          <w:szCs w:val="20"/>
          <w:color w:val="auto"/>
        </w:rPr>
      </w:pPr>
      <w:r>
        <w:rPr>
          <w:rFonts w:ascii="Arial" w:cs="Arial" w:eastAsia="Arial" w:hAnsi="Arial"/>
          <w:sz w:val="20"/>
          <w:szCs w:val="20"/>
          <w:color w:val="auto"/>
        </w:rPr>
        <w:t>As part of this effort, both companies are conducting a thorough operational assessment to identify synergies and optimization opportunities. The comprehensive review encompasses technology integration pathways, market expansion strategies, and resource allocation to maximize the partnership's effectiveness. As a result, the Company is suspending its practice of providing quarterly guidance until further notice.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20"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 xml:space="preserve">Bakkt will host a conference call at 5:00 PM ET, May 12, 2025. The earnings conference call will be webcast live </w:t>
      </w:r>
      <w:r>
        <w:rPr>
          <w:rFonts w:ascii="Arial" w:cs="Arial" w:eastAsia="Arial" w:hAnsi="Arial"/>
          <w:sz w:val="20"/>
          <w:szCs w:val="20"/>
          <w:u w:val="single" w:color="auto"/>
          <w:color w:val="467886"/>
        </w:rPr>
        <w:t>here</w:t>
      </w:r>
      <w:r>
        <w:rPr>
          <w:rFonts w:ascii="Arial" w:cs="Arial" w:eastAsia="Arial" w:hAnsi="Arial"/>
          <w:sz w:val="20"/>
          <w:szCs w:val="20"/>
          <w:color w:val="auto"/>
        </w:rPr>
        <w:t xml:space="preserve"> and archived on the investor relations section of Bakkt’s corporate website under the ‘Events &amp; Presentations’ section, along with any related earnings materials.</w:t>
      </w:r>
    </w:p>
    <w:p>
      <w:pPr>
        <w:sectPr>
          <w:pgSz w:w="11900" w:h="16838" w:orient="portrait"/>
          <w:cols w:equalWidth="0" w:num="1">
            <w:col w:w="11220"/>
          </w:cols>
          <w:pgMar w:left="320" w:top="1412" w:right="359" w:bottom="1440" w:gutter="0" w:footer="0" w:header="0"/>
          <w:type w:val="continuous"/>
        </w:sectPr>
      </w:pPr>
    </w:p>
    <w:bookmarkStart w:id="6" w:name="page7"/>
    <w:bookmarkEnd w:id="6"/>
    <w:p>
      <w:pPr>
        <w:spacing w:after="0" w:line="255" w:lineRule="auto"/>
        <w:rPr>
          <w:sz w:val="20"/>
          <w:szCs w:val="20"/>
          <w:color w:val="auto"/>
        </w:rPr>
      </w:pPr>
      <w:r>
        <w:rPr>
          <w:rFonts w:ascii="Arial" w:cs="Arial" w:eastAsia="Arial" w:hAnsi="Arial"/>
          <w:sz w:val="20"/>
          <w:szCs w:val="20"/>
          <w:color w:val="auto"/>
        </w:rPr>
        <w:t>Investors and analysts interested in participating in the call are invited to dial (833) 470-1428 or (404) 975-4839, and reference participant access code 550946 approximately ten minutes prior to the start of the call.</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Bakkt</w:t>
      </w:r>
    </w:p>
    <w:p>
      <w:pPr>
        <w:jc w:val="both"/>
        <w:ind w:right="220"/>
        <w:spacing w:after="0" w:line="293" w:lineRule="auto"/>
        <w:rPr>
          <w:sz w:val="20"/>
          <w:szCs w:val="20"/>
          <w:color w:val="auto"/>
        </w:rPr>
      </w:pPr>
      <w:r>
        <w:rPr>
          <w:rFonts w:ascii="Arial" w:cs="Arial" w:eastAsia="Arial" w:hAnsi="Arial"/>
          <w:sz w:val="19"/>
          <w:szCs w:val="19"/>
          <w:color w:val="auto"/>
        </w:rPr>
        <w:t>Founded in 2018, Bakkt builds solutions that enable our clients to grow with the crypto economy. Through institutional-grade trading and onramp capabilities, our clients leverage technology that’s built for sustainable, long-term involvement in crypto.</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Bakkt is headquartered in Alpharetta, GA. For more information, visit: </w:t>
      </w:r>
      <w:r>
        <w:rPr>
          <w:rFonts w:ascii="Arial" w:cs="Arial" w:eastAsia="Arial" w:hAnsi="Arial"/>
          <w:sz w:val="20"/>
          <w:szCs w:val="20"/>
          <w:u w:val="single" w:color="auto"/>
          <w:color w:val="467886"/>
        </w:rPr>
        <w:t>https://www.bakkt.com/</w:t>
      </w:r>
      <w:r>
        <w:rPr>
          <w:rFonts w:ascii="Arial" w:cs="Arial" w:eastAsia="Arial" w:hAnsi="Arial"/>
          <w:sz w:val="20"/>
          <w:szCs w:val="20"/>
          <w:color w:val="auto"/>
        </w:rPr>
        <w:t xml:space="preserve"> |</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X - </w:t>
      </w:r>
      <w:r>
        <w:rPr>
          <w:rFonts w:ascii="Arial" w:cs="Arial" w:eastAsia="Arial" w:hAnsi="Arial"/>
          <w:sz w:val="20"/>
          <w:szCs w:val="20"/>
          <w:u w:val="single" w:color="auto"/>
          <w:color w:val="467886"/>
        </w:rPr>
        <w:t>@Bakkt</w:t>
      </w:r>
      <w:r>
        <w:rPr>
          <w:rFonts w:ascii="Arial" w:cs="Arial" w:eastAsia="Arial" w:hAnsi="Arial"/>
          <w:sz w:val="20"/>
          <w:szCs w:val="20"/>
          <w:color w:val="auto"/>
        </w:rPr>
        <w:t xml:space="preserve"> | </w:t>
      </w:r>
      <w:r>
        <w:rPr>
          <w:rFonts w:ascii="Arial" w:cs="Arial" w:eastAsia="Arial" w:hAnsi="Arial"/>
          <w:sz w:val="20"/>
          <w:szCs w:val="20"/>
          <w:u w:val="single" w:color="auto"/>
          <w:color w:val="467886"/>
        </w:rPr>
        <w:t>LinkedIn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Bakkt-E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Source: Bakkt Holdings, Inc.</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467886"/>
        </w:rPr>
        <w:t>IR@bakkt.com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467886"/>
        </w:rPr>
        <w:t>bakkt@forefrontcomms.com</w:t>
      </w:r>
    </w:p>
    <w:p>
      <w:pPr>
        <w:sectPr>
          <w:pgSz w:w="11900" w:h="16838" w:orient="portrait"/>
          <w:cols w:equalWidth="0" w:num="1">
            <w:col w:w="11060"/>
          </w:cols>
          <w:pgMar w:left="320" w:top="1414" w:right="51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Note on Forward-Looking Statements</w:t>
      </w:r>
    </w:p>
    <w:p>
      <w:pPr>
        <w:spacing w:after="0" w:line="33"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Such statements include, but are not limited to, Bakkt’s guidance and outlook and the trends and assumptions underlying such guidance and outlook, statements regarding the cooperation agreement, proposed commercial agreement, including whether such agreement or the related integration will be executed on terms favorable to Bakkt, if at all, or be completed on the expected timeline, and proposed integration between Bakkt and DTR and the expected benefits therefrom, including the expected integration of certain DTR infrastructure, Bakkt’s plans to offer products and services to an international market, statements regarding Bakkt’s and DTR’s expected potential future functionality, including regarding cryptocurrency, AI, and digital stablecoin payment solutions and related product offerings and the expected benefits therefrom, Bakkt’s strategic evaluation of alternatives for its Loyalty business, Bakkt’s aims to become more crypto and payment solution focused,, Bakkt’s plans and expectations, including statements about new products and features, partnerships, joint ventures and growth, Bakkt’s expectations regarding crypto and stablecoin market growth, including from the recent positive macro sentiment and Bakkt serving as an industry leader, the regulatory environment for crypto currencies and digital stablecoin payments, and Bakkt’s beliefs regarding its ability to deliver value to its clients and shareholders, Bakkt’s plans to provide quarterly guidance going forward,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as a result of the following factors, among others: the conditions and events that raised substantial doubt about the Company’s ability to continue as a going concern; the Company’s ability to grow and manage growth profitably; the possibility that the Company may be unable to obtain the applicable regulatory approvals to execute on the cooperation agreement with DTR; changes in the Company’s business strategy; the Company’s future capital requirements and sources and uses of cash, including funds to satisfy its liquidity needs and continued access to the ICE line of credit;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w:t>
      </w:r>
    </w:p>
    <w:p>
      <w:pPr>
        <w:sectPr>
          <w:pgSz w:w="11900" w:h="16838" w:orient="portrait"/>
          <w:cols w:equalWidth="0" w:num="1">
            <w:col w:w="11220"/>
          </w:cols>
          <w:pgMar w:left="320" w:top="1412" w:right="359" w:bottom="1440" w:gutter="0" w:footer="0" w:header="0"/>
        </w:sectPr>
      </w:pPr>
    </w:p>
    <w:bookmarkStart w:id="8" w:name="page9"/>
    <w:bookmarkEnd w:id="8"/>
    <w:p>
      <w:pPr>
        <w:spacing w:after="0" w:line="254" w:lineRule="auto"/>
        <w:rPr>
          <w:sz w:val="20"/>
          <w:szCs w:val="20"/>
          <w:color w:val="auto"/>
        </w:rPr>
      </w:pPr>
      <w:r>
        <w:rPr>
          <w:rFonts w:ascii="Arial" w:cs="Arial" w:eastAsia="Arial" w:hAnsi="Arial"/>
          <w:sz w:val="20"/>
          <w:szCs w:val="20"/>
          <w:color w:val="auto"/>
        </w:rPr>
        <w:t>indicated in the Company’s filings with the Securities and Exchange Commission, including its most recent Annual Report on Form 10-K.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20" w:lineRule="exact"/>
        <w:rPr>
          <w:sz w:val="20"/>
          <w:szCs w:val="20"/>
          <w:color w:val="auto"/>
        </w:rPr>
      </w:pPr>
    </w:p>
    <w:p>
      <w:pPr>
        <w:ind w:left="320" w:hanging="231"/>
        <w:spacing w:after="0"/>
        <w:tabs>
          <w:tab w:leader="none" w:pos="3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Crypto-enabled accounts</w:t>
      </w:r>
      <w:r>
        <w:rPr>
          <w:rFonts w:ascii="Arial" w:cs="Arial" w:eastAsia="Arial" w:hAnsi="Arial"/>
          <w:sz w:val="20"/>
          <w:szCs w:val="20"/>
          <w:color w:val="auto"/>
        </w:rPr>
        <w:t>: total crypto accounts open.</w:t>
      </w:r>
    </w:p>
    <w:p>
      <w:pPr>
        <w:spacing w:after="0" w:line="12" w:lineRule="exact"/>
        <w:rPr>
          <w:rFonts w:ascii="Times New Roman" w:cs="Times New Roman" w:eastAsia="Times New Roman" w:hAnsi="Times New Roman"/>
          <w:sz w:val="20"/>
          <w:szCs w:val="20"/>
          <w:color w:val="auto"/>
        </w:rPr>
      </w:pPr>
    </w:p>
    <w:p>
      <w:pPr>
        <w:ind w:left="340" w:right="260" w:hanging="251"/>
        <w:spacing w:after="0" w:line="259" w:lineRule="auto"/>
        <w:tabs>
          <w:tab w:leader="none" w:pos="328" w:val="left"/>
        </w:tabs>
        <w:numPr>
          <w:ilvl w:val="0"/>
          <w:numId w:val="8"/>
        </w:numPr>
        <w:rPr>
          <w:rFonts w:ascii="Times New Roman" w:cs="Times New Roman" w:eastAsia="Times New Roman" w:hAnsi="Times New Roman"/>
          <w:sz w:val="19"/>
          <w:szCs w:val="19"/>
          <w:color w:val="auto"/>
        </w:rPr>
      </w:pPr>
      <w:r>
        <w:rPr>
          <w:rFonts w:ascii="Arial" w:cs="Arial" w:eastAsia="Arial" w:hAnsi="Arial"/>
          <w:sz w:val="19"/>
          <w:szCs w:val="19"/>
          <w:u w:val="single" w:color="auto"/>
          <w:color w:val="auto"/>
        </w:rPr>
        <w:t>Transacting accounts</w:t>
      </w:r>
      <w:r>
        <w:rPr>
          <w:rFonts w:ascii="Arial" w:cs="Arial" w:eastAsia="Arial" w:hAnsi="Arial"/>
          <w:sz w:val="19"/>
          <w:szCs w:val="19"/>
          <w:color w:val="auto"/>
        </w:rPr>
        <w:t>: unique accounts that perform at least one transaction across crypto buy/sell and loyalty redemption each month. Monthly figures are de-duped for the month. Quarterly figure represents sum of all months in the quarter.</w:t>
      </w:r>
    </w:p>
    <w:p>
      <w:pPr>
        <w:ind w:left="340" w:right="820" w:hanging="251"/>
        <w:spacing w:after="0" w:line="246" w:lineRule="auto"/>
        <w:tabs>
          <w:tab w:leader="none" w:pos="328"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Notional traded volume</w:t>
      </w:r>
      <w:r>
        <w:rPr>
          <w:rFonts w:ascii="Arial" w:cs="Arial" w:eastAsia="Arial" w:hAnsi="Arial"/>
          <w:sz w:val="20"/>
          <w:szCs w:val="20"/>
          <w:color w:val="auto"/>
        </w:rPr>
        <w:t>: total notional volume of transactions across crypto buy/sell and loyalty redemption. Figures represent gross values recorded as of order date.</w:t>
      </w:r>
    </w:p>
    <w:p>
      <w:pPr>
        <w:ind w:left="340" w:right="20" w:hanging="251"/>
        <w:spacing w:after="0" w:line="266" w:lineRule="auto"/>
        <w:tabs>
          <w:tab w:leader="none" w:pos="328"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Assets under custody</w:t>
      </w:r>
      <w:r>
        <w:rPr>
          <w:rFonts w:ascii="Arial" w:cs="Arial" w:eastAsia="Arial" w:hAnsi="Arial"/>
          <w:sz w:val="20"/>
          <w:szCs w:val="20"/>
          <w:color w:val="auto"/>
        </w:rPr>
        <w:t>: the sum of coin quantities held by customers multiplied by the final quote for each coin on the last day of the quarter.</w:t>
      </w:r>
    </w:p>
    <w:p>
      <w:pPr>
        <w:sectPr>
          <w:pgSz w:w="11900" w:h="16838" w:orient="portrait"/>
          <w:cols w:equalWidth="0" w:num="1">
            <w:col w:w="11220"/>
          </w:cols>
          <w:pgMar w:left="320" w:top="1414" w:right="359" w:bottom="1440" w:gutter="0" w:footer="0" w:header="0"/>
        </w:sectPr>
      </w:pPr>
    </w:p>
    <w:bookmarkStart w:id="9" w:name="page10"/>
    <w:bookmarkEnd w:id="9"/>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u w:val="single" w:color="auto"/>
          <w:color w:val="auto"/>
        </w:rPr>
        <w:t>Bakkt Q1 2025 Financial Statements</w:t>
      </w: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77227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sectPr>
          <w:pgSz w:w="11900" w:h="16838" w:orient="portrait"/>
          <w:cols w:equalWidth="0" w:num="1">
            <w:col w:w="10660"/>
          </w:cols>
          <w:pgMar w:left="580" w:top="1440" w:right="659" w:bottom="1440" w:gutter="0" w:footer="0" w:header="0"/>
        </w:sectPr>
      </w:pPr>
    </w:p>
    <w:p>
      <w:pPr>
        <w:spacing w:after="0" w:line="225" w:lineRule="exact"/>
        <w:rPr>
          <w:sz w:val="20"/>
          <w:szCs w:val="20"/>
          <w:color w:val="auto"/>
        </w:rPr>
      </w:pPr>
    </w:p>
    <w:p>
      <w:pPr>
        <w:ind w:right="3520" w:firstLine="59"/>
        <w:spacing w:after="0" w:line="286" w:lineRule="auto"/>
        <w:tabs>
          <w:tab w:leader="none" w:pos="185" w:val="left"/>
        </w:tabs>
        <w:numPr>
          <w:ilvl w:val="0"/>
          <w:numId w:val="9"/>
        </w:numPr>
        <w:rPr>
          <w:rFonts w:ascii="Arial" w:cs="Arial" w:eastAsia="Arial" w:hAnsi="Arial"/>
          <w:sz w:val="16"/>
          <w:szCs w:val="16"/>
          <w:b w:val="1"/>
          <w:bCs w:val="1"/>
          <w:color w:val="FFFFFF"/>
        </w:rPr>
      </w:pPr>
      <w:r>
        <w:rPr>
          <w:rFonts w:ascii="Arial" w:cs="Arial" w:eastAsia="Arial" w:hAnsi="Arial"/>
          <w:sz w:val="16"/>
          <w:szCs w:val="16"/>
          <w:b w:val="1"/>
          <w:bCs w:val="1"/>
          <w:color w:val="FFFFFF"/>
        </w:rPr>
        <w:t xml:space="preserve">in millions except per share data </w:t>
      </w:r>
      <w:r>
        <w:rPr>
          <w:rFonts w:ascii="Arial" w:cs="Arial" w:eastAsia="Arial" w:hAnsi="Arial"/>
          <w:sz w:val="16"/>
          <w:szCs w:val="16"/>
          <w:b w:val="1"/>
          <w:bCs w:val="1"/>
          <w:color w:val="000000"/>
        </w:rPr>
        <w:t>Assets</w:t>
      </w:r>
    </w:p>
    <w:p>
      <w:pPr>
        <w:spacing w:after="0"/>
        <w:rPr>
          <w:rFonts w:ascii="Arial" w:cs="Arial" w:eastAsia="Arial" w:hAnsi="Arial"/>
          <w:sz w:val="16"/>
          <w:szCs w:val="16"/>
          <w:b w:val="1"/>
          <w:bCs w:val="1"/>
          <w:color w:val="FFFFFF"/>
        </w:rPr>
      </w:pPr>
      <w:r>
        <w:rPr>
          <w:rFonts w:ascii="Arial" w:cs="Arial" w:eastAsia="Arial" w:hAnsi="Arial"/>
          <w:sz w:val="16"/>
          <w:szCs w:val="16"/>
          <w:color w:val="auto"/>
        </w:rPr>
        <w:t>Current assets</w:t>
      </w:r>
    </w:p>
    <w:p>
      <w:pPr>
        <w:spacing w:after="0" w:line="38" w:lineRule="exact"/>
        <w:rPr>
          <w:rFonts w:ascii="Arial" w:cs="Arial" w:eastAsia="Arial" w:hAnsi="Arial"/>
          <w:sz w:val="16"/>
          <w:szCs w:val="16"/>
          <w:b w:val="1"/>
          <w:bCs w:val="1"/>
          <w:color w:val="FFFFFF"/>
        </w:rPr>
      </w:pPr>
    </w:p>
    <w:p>
      <w:pPr>
        <w:ind w:left="200" w:right="4080"/>
        <w:spacing w:after="0" w:line="332" w:lineRule="auto"/>
        <w:rPr>
          <w:rFonts w:ascii="Arial" w:cs="Arial" w:eastAsia="Arial" w:hAnsi="Arial"/>
          <w:sz w:val="16"/>
          <w:szCs w:val="16"/>
          <w:b w:val="1"/>
          <w:bCs w:val="1"/>
          <w:color w:val="FFFFFF"/>
        </w:rPr>
      </w:pPr>
      <w:r>
        <w:rPr>
          <w:rFonts w:ascii="Arial" w:cs="Arial" w:eastAsia="Arial" w:hAnsi="Arial"/>
          <w:sz w:val="16"/>
          <w:szCs w:val="16"/>
          <w:color w:val="auto"/>
        </w:rPr>
        <w:t>Cash and cash equivalents Restricted cash Customer funds Accounts receivable, net Prepaid insurance</w:t>
      </w:r>
    </w:p>
    <w:p>
      <w:pPr>
        <w:spacing w:after="0" w:line="196" w:lineRule="exact"/>
        <w:rPr>
          <w:rFonts w:ascii="Arial" w:cs="Arial" w:eastAsia="Arial" w:hAnsi="Arial"/>
          <w:sz w:val="16"/>
          <w:szCs w:val="16"/>
          <w:b w:val="1"/>
          <w:bCs w:val="1"/>
          <w:color w:val="FFFFFF"/>
        </w:rPr>
      </w:pPr>
    </w:p>
    <w:p>
      <w:pPr>
        <w:ind w:left="200" w:right="3580"/>
        <w:spacing w:after="0" w:line="316" w:lineRule="auto"/>
        <w:rPr>
          <w:rFonts w:ascii="Arial" w:cs="Arial" w:eastAsia="Arial" w:hAnsi="Arial"/>
          <w:sz w:val="16"/>
          <w:szCs w:val="16"/>
          <w:b w:val="1"/>
          <w:bCs w:val="1"/>
          <w:color w:val="FFFFFF"/>
        </w:rPr>
      </w:pPr>
      <w:r>
        <w:rPr>
          <w:rFonts w:ascii="Arial" w:cs="Arial" w:eastAsia="Arial" w:hAnsi="Arial"/>
          <w:sz w:val="16"/>
          <w:szCs w:val="16"/>
          <w:color w:val="auto"/>
        </w:rPr>
        <w:t>Assets of businesses held for sale Other current assets</w:t>
      </w:r>
    </w:p>
    <w:p>
      <w:pPr>
        <w:spacing w:after="0" w:line="1" w:lineRule="exact"/>
        <w:rPr>
          <w:rFonts w:ascii="Arial" w:cs="Arial" w:eastAsia="Arial" w:hAnsi="Arial"/>
          <w:sz w:val="16"/>
          <w:szCs w:val="16"/>
          <w:b w:val="1"/>
          <w:bCs w:val="1"/>
          <w:color w:val="FFFFFF"/>
        </w:rPr>
      </w:pPr>
    </w:p>
    <w:p>
      <w:pPr>
        <w:ind w:left="200"/>
        <w:spacing w:after="0"/>
        <w:rPr>
          <w:rFonts w:ascii="Arial" w:cs="Arial" w:eastAsia="Arial" w:hAnsi="Arial"/>
          <w:sz w:val="16"/>
          <w:szCs w:val="16"/>
          <w:b w:val="1"/>
          <w:bCs w:val="1"/>
          <w:color w:val="FFFFFF"/>
        </w:rPr>
      </w:pPr>
      <w:r>
        <w:rPr>
          <w:rFonts w:ascii="Arial" w:cs="Arial" w:eastAsia="Arial" w:hAnsi="Arial"/>
          <w:sz w:val="16"/>
          <w:szCs w:val="16"/>
          <w:b w:val="1"/>
          <w:bCs w:val="1"/>
          <w:color w:val="auto"/>
        </w:rPr>
        <w:t>Total current assets</w:t>
      </w:r>
    </w:p>
    <w:p>
      <w:pPr>
        <w:spacing w:after="0" w:line="59" w:lineRule="exact"/>
        <w:rPr>
          <w:rFonts w:ascii="Arial" w:cs="Arial" w:eastAsia="Arial" w:hAnsi="Arial"/>
          <w:sz w:val="16"/>
          <w:szCs w:val="16"/>
          <w:b w:val="1"/>
          <w:bCs w:val="1"/>
          <w:color w:val="FFFFFF"/>
        </w:rPr>
      </w:pPr>
    </w:p>
    <w:p>
      <w:pPr>
        <w:ind w:right="3420" w:firstLine="54"/>
        <w:spacing w:after="0" w:line="290" w:lineRule="auto"/>
        <w:rPr>
          <w:rFonts w:ascii="Arial" w:cs="Arial" w:eastAsia="Arial" w:hAnsi="Arial"/>
          <w:sz w:val="16"/>
          <w:szCs w:val="16"/>
          <w:b w:val="1"/>
          <w:bCs w:val="1"/>
          <w:color w:val="FFFFFF"/>
        </w:rPr>
      </w:pPr>
      <w:r>
        <w:rPr>
          <w:rFonts w:ascii="Arial" w:cs="Arial" w:eastAsia="Arial" w:hAnsi="Arial"/>
          <w:sz w:val="16"/>
          <w:szCs w:val="16"/>
          <w:color w:val="auto"/>
        </w:rPr>
        <w:t>Property, equipment and software, net Goodwill</w:t>
      </w:r>
    </w:p>
    <w:p>
      <w:pPr>
        <w:ind w:right="4680"/>
        <w:spacing w:after="0" w:line="290" w:lineRule="auto"/>
        <w:rPr>
          <w:rFonts w:ascii="Arial" w:cs="Arial" w:eastAsia="Arial" w:hAnsi="Arial"/>
          <w:sz w:val="16"/>
          <w:szCs w:val="16"/>
          <w:b w:val="1"/>
          <w:bCs w:val="1"/>
          <w:color w:val="FFFFFF"/>
        </w:rPr>
      </w:pPr>
      <w:r>
        <w:rPr>
          <w:rFonts w:ascii="Arial" w:cs="Arial" w:eastAsia="Arial" w:hAnsi="Arial"/>
          <w:sz w:val="16"/>
          <w:szCs w:val="16"/>
          <w:color w:val="auto"/>
        </w:rPr>
        <w:t>Intangible assets, net Other assets</w:t>
      </w:r>
    </w:p>
    <w:p>
      <w:pPr>
        <w:spacing w:after="0"/>
        <w:rPr>
          <w:rFonts w:ascii="Arial" w:cs="Arial" w:eastAsia="Arial" w:hAnsi="Arial"/>
          <w:sz w:val="16"/>
          <w:szCs w:val="16"/>
          <w:b w:val="1"/>
          <w:bCs w:val="1"/>
          <w:color w:val="FFFFFF"/>
        </w:rPr>
      </w:pPr>
      <w:r>
        <w:rPr>
          <w:rFonts w:ascii="Arial" w:cs="Arial" w:eastAsia="Arial" w:hAnsi="Arial"/>
          <w:sz w:val="16"/>
          <w:szCs w:val="16"/>
          <w:b w:val="1"/>
          <w:bCs w:val="1"/>
          <w:color w:val="auto"/>
        </w:rPr>
        <w:t>Total assets</w:t>
      </w:r>
    </w:p>
    <w:p>
      <w:pPr>
        <w:spacing w:after="0" w:line="59" w:lineRule="exact"/>
        <w:rPr>
          <w:rFonts w:ascii="Arial" w:cs="Arial" w:eastAsia="Arial" w:hAnsi="Arial"/>
          <w:sz w:val="16"/>
          <w:szCs w:val="16"/>
          <w:b w:val="1"/>
          <w:bCs w:val="1"/>
          <w:color w:val="FFFFFF"/>
        </w:rPr>
      </w:pPr>
    </w:p>
    <w:p>
      <w:pPr>
        <w:ind w:right="3460" w:firstLine="54"/>
        <w:spacing w:after="0" w:line="299" w:lineRule="auto"/>
        <w:rPr>
          <w:rFonts w:ascii="Arial" w:cs="Arial" w:eastAsia="Arial" w:hAnsi="Arial"/>
          <w:sz w:val="16"/>
          <w:szCs w:val="16"/>
          <w:b w:val="1"/>
          <w:bCs w:val="1"/>
          <w:color w:val="FFFFFF"/>
        </w:rPr>
      </w:pPr>
      <w:r>
        <w:rPr>
          <w:rFonts w:ascii="Arial" w:cs="Arial" w:eastAsia="Arial" w:hAnsi="Arial"/>
          <w:sz w:val="16"/>
          <w:szCs w:val="16"/>
          <w:b w:val="1"/>
          <w:bCs w:val="1"/>
          <w:color w:val="auto"/>
        </w:rPr>
        <w:t xml:space="preserve">Liabilities and stockholders' equity </w:t>
      </w:r>
      <w:r>
        <w:rPr>
          <w:rFonts w:ascii="Arial" w:cs="Arial" w:eastAsia="Arial" w:hAnsi="Arial"/>
          <w:sz w:val="16"/>
          <w:szCs w:val="16"/>
          <w:color w:val="auto"/>
        </w:rPr>
        <w:t>Current liabilities</w:t>
      </w:r>
    </w:p>
    <w:p>
      <w:pPr>
        <w:ind w:left="200" w:right="3160"/>
        <w:spacing w:after="0" w:line="316" w:lineRule="auto"/>
        <w:rPr>
          <w:rFonts w:ascii="Arial" w:cs="Arial" w:eastAsia="Arial" w:hAnsi="Arial"/>
          <w:sz w:val="16"/>
          <w:szCs w:val="16"/>
          <w:b w:val="1"/>
          <w:bCs w:val="1"/>
          <w:color w:val="FFFFFF"/>
        </w:rPr>
      </w:pPr>
      <w:r>
        <w:rPr>
          <w:rFonts w:ascii="Arial" w:cs="Arial" w:eastAsia="Arial" w:hAnsi="Arial"/>
          <w:sz w:val="16"/>
          <w:szCs w:val="16"/>
          <w:color w:val="auto"/>
        </w:rPr>
        <w:t>Accounts payable and accrued liabilities Customer funds payable</w:t>
      </w:r>
    </w:p>
    <w:p>
      <w:pPr>
        <w:spacing w:after="0" w:line="1" w:lineRule="exact"/>
        <w:rPr>
          <w:rFonts w:ascii="Arial" w:cs="Arial" w:eastAsia="Arial" w:hAnsi="Arial"/>
          <w:sz w:val="16"/>
          <w:szCs w:val="16"/>
          <w:b w:val="1"/>
          <w:bCs w:val="1"/>
          <w:color w:val="FFFFFF"/>
        </w:rPr>
      </w:pPr>
    </w:p>
    <w:p>
      <w:pPr>
        <w:ind w:left="200" w:right="4180"/>
        <w:spacing w:after="0" w:line="316" w:lineRule="auto"/>
        <w:rPr>
          <w:rFonts w:ascii="Arial" w:cs="Arial" w:eastAsia="Arial" w:hAnsi="Arial"/>
          <w:sz w:val="16"/>
          <w:szCs w:val="16"/>
          <w:b w:val="1"/>
          <w:bCs w:val="1"/>
          <w:color w:val="FFFFFF"/>
        </w:rPr>
      </w:pPr>
      <w:r>
        <w:rPr>
          <w:rFonts w:ascii="Arial" w:cs="Arial" w:eastAsia="Arial" w:hAnsi="Arial"/>
          <w:sz w:val="16"/>
          <w:szCs w:val="16"/>
          <w:color w:val="auto"/>
        </w:rPr>
        <w:t>Deferred revenue, current Due to related party</w:t>
      </w:r>
    </w:p>
    <w:p>
      <w:pPr>
        <w:spacing w:after="0" w:line="1" w:lineRule="exact"/>
        <w:rPr>
          <w:rFonts w:ascii="Arial" w:cs="Arial" w:eastAsia="Arial" w:hAnsi="Arial"/>
          <w:sz w:val="16"/>
          <w:szCs w:val="16"/>
          <w:b w:val="1"/>
          <w:bCs w:val="1"/>
          <w:color w:val="FFFFFF"/>
        </w:rPr>
      </w:pPr>
    </w:p>
    <w:p>
      <w:pPr>
        <w:ind w:left="200" w:right="3400"/>
        <w:spacing w:after="0" w:line="316" w:lineRule="auto"/>
        <w:rPr>
          <w:rFonts w:ascii="Arial" w:cs="Arial" w:eastAsia="Arial" w:hAnsi="Arial"/>
          <w:sz w:val="16"/>
          <w:szCs w:val="16"/>
          <w:b w:val="1"/>
          <w:bCs w:val="1"/>
          <w:color w:val="FFFFFF"/>
        </w:rPr>
      </w:pPr>
      <w:r>
        <w:rPr>
          <w:rFonts w:ascii="Arial" w:cs="Arial" w:eastAsia="Arial" w:hAnsi="Arial"/>
          <w:sz w:val="16"/>
          <w:szCs w:val="16"/>
          <w:color w:val="auto"/>
        </w:rPr>
        <w:t>Liabilities of businesses held for sale Other current liabilities</w:t>
      </w:r>
    </w:p>
    <w:p>
      <w:pPr>
        <w:spacing w:after="0" w:line="1" w:lineRule="exact"/>
        <w:rPr>
          <w:rFonts w:ascii="Arial" w:cs="Arial" w:eastAsia="Arial" w:hAnsi="Arial"/>
          <w:sz w:val="16"/>
          <w:szCs w:val="16"/>
          <w:b w:val="1"/>
          <w:bCs w:val="1"/>
          <w:color w:val="FFFFFF"/>
        </w:rPr>
      </w:pPr>
    </w:p>
    <w:p>
      <w:pPr>
        <w:ind w:right="4040" w:firstLine="186"/>
        <w:spacing w:after="0" w:line="299" w:lineRule="auto"/>
        <w:rPr>
          <w:rFonts w:ascii="Arial" w:cs="Arial" w:eastAsia="Arial" w:hAnsi="Arial"/>
          <w:sz w:val="16"/>
          <w:szCs w:val="16"/>
          <w:b w:val="1"/>
          <w:bCs w:val="1"/>
          <w:color w:val="FFFFFF"/>
        </w:rPr>
      </w:pPr>
      <w:r>
        <w:rPr>
          <w:rFonts w:ascii="Arial" w:cs="Arial" w:eastAsia="Arial" w:hAnsi="Arial"/>
          <w:sz w:val="16"/>
          <w:szCs w:val="16"/>
          <w:b w:val="1"/>
          <w:bCs w:val="1"/>
          <w:color w:val="auto"/>
        </w:rPr>
        <w:t xml:space="preserve">Total current liabilities </w:t>
      </w:r>
      <w:r>
        <w:rPr>
          <w:rFonts w:ascii="Arial" w:cs="Arial" w:eastAsia="Arial" w:hAnsi="Arial"/>
          <w:sz w:val="16"/>
          <w:szCs w:val="16"/>
          <w:color w:val="auto"/>
        </w:rPr>
        <w:t>Deferred revenue, noncurrent Warrant liability</w:t>
      </w:r>
    </w:p>
    <w:p>
      <w:pPr>
        <w:spacing w:after="0"/>
        <w:rPr>
          <w:rFonts w:ascii="Arial" w:cs="Arial" w:eastAsia="Arial" w:hAnsi="Arial"/>
          <w:sz w:val="16"/>
          <w:szCs w:val="16"/>
          <w:b w:val="1"/>
          <w:bCs w:val="1"/>
          <w:color w:val="FFFFFF"/>
        </w:rPr>
      </w:pPr>
      <w:r>
        <w:rPr>
          <w:rFonts w:ascii="Arial" w:cs="Arial" w:eastAsia="Arial" w:hAnsi="Arial"/>
          <w:sz w:val="16"/>
          <w:szCs w:val="16"/>
          <w:color w:val="auto"/>
        </w:rPr>
        <w:t>Other noncurrent liabilities</w:t>
      </w:r>
    </w:p>
    <w:p>
      <w:pPr>
        <w:spacing w:after="0" w:line="32" w:lineRule="exact"/>
        <w:rPr>
          <w:rFonts w:ascii="Arial" w:cs="Arial" w:eastAsia="Arial" w:hAnsi="Arial"/>
          <w:sz w:val="16"/>
          <w:szCs w:val="16"/>
          <w:b w:val="1"/>
          <w:bCs w:val="1"/>
          <w:color w:val="FFFFFF"/>
        </w:rPr>
      </w:pPr>
    </w:p>
    <w:p>
      <w:pPr>
        <w:spacing w:after="0"/>
        <w:rPr>
          <w:rFonts w:ascii="Arial" w:cs="Arial" w:eastAsia="Arial" w:hAnsi="Arial"/>
          <w:sz w:val="16"/>
          <w:szCs w:val="16"/>
          <w:b w:val="1"/>
          <w:bCs w:val="1"/>
          <w:color w:val="FFFFFF"/>
        </w:rPr>
      </w:pPr>
      <w:r>
        <w:rPr>
          <w:rFonts w:ascii="Arial" w:cs="Arial" w:eastAsia="Arial" w:hAnsi="Arial"/>
          <w:sz w:val="16"/>
          <w:szCs w:val="16"/>
          <w:b w:val="1"/>
          <w:bCs w:val="1"/>
          <w:color w:val="auto"/>
        </w:rPr>
        <w:t>Total liabilities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Stockholders' equity</w:t>
      </w:r>
    </w:p>
    <w:p>
      <w:pPr>
        <w:spacing w:after="0" w:line="46"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Class A Common Stock ($0.0001 par value, 30,000,000 shares authorized, 6,656,355 shares issued and outstanding as of March 31, 2025 and 6,510,885 shares issued and outstanding as of December 31, 2024)</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Class V Common Stock ($0.0001 par value, 10,000,000 shares authorized, 7,177,774 shares issued and outstanding as of March 31, 2025 and 7,178,303 shares issued and outstanding as of December 31, 2024)</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Additional paid-in capital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Accumulated other comprehensive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stockholders' equity</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Noncontrolling interest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equity</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67722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500" w:type="dxa"/>
            <w:vAlign w:val="bottom"/>
          </w:tcPr>
          <w:p>
            <w:pPr>
              <w:jc w:val="right"/>
              <w:ind w:right="379"/>
              <w:spacing w:after="0"/>
              <w:rPr>
                <w:sz w:val="20"/>
                <w:szCs w:val="20"/>
                <w:color w:val="auto"/>
              </w:rPr>
            </w:pPr>
            <w:r>
              <w:rPr>
                <w:rFonts w:ascii="Arial" w:cs="Arial" w:eastAsia="Arial" w:hAnsi="Arial"/>
                <w:sz w:val="16"/>
                <w:szCs w:val="16"/>
                <w:b w:val="1"/>
                <w:bCs w:val="1"/>
                <w:color w:val="FFFFFF"/>
              </w:rPr>
              <w:t>As of 3/31/25</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FFFFFF"/>
              </w:rPr>
              <w:t>As of 3/31/24</w:t>
            </w:r>
          </w:p>
        </w:tc>
      </w:tr>
      <w:tr>
        <w:trPr>
          <w:trHeight w:val="667"/>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$23.0</w:t>
            </w:r>
          </w:p>
        </w:tc>
        <w:tc>
          <w:tcPr>
            <w:tcW w:w="1520" w:type="dxa"/>
            <w:vAlign w:val="bottom"/>
          </w:tcPr>
          <w:p>
            <w:pPr>
              <w:jc w:val="right"/>
              <w:spacing w:after="0"/>
              <w:rPr>
                <w:sz w:val="20"/>
                <w:szCs w:val="20"/>
                <w:color w:val="auto"/>
              </w:rPr>
            </w:pPr>
            <w:r>
              <w:rPr>
                <w:rFonts w:ascii="Arial" w:cs="Arial" w:eastAsia="Arial" w:hAnsi="Arial"/>
                <w:sz w:val="16"/>
                <w:szCs w:val="16"/>
                <w:color w:val="auto"/>
              </w:rPr>
              <w:t>$39.0</w:t>
            </w:r>
          </w:p>
        </w:tc>
      </w:tr>
      <w:tr>
        <w:trPr>
          <w:trHeight w:val="243"/>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19.8</w:t>
            </w:r>
          </w:p>
        </w:tc>
        <w:tc>
          <w:tcPr>
            <w:tcW w:w="152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43"/>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12.0</w:t>
            </w:r>
          </w:p>
        </w:tc>
        <w:tc>
          <w:tcPr>
            <w:tcW w:w="152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43"/>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28.7</w:t>
            </w:r>
          </w:p>
        </w:tc>
        <w:tc>
          <w:tcPr>
            <w:tcW w:w="15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43"/>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2.5</w:t>
            </w:r>
          </w:p>
        </w:tc>
        <w:tc>
          <w:tcPr>
            <w:tcW w:w="15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43"/>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3.5</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2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92.5</w:t>
            </w:r>
          </w:p>
        </w:tc>
        <w:tc>
          <w:tcPr>
            <w:tcW w:w="1520" w:type="dxa"/>
            <w:vAlign w:val="bottom"/>
          </w:tcPr>
          <w:p>
            <w:pPr>
              <w:jc w:val="right"/>
              <w:spacing w:after="0"/>
              <w:rPr>
                <w:sz w:val="20"/>
                <w:szCs w:val="20"/>
                <w:color w:val="auto"/>
              </w:rPr>
            </w:pPr>
            <w:r>
              <w:rPr>
                <w:rFonts w:ascii="Arial" w:cs="Arial" w:eastAsia="Arial" w:hAnsi="Arial"/>
                <w:sz w:val="16"/>
                <w:szCs w:val="16"/>
                <w:color w:val="auto"/>
              </w:rPr>
              <w:t>183.8</w:t>
            </w:r>
          </w:p>
        </w:tc>
      </w:tr>
      <w:tr>
        <w:trPr>
          <w:trHeight w:val="242"/>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2.0</w:t>
            </w:r>
          </w:p>
        </w:tc>
        <w:tc>
          <w:tcPr>
            <w:tcW w:w="15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68.0</w:t>
            </w:r>
          </w:p>
        </w:tc>
        <w:tc>
          <w:tcPr>
            <w:tcW w:w="152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16"/>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2.9</w:t>
            </w:r>
          </w:p>
        </w:tc>
        <w:tc>
          <w:tcPr>
            <w:tcW w:w="15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2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11.0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211"/>
        </w:trPr>
        <w:tc>
          <w:tcPr>
            <w:tcW w:w="2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$176.3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$269.4</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640"/>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$37.5</w:t>
            </w:r>
          </w:p>
        </w:tc>
        <w:tc>
          <w:tcPr>
            <w:tcW w:w="1520" w:type="dxa"/>
            <w:vAlign w:val="bottom"/>
          </w:tcPr>
          <w:p>
            <w:pPr>
              <w:jc w:val="right"/>
              <w:spacing w:after="0"/>
              <w:rPr>
                <w:sz w:val="20"/>
                <w:szCs w:val="20"/>
                <w:color w:val="auto"/>
              </w:rPr>
            </w:pPr>
            <w:r>
              <w:rPr>
                <w:rFonts w:ascii="Arial" w:cs="Arial" w:eastAsia="Arial" w:hAnsi="Arial"/>
                <w:sz w:val="16"/>
                <w:szCs w:val="16"/>
                <w:color w:val="auto"/>
              </w:rPr>
              <w:t>$39.9</w:t>
            </w:r>
          </w:p>
        </w:tc>
      </w:tr>
      <w:tr>
        <w:trPr>
          <w:trHeight w:val="243"/>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12.0</w:t>
            </w:r>
          </w:p>
        </w:tc>
        <w:tc>
          <w:tcPr>
            <w:tcW w:w="152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43"/>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1.5</w:t>
            </w: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2.2</w:t>
            </w:r>
          </w:p>
        </w:tc>
        <w:tc>
          <w:tcPr>
            <w:tcW w:w="15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3"/>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0.1</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2"/>
        </w:trPr>
        <w:tc>
          <w:tcPr>
            <w:tcW w:w="2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5.1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58.4</w:t>
            </w:r>
          </w:p>
        </w:tc>
        <w:tc>
          <w:tcPr>
            <w:tcW w:w="1520" w:type="dxa"/>
            <w:vAlign w:val="bottom"/>
          </w:tcPr>
          <w:p>
            <w:pPr>
              <w:jc w:val="right"/>
              <w:spacing w:after="0"/>
              <w:rPr>
                <w:sz w:val="20"/>
                <w:szCs w:val="20"/>
                <w:color w:val="auto"/>
              </w:rPr>
            </w:pPr>
            <w:r>
              <w:rPr>
                <w:rFonts w:ascii="Arial" w:cs="Arial" w:eastAsia="Arial" w:hAnsi="Arial"/>
                <w:sz w:val="16"/>
                <w:szCs w:val="16"/>
                <w:color w:val="auto"/>
              </w:rPr>
              <w:t>137.7</w:t>
            </w:r>
          </w:p>
        </w:tc>
      </w:tr>
      <w:tr>
        <w:trPr>
          <w:trHeight w:val="242"/>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2.3</w:t>
            </w:r>
          </w:p>
        </w:tc>
        <w:tc>
          <w:tcPr>
            <w:tcW w:w="15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30"/>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14.7</w:t>
            </w:r>
          </w:p>
        </w:tc>
        <w:tc>
          <w:tcPr>
            <w:tcW w:w="152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17"/>
        </w:trPr>
        <w:tc>
          <w:tcPr>
            <w:tcW w:w="2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19.3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r>
      <w:tr>
        <w:trPr>
          <w:trHeight w:val="217"/>
        </w:trPr>
        <w:tc>
          <w:tcPr>
            <w:tcW w:w="2500" w:type="dxa"/>
            <w:vAlign w:val="bottom"/>
          </w:tcPr>
          <w:p>
            <w:pPr>
              <w:jc w:val="right"/>
              <w:ind w:right="379"/>
              <w:spacing w:after="0"/>
              <w:rPr>
                <w:sz w:val="20"/>
                <w:szCs w:val="20"/>
                <w:color w:val="auto"/>
              </w:rPr>
            </w:pPr>
            <w:r>
              <w:rPr>
                <w:rFonts w:ascii="Arial" w:cs="Arial" w:eastAsia="Arial" w:hAnsi="Arial"/>
                <w:sz w:val="16"/>
                <w:szCs w:val="16"/>
                <w:b w:val="1"/>
                <w:bCs w:val="1"/>
                <w:color w:val="auto"/>
              </w:rPr>
              <w:t>94.8</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206.5</w:t>
            </w:r>
          </w:p>
        </w:tc>
      </w:tr>
      <w:tr>
        <w:trPr>
          <w:trHeight w:val="612"/>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540"/>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1</w:t>
            </w: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78"/>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835.1</w:t>
            </w:r>
          </w:p>
        </w:tc>
        <w:tc>
          <w:tcPr>
            <w:tcW w:w="1520" w:type="dxa"/>
            <w:vAlign w:val="bottom"/>
          </w:tcPr>
          <w:p>
            <w:pPr>
              <w:jc w:val="right"/>
              <w:spacing w:after="0"/>
              <w:rPr>
                <w:sz w:val="20"/>
                <w:szCs w:val="20"/>
                <w:color w:val="auto"/>
              </w:rPr>
            </w:pPr>
            <w:r>
              <w:rPr>
                <w:rFonts w:ascii="Arial" w:cs="Arial" w:eastAsia="Arial" w:hAnsi="Arial"/>
                <w:sz w:val="16"/>
                <w:szCs w:val="16"/>
                <w:color w:val="auto"/>
              </w:rPr>
              <w:t>832.7</w:t>
            </w:r>
          </w:p>
        </w:tc>
      </w:tr>
      <w:tr>
        <w:trPr>
          <w:trHeight w:val="216"/>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(0.8)</w:t>
            </w:r>
          </w:p>
        </w:tc>
        <w:tc>
          <w:tcPr>
            <w:tcW w:w="15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2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(790.2)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(798.0)</w:t>
            </w:r>
          </w:p>
        </w:tc>
      </w:tr>
      <w:tr>
        <w:trPr>
          <w:trHeight w:val="209"/>
        </w:trPr>
        <w:tc>
          <w:tcPr>
            <w:tcW w:w="2500" w:type="dxa"/>
            <w:vAlign w:val="bottom"/>
          </w:tcPr>
          <w:p>
            <w:pPr>
              <w:jc w:val="right"/>
              <w:ind w:right="379"/>
              <w:spacing w:after="0"/>
              <w:rPr>
                <w:sz w:val="20"/>
                <w:szCs w:val="20"/>
                <w:color w:val="auto"/>
              </w:rPr>
            </w:pPr>
            <w:r>
              <w:rPr>
                <w:rFonts w:ascii="Arial" w:cs="Arial" w:eastAsia="Arial" w:hAnsi="Arial"/>
                <w:sz w:val="16"/>
                <w:szCs w:val="16"/>
                <w:color w:val="auto"/>
              </w:rPr>
              <w:t>44.1</w:t>
            </w:r>
          </w:p>
        </w:tc>
        <w:tc>
          <w:tcPr>
            <w:tcW w:w="152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38"/>
        </w:trPr>
        <w:tc>
          <w:tcPr>
            <w:tcW w:w="2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37.5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215"/>
        </w:trPr>
        <w:tc>
          <w:tcPr>
            <w:tcW w:w="25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81.6</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r>
      <w:tr>
        <w:trPr>
          <w:trHeight w:val="243"/>
        </w:trPr>
        <w:tc>
          <w:tcPr>
            <w:tcW w:w="2500" w:type="dxa"/>
            <w:vAlign w:val="bottom"/>
          </w:tcPr>
          <w:p>
            <w:pPr>
              <w:jc w:val="right"/>
              <w:ind w:right="379"/>
              <w:spacing w:after="0"/>
              <w:rPr>
                <w:sz w:val="20"/>
                <w:szCs w:val="20"/>
                <w:color w:val="auto"/>
              </w:rPr>
            </w:pPr>
            <w:r>
              <w:rPr>
                <w:rFonts w:ascii="Arial" w:cs="Arial" w:eastAsia="Arial" w:hAnsi="Arial"/>
                <w:sz w:val="16"/>
                <w:szCs w:val="16"/>
                <w:b w:val="1"/>
                <w:bCs w:val="1"/>
                <w:color w:val="auto"/>
              </w:rPr>
              <w:t>$176.3</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$269.4</w:t>
            </w:r>
          </w:p>
        </w:tc>
      </w:tr>
      <w:tr>
        <w:trPr>
          <w:trHeight w:val="35"/>
        </w:trPr>
        <w:tc>
          <w:tcPr>
            <w:tcW w:w="25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220" w:space="420"/>
            <w:col w:w="4020"/>
          </w:cols>
          <w:pgMar w:left="580" w:top="1440" w:right="65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126365</wp:posOffset>
            </wp:positionV>
            <wp:extent cx="588073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0735" cy="154305"/>
                    </a:xfrm>
                    <a:prstGeom prst="rect">
                      <a:avLst/>
                    </a:prstGeom>
                    <a:noFill/>
                  </pic:spPr>
                </pic:pic>
              </a:graphicData>
            </a:graphic>
          </wp:anchor>
        </w:drawing>
      </w:r>
    </w:p>
    <w:p>
      <w:pPr>
        <w:spacing w:after="0" w:line="205" w:lineRule="exact"/>
        <w:rPr>
          <w:sz w:val="20"/>
          <w:szCs w:val="20"/>
          <w:color w:val="auto"/>
        </w:rPr>
      </w:pPr>
    </w:p>
    <w:p>
      <w:pPr>
        <w:ind w:right="3780" w:firstLine="1"/>
        <w:spacing w:after="0" w:line="290" w:lineRule="auto"/>
        <w:tabs>
          <w:tab w:leader="none" w:pos="135" w:val="left"/>
        </w:tabs>
        <w:numPr>
          <w:ilvl w:val="0"/>
          <w:numId w:val="10"/>
        </w:numPr>
        <w:rPr>
          <w:rFonts w:ascii="Arial" w:cs="Arial" w:eastAsia="Arial" w:hAnsi="Arial"/>
          <w:sz w:val="16"/>
          <w:szCs w:val="16"/>
          <w:b w:val="1"/>
          <w:bCs w:val="1"/>
          <w:color w:val="FFFFFF"/>
        </w:rPr>
      </w:pPr>
      <w:r>
        <w:rPr>
          <w:rFonts w:ascii="Arial" w:cs="Arial" w:eastAsia="Arial" w:hAnsi="Arial"/>
          <w:sz w:val="16"/>
          <w:szCs w:val="16"/>
          <w:b w:val="1"/>
          <w:bCs w:val="1"/>
          <w:color w:val="FFFFFF"/>
        </w:rPr>
        <w:t xml:space="preserve">in millions except per share data </w:t>
      </w:r>
      <w:r>
        <w:rPr>
          <w:rFonts w:ascii="Arial" w:cs="Arial" w:eastAsia="Arial" w:hAnsi="Arial"/>
          <w:sz w:val="16"/>
          <w:szCs w:val="16"/>
          <w:color w:val="000000"/>
        </w:rPr>
        <w:t>Revenues:</w:t>
      </w:r>
    </w:p>
    <w:p>
      <w:pPr>
        <w:ind w:left="140" w:right="4820"/>
        <w:spacing w:after="0" w:line="316" w:lineRule="auto"/>
        <w:rPr>
          <w:rFonts w:ascii="Arial" w:cs="Arial" w:eastAsia="Arial" w:hAnsi="Arial"/>
          <w:sz w:val="16"/>
          <w:szCs w:val="16"/>
          <w:b w:val="1"/>
          <w:bCs w:val="1"/>
          <w:color w:val="FFFFFF"/>
        </w:rPr>
      </w:pPr>
      <w:r>
        <w:rPr>
          <w:rFonts w:ascii="Arial" w:cs="Arial" w:eastAsia="Arial" w:hAnsi="Arial"/>
          <w:sz w:val="16"/>
          <w:szCs w:val="16"/>
          <w:color w:val="auto"/>
        </w:rPr>
        <w:t>Crypto services Loyalty services, net</w:t>
      </w:r>
    </w:p>
    <w:p>
      <w:pPr>
        <w:spacing w:after="0" w:line="1" w:lineRule="exact"/>
        <w:rPr>
          <w:rFonts w:ascii="Arial" w:cs="Arial" w:eastAsia="Arial" w:hAnsi="Arial"/>
          <w:sz w:val="16"/>
          <w:szCs w:val="16"/>
          <w:b w:val="1"/>
          <w:bCs w:val="1"/>
          <w:color w:val="FFFFFF"/>
        </w:rPr>
      </w:pPr>
    </w:p>
    <w:p>
      <w:pPr>
        <w:ind w:right="4820" w:firstLine="458"/>
        <w:spacing w:after="0" w:line="299" w:lineRule="auto"/>
        <w:rPr>
          <w:rFonts w:ascii="Arial" w:cs="Arial" w:eastAsia="Arial" w:hAnsi="Arial"/>
          <w:sz w:val="16"/>
          <w:szCs w:val="16"/>
          <w:b w:val="1"/>
          <w:bCs w:val="1"/>
          <w:color w:val="FFFFFF"/>
        </w:rPr>
      </w:pPr>
      <w:r>
        <w:rPr>
          <w:rFonts w:ascii="Arial" w:cs="Arial" w:eastAsia="Arial" w:hAnsi="Arial"/>
          <w:sz w:val="16"/>
          <w:szCs w:val="16"/>
          <w:b w:val="1"/>
          <w:bCs w:val="1"/>
          <w:color w:val="auto"/>
        </w:rPr>
        <w:t xml:space="preserve">Total revenues </w:t>
      </w:r>
      <w:r>
        <w:rPr>
          <w:rFonts w:ascii="Arial" w:cs="Arial" w:eastAsia="Arial" w:hAnsi="Arial"/>
          <w:sz w:val="16"/>
          <w:szCs w:val="16"/>
          <w:color w:val="auto"/>
        </w:rPr>
        <w:t>Operating expenses:</w:t>
      </w:r>
    </w:p>
    <w:p>
      <w:pPr>
        <w:ind w:left="140"/>
        <w:spacing w:after="0"/>
        <w:rPr>
          <w:rFonts w:ascii="Arial" w:cs="Arial" w:eastAsia="Arial" w:hAnsi="Arial"/>
          <w:sz w:val="16"/>
          <w:szCs w:val="16"/>
          <w:b w:val="1"/>
          <w:bCs w:val="1"/>
          <w:color w:val="FFFFFF"/>
        </w:rPr>
      </w:pPr>
      <w:r>
        <w:rPr>
          <w:rFonts w:ascii="Arial" w:cs="Arial" w:eastAsia="Arial" w:hAnsi="Arial"/>
          <w:sz w:val="16"/>
          <w:szCs w:val="16"/>
          <w:color w:val="auto"/>
        </w:rPr>
        <w:t>Crypto costs</w:t>
      </w:r>
    </w:p>
    <w:p>
      <w:pPr>
        <w:spacing w:after="0" w:line="59" w:lineRule="exact"/>
        <w:rPr>
          <w:rFonts w:ascii="Arial" w:cs="Arial" w:eastAsia="Arial" w:hAnsi="Arial"/>
          <w:sz w:val="16"/>
          <w:szCs w:val="16"/>
          <w:b w:val="1"/>
          <w:bCs w:val="1"/>
          <w:color w:val="FFFFFF"/>
        </w:rPr>
      </w:pPr>
    </w:p>
    <w:p>
      <w:pPr>
        <w:ind w:left="140" w:right="3480"/>
        <w:spacing w:after="0" w:line="316" w:lineRule="auto"/>
        <w:rPr>
          <w:rFonts w:ascii="Arial" w:cs="Arial" w:eastAsia="Arial" w:hAnsi="Arial"/>
          <w:sz w:val="16"/>
          <w:szCs w:val="16"/>
          <w:b w:val="1"/>
          <w:bCs w:val="1"/>
          <w:color w:val="FFFFFF"/>
        </w:rPr>
      </w:pPr>
      <w:r>
        <w:rPr>
          <w:rFonts w:ascii="Arial" w:cs="Arial" w:eastAsia="Arial" w:hAnsi="Arial"/>
          <w:sz w:val="16"/>
          <w:szCs w:val="16"/>
          <w:color w:val="auto"/>
        </w:rPr>
        <w:t>Execution, clearing and brokerage fees Compensation and benefits Professional services</w:t>
      </w:r>
    </w:p>
    <w:p>
      <w:pPr>
        <w:spacing w:after="0" w:line="2" w:lineRule="exact"/>
        <w:rPr>
          <w:rFonts w:ascii="Arial" w:cs="Arial" w:eastAsia="Arial" w:hAnsi="Arial"/>
          <w:sz w:val="16"/>
          <w:szCs w:val="16"/>
          <w:b w:val="1"/>
          <w:bCs w:val="1"/>
          <w:color w:val="FFFFFF"/>
        </w:rPr>
      </w:pPr>
    </w:p>
    <w:p>
      <w:pPr>
        <w:ind w:left="140" w:right="3240"/>
        <w:spacing w:after="0" w:line="328" w:lineRule="auto"/>
        <w:rPr>
          <w:rFonts w:ascii="Arial" w:cs="Arial" w:eastAsia="Arial" w:hAnsi="Arial"/>
          <w:sz w:val="16"/>
          <w:szCs w:val="16"/>
          <w:b w:val="1"/>
          <w:bCs w:val="1"/>
          <w:color w:val="FFFFFF"/>
        </w:rPr>
      </w:pPr>
      <w:r>
        <w:rPr>
          <w:rFonts w:ascii="Arial" w:cs="Arial" w:eastAsia="Arial" w:hAnsi="Arial"/>
          <w:sz w:val="16"/>
          <w:szCs w:val="16"/>
          <w:color w:val="auto"/>
        </w:rPr>
        <w:t>Technology and communication Selling, general and administrative Depreciation and amortization Goodwill and intangible asset impairments Impairment of long-lived assets Restructuring expenses</w:t>
      </w:r>
    </w:p>
    <w:p>
      <w:pPr>
        <w:spacing w:after="0" w:line="200" w:lineRule="exact"/>
        <w:rPr>
          <w:rFonts w:ascii="Arial" w:cs="Arial" w:eastAsia="Arial" w:hAnsi="Arial"/>
          <w:sz w:val="16"/>
          <w:szCs w:val="16"/>
          <w:b w:val="1"/>
          <w:bCs w:val="1"/>
          <w:color w:val="FFFFFF"/>
        </w:rPr>
      </w:pPr>
    </w:p>
    <w:p>
      <w:pPr>
        <w:ind w:left="460" w:right="4160" w:hanging="322"/>
        <w:spacing w:after="0" w:line="316" w:lineRule="auto"/>
        <w:rPr>
          <w:rFonts w:ascii="Arial" w:cs="Arial" w:eastAsia="Arial" w:hAnsi="Arial"/>
          <w:sz w:val="16"/>
          <w:szCs w:val="16"/>
          <w:b w:val="1"/>
          <w:bCs w:val="1"/>
          <w:color w:val="FFFFFF"/>
        </w:rPr>
      </w:pPr>
      <w:r>
        <w:rPr>
          <w:rFonts w:ascii="Arial" w:cs="Arial" w:eastAsia="Arial" w:hAnsi="Arial"/>
          <w:sz w:val="16"/>
          <w:szCs w:val="16"/>
          <w:color w:val="auto"/>
        </w:rPr>
        <w:t>Other operating expenses Total operating expenses</w:t>
      </w:r>
    </w:p>
    <w:p>
      <w:pPr>
        <w:spacing w:after="0" w:line="1" w:lineRule="exact"/>
        <w:rPr>
          <w:rFonts w:ascii="Arial" w:cs="Arial" w:eastAsia="Arial" w:hAnsi="Arial"/>
          <w:sz w:val="16"/>
          <w:szCs w:val="16"/>
          <w:b w:val="1"/>
          <w:bCs w:val="1"/>
          <w:color w:val="FFFFFF"/>
        </w:rPr>
      </w:pPr>
    </w:p>
    <w:p>
      <w:pPr>
        <w:ind w:left="140" w:right="4860" w:hanging="136"/>
        <w:spacing w:after="0" w:line="308" w:lineRule="auto"/>
        <w:rPr>
          <w:rFonts w:ascii="Arial" w:cs="Arial" w:eastAsia="Arial" w:hAnsi="Arial"/>
          <w:sz w:val="16"/>
          <w:szCs w:val="16"/>
          <w:b w:val="1"/>
          <w:bCs w:val="1"/>
          <w:color w:val="FFFFFF"/>
        </w:rPr>
      </w:pPr>
      <w:r>
        <w:rPr>
          <w:rFonts w:ascii="Arial" w:cs="Arial" w:eastAsia="Arial" w:hAnsi="Arial"/>
          <w:sz w:val="16"/>
          <w:szCs w:val="16"/>
          <w:b w:val="1"/>
          <w:bCs w:val="1"/>
          <w:color w:val="auto"/>
        </w:rPr>
        <w:t xml:space="preserve">Operating loss </w:t>
      </w:r>
      <w:r>
        <w:rPr>
          <w:rFonts w:ascii="Arial" w:cs="Arial" w:eastAsia="Arial" w:hAnsi="Arial"/>
          <w:sz w:val="16"/>
          <w:szCs w:val="16"/>
          <w:color w:val="auto"/>
        </w:rPr>
        <w:t>Interest income, net</w:t>
      </w:r>
    </w:p>
    <w:p>
      <w:pPr>
        <w:ind w:left="140" w:right="2820"/>
        <w:spacing w:after="0" w:line="316" w:lineRule="auto"/>
        <w:rPr>
          <w:rFonts w:ascii="Arial" w:cs="Arial" w:eastAsia="Arial" w:hAnsi="Arial"/>
          <w:sz w:val="16"/>
          <w:szCs w:val="16"/>
          <w:b w:val="1"/>
          <w:bCs w:val="1"/>
          <w:color w:val="FFFFFF"/>
        </w:rPr>
      </w:pPr>
      <w:r>
        <w:rPr>
          <w:rFonts w:ascii="Arial" w:cs="Arial" w:eastAsia="Arial" w:hAnsi="Arial"/>
          <w:sz w:val="16"/>
          <w:szCs w:val="16"/>
          <w:color w:val="auto"/>
        </w:rPr>
        <w:t>Gain from change in fair value of warrant liability Other income, net</w:t>
      </w:r>
    </w:p>
    <w:p>
      <w:pPr>
        <w:spacing w:after="0" w:line="1" w:lineRule="exact"/>
        <w:rPr>
          <w:rFonts w:ascii="Arial" w:cs="Arial" w:eastAsia="Arial" w:hAnsi="Arial"/>
          <w:sz w:val="16"/>
          <w:szCs w:val="16"/>
          <w:b w:val="1"/>
          <w:bCs w:val="1"/>
          <w:color w:val="FFFFFF"/>
        </w:rPr>
      </w:pPr>
    </w:p>
    <w:p>
      <w:pPr>
        <w:ind w:left="140" w:right="3460" w:hanging="136"/>
        <w:spacing w:after="0" w:line="308" w:lineRule="auto"/>
        <w:rPr>
          <w:rFonts w:ascii="Arial" w:cs="Arial" w:eastAsia="Arial" w:hAnsi="Arial"/>
          <w:sz w:val="16"/>
          <w:szCs w:val="16"/>
          <w:b w:val="1"/>
          <w:bCs w:val="1"/>
          <w:color w:val="FFFFFF"/>
        </w:rPr>
      </w:pPr>
      <w:r>
        <w:rPr>
          <w:rFonts w:ascii="Arial" w:cs="Arial" w:eastAsia="Arial" w:hAnsi="Arial"/>
          <w:sz w:val="16"/>
          <w:szCs w:val="16"/>
          <w:b w:val="1"/>
          <w:bCs w:val="1"/>
          <w:color w:val="auto"/>
        </w:rPr>
        <w:t xml:space="preserve">Net income (loss) before income taxes </w:t>
      </w:r>
      <w:r>
        <w:rPr>
          <w:rFonts w:ascii="Arial" w:cs="Arial" w:eastAsia="Arial" w:hAnsi="Arial"/>
          <w:sz w:val="16"/>
          <w:szCs w:val="16"/>
          <w:color w:val="auto"/>
        </w:rPr>
        <w:t>Income tax (expense) benefit</w:t>
      </w:r>
    </w:p>
    <w:p>
      <w:pPr>
        <w:spacing w:after="0"/>
        <w:rPr>
          <w:rFonts w:ascii="Arial" w:cs="Arial" w:eastAsia="Arial" w:hAnsi="Arial"/>
          <w:sz w:val="16"/>
          <w:szCs w:val="16"/>
          <w:b w:val="1"/>
          <w:bCs w:val="1"/>
          <w:color w:val="FFFFFF"/>
        </w:rPr>
      </w:pPr>
      <w:r>
        <w:rPr>
          <w:rFonts w:ascii="Arial" w:cs="Arial" w:eastAsia="Arial" w:hAnsi="Arial"/>
          <w:sz w:val="16"/>
          <w:szCs w:val="16"/>
          <w:b w:val="1"/>
          <w:bCs w:val="1"/>
          <w:color w:val="auto"/>
        </w:rPr>
        <w:t>Net income (loss)</w:t>
      </w:r>
    </w:p>
    <w:p>
      <w:pPr>
        <w:spacing w:after="0" w:line="38" w:lineRule="exact"/>
        <w:rPr>
          <w:rFonts w:ascii="Arial" w:cs="Arial" w:eastAsia="Arial" w:hAnsi="Arial"/>
          <w:sz w:val="16"/>
          <w:szCs w:val="16"/>
          <w:b w:val="1"/>
          <w:bCs w:val="1"/>
          <w:color w:val="FFFFFF"/>
        </w:rPr>
      </w:pPr>
    </w:p>
    <w:p>
      <w:pPr>
        <w:spacing w:after="0"/>
        <w:rPr>
          <w:rFonts w:ascii="Arial" w:cs="Arial" w:eastAsia="Arial" w:hAnsi="Arial"/>
          <w:sz w:val="16"/>
          <w:szCs w:val="16"/>
          <w:b w:val="1"/>
          <w:bCs w:val="1"/>
          <w:color w:val="FFFFFF"/>
        </w:rPr>
      </w:pPr>
      <w:r>
        <w:rPr>
          <w:rFonts w:ascii="Arial" w:cs="Arial" w:eastAsia="Arial" w:hAnsi="Arial"/>
          <w:sz w:val="16"/>
          <w:szCs w:val="16"/>
          <w:color w:val="auto"/>
        </w:rPr>
        <w:t>Less: Net income (loss) attributable to noncontrolling interest</w:t>
      </w:r>
    </w:p>
    <w:p>
      <w:pPr>
        <w:spacing w:after="0" w:line="52" w:lineRule="exact"/>
        <w:rPr>
          <w:rFonts w:ascii="Arial" w:cs="Arial" w:eastAsia="Arial" w:hAnsi="Arial"/>
          <w:sz w:val="16"/>
          <w:szCs w:val="16"/>
          <w:b w:val="1"/>
          <w:bCs w:val="1"/>
          <w:color w:val="FFFFFF"/>
        </w:rPr>
      </w:pPr>
    </w:p>
    <w:p>
      <w:pPr>
        <w:spacing w:after="0"/>
        <w:rPr>
          <w:rFonts w:ascii="Arial" w:cs="Arial" w:eastAsia="Arial" w:hAnsi="Arial"/>
          <w:sz w:val="16"/>
          <w:szCs w:val="16"/>
          <w:b w:val="1"/>
          <w:bCs w:val="1"/>
          <w:color w:val="FFFFFF"/>
        </w:rPr>
      </w:pPr>
      <w:r>
        <w:rPr>
          <w:rFonts w:ascii="Arial" w:cs="Arial" w:eastAsia="Arial" w:hAnsi="Arial"/>
          <w:sz w:val="16"/>
          <w:szCs w:val="16"/>
          <w:b w:val="1"/>
          <w:bCs w:val="1"/>
          <w:color w:val="auto"/>
        </w:rPr>
        <w:t>Net income (loss) attributable to Bakkt Holdings, Inc.</w:t>
      </w:r>
    </w:p>
    <w:p>
      <w:pPr>
        <w:spacing w:after="0" w:line="140" w:lineRule="exact"/>
        <w:rPr>
          <w:sz w:val="20"/>
          <w:szCs w:val="20"/>
          <w:color w:val="auto"/>
        </w:rPr>
      </w:pPr>
    </w:p>
    <w:p>
      <w:pPr>
        <w:ind w:left="300" w:right="1120" w:hanging="295"/>
        <w:spacing w:after="0" w:line="308" w:lineRule="auto"/>
        <w:rPr>
          <w:sz w:val="20"/>
          <w:szCs w:val="20"/>
          <w:color w:val="auto"/>
        </w:rPr>
      </w:pPr>
      <w:r>
        <w:rPr>
          <w:rFonts w:ascii="Arial" w:cs="Arial" w:eastAsia="Arial" w:hAnsi="Arial"/>
          <w:sz w:val="16"/>
          <w:szCs w:val="16"/>
          <w:color w:val="auto"/>
        </w:rPr>
        <w:t>Net income (loss) per share attributable to Class A Common Stockholders Basic</w:t>
      </w:r>
    </w:p>
    <w:p>
      <w:pPr>
        <w:ind w:left="30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97790</wp:posOffset>
            </wp:positionV>
            <wp:extent cx="5880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FFFFFF"/>
              </w:rPr>
              <w:t>1Q25</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FFFFFF"/>
              </w:rPr>
              <w:t>1Q24</w:t>
            </w:r>
          </w:p>
        </w:tc>
      </w:tr>
      <w:tr>
        <w:trPr>
          <w:trHeight w:val="438"/>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$1,065.8</w:t>
            </w:r>
          </w:p>
        </w:tc>
        <w:tc>
          <w:tcPr>
            <w:tcW w:w="960" w:type="dxa"/>
            <w:vAlign w:val="bottom"/>
          </w:tcPr>
          <w:p>
            <w:pPr>
              <w:jc w:val="right"/>
              <w:spacing w:after="0"/>
              <w:rPr>
                <w:sz w:val="20"/>
                <w:szCs w:val="20"/>
                <w:color w:val="auto"/>
              </w:rPr>
            </w:pPr>
            <w:r>
              <w:rPr>
                <w:rFonts w:ascii="Arial" w:cs="Arial" w:eastAsia="Arial" w:hAnsi="Arial"/>
                <w:sz w:val="16"/>
                <w:szCs w:val="16"/>
                <w:color w:val="auto"/>
              </w:rPr>
              <w:t>$841.3</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9.2</w:t>
            </w:r>
          </w:p>
        </w:tc>
        <w:tc>
          <w:tcPr>
            <w:tcW w:w="9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9"/>
        </w:trPr>
        <w:tc>
          <w:tcPr>
            <w:tcW w:w="1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6"/>
        </w:trPr>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1,074.9</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854.6</w:t>
            </w:r>
          </w:p>
        </w:tc>
      </w:tr>
      <w:tr>
        <w:trPr>
          <w:trHeight w:val="437"/>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1,054.6</w:t>
            </w:r>
          </w:p>
        </w:tc>
        <w:tc>
          <w:tcPr>
            <w:tcW w:w="960" w:type="dxa"/>
            <w:vAlign w:val="bottom"/>
          </w:tcPr>
          <w:p>
            <w:pPr>
              <w:jc w:val="right"/>
              <w:spacing w:after="0"/>
              <w:rPr>
                <w:sz w:val="20"/>
                <w:szCs w:val="20"/>
                <w:color w:val="auto"/>
              </w:rPr>
            </w:pPr>
            <w:r>
              <w:rPr>
                <w:rFonts w:ascii="Arial" w:cs="Arial" w:eastAsia="Arial" w:hAnsi="Arial"/>
                <w:sz w:val="16"/>
                <w:szCs w:val="16"/>
                <w:color w:val="auto"/>
              </w:rPr>
              <w:t>832.0</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7.7</w:t>
            </w:r>
          </w:p>
        </w:tc>
        <w:tc>
          <w:tcPr>
            <w:tcW w:w="9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17.8</w:t>
            </w:r>
          </w:p>
        </w:tc>
        <w:tc>
          <w:tcPr>
            <w:tcW w:w="96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5.2</w:t>
            </w:r>
          </w:p>
        </w:tc>
        <w:tc>
          <w:tcPr>
            <w:tcW w:w="9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3.6</w:t>
            </w:r>
          </w:p>
        </w:tc>
        <w:tc>
          <w:tcPr>
            <w:tcW w:w="9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3.8</w:t>
            </w:r>
          </w:p>
        </w:tc>
        <w:tc>
          <w:tcPr>
            <w:tcW w:w="9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0.2</w:t>
            </w: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0.2</w:t>
            </w: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0.2</w:t>
            </w:r>
          </w:p>
        </w:tc>
        <w:tc>
          <w:tcPr>
            <w:tcW w:w="9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9"/>
        </w:trPr>
        <w:tc>
          <w:tcPr>
            <w:tcW w:w="1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6"/>
        </w:trPr>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1,093.4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886.4</w:t>
            </w:r>
          </w:p>
        </w:tc>
      </w:tr>
      <w:tr>
        <w:trPr>
          <w:trHeight w:val="215"/>
        </w:trPr>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(18.5)</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(31.8)</w:t>
            </w:r>
          </w:p>
        </w:tc>
      </w:tr>
      <w:tr>
        <w:trPr>
          <w:trHeight w:val="215"/>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0.6</w:t>
            </w: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32.2</w:t>
            </w:r>
          </w:p>
        </w:tc>
        <w:tc>
          <w:tcPr>
            <w:tcW w:w="96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1.9</w:t>
            </w:r>
          </w:p>
        </w:tc>
        <w:tc>
          <w:tcPr>
            <w:tcW w:w="96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9"/>
        </w:trPr>
        <w:tc>
          <w:tcPr>
            <w:tcW w:w="1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16.3</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(21.1)</w:t>
            </w:r>
          </w:p>
        </w:tc>
      </w:tr>
      <w:tr>
        <w:trPr>
          <w:trHeight w:val="215"/>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(0.0)</w:t>
            </w:r>
          </w:p>
        </w:tc>
        <w:tc>
          <w:tcPr>
            <w:tcW w:w="9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9"/>
        </w:trPr>
        <w:tc>
          <w:tcPr>
            <w:tcW w:w="1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1520" w:type="dxa"/>
            <w:vAlign w:val="bottom"/>
          </w:tcPr>
          <w:p>
            <w:pPr>
              <w:jc w:val="right"/>
              <w:ind w:right="279"/>
              <w:spacing w:after="0"/>
              <w:rPr>
                <w:sz w:val="20"/>
                <w:szCs w:val="20"/>
                <w:color w:val="auto"/>
              </w:rPr>
            </w:pPr>
            <w:r>
              <w:rPr>
                <w:rFonts w:ascii="Arial" w:cs="Arial" w:eastAsia="Arial" w:hAnsi="Arial"/>
                <w:sz w:val="16"/>
                <w:szCs w:val="16"/>
                <w:b w:val="1"/>
                <w:bCs w:val="1"/>
                <w:color w:val="auto"/>
              </w:rPr>
              <w:t>16.2</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(21.3)</w:t>
            </w:r>
          </w:p>
        </w:tc>
      </w:tr>
      <w:tr>
        <w:trPr>
          <w:trHeight w:val="216"/>
        </w:trPr>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10"/>
        </w:trPr>
        <w:tc>
          <w:tcPr>
            <w:tcW w:w="15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$7.7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92"/>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$1.18</w:t>
            </w:r>
          </w:p>
        </w:tc>
        <w:tc>
          <w:tcPr>
            <w:tcW w:w="96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43"/>
        </w:trPr>
        <w:tc>
          <w:tcPr>
            <w:tcW w:w="1520" w:type="dxa"/>
            <w:vAlign w:val="bottom"/>
          </w:tcPr>
          <w:p>
            <w:pPr>
              <w:jc w:val="right"/>
              <w:ind w:right="279"/>
              <w:spacing w:after="0"/>
              <w:rPr>
                <w:sz w:val="20"/>
                <w:szCs w:val="20"/>
                <w:color w:val="auto"/>
              </w:rPr>
            </w:pPr>
            <w:r>
              <w:rPr>
                <w:rFonts w:ascii="Arial" w:cs="Arial" w:eastAsia="Arial" w:hAnsi="Arial"/>
                <w:sz w:val="16"/>
                <w:szCs w:val="16"/>
                <w:color w:val="auto"/>
              </w:rPr>
              <w:t>$1.13</w:t>
            </w:r>
          </w:p>
        </w:tc>
        <w:tc>
          <w:tcPr>
            <w:tcW w:w="960" w:type="dxa"/>
            <w:vAlign w:val="bottom"/>
          </w:tcPr>
          <w:p>
            <w:pPr>
              <w:jc w:val="right"/>
              <w:spacing w:after="0"/>
              <w:rPr>
                <w:sz w:val="20"/>
                <w:szCs w:val="20"/>
                <w:color w:val="auto"/>
              </w:rPr>
            </w:pPr>
            <w:r>
              <w:rPr>
                <w:rFonts w:ascii="Arial" w:cs="Arial" w:eastAsia="Arial" w:hAnsi="Arial"/>
                <w:sz w:val="16"/>
                <w:szCs w:val="16"/>
                <w:color w:val="auto"/>
              </w:rPr>
              <w:t>$(1.86)</w:t>
            </w:r>
          </w:p>
        </w:tc>
      </w:tr>
    </w:tbl>
    <w:p>
      <w:pPr>
        <w:sectPr>
          <w:pgSz w:w="11900" w:h="16838" w:orient="portrait"/>
          <w:cols w:equalWidth="0" w:num="2">
            <w:col w:w="6420" w:space="300"/>
            <w:col w:w="2480"/>
          </w:cols>
          <w:pgMar w:left="1380" w:top="1425" w:right="1319" w:bottom="1440" w:gutter="0" w:footer="0" w:header="0"/>
        </w:sectPr>
      </w:pPr>
    </w:p>
    <w:bookmarkStart w:id="11" w:name="page12"/>
    <w:bookmarkEnd w:id="11"/>
    <w:p>
      <w:pPr>
        <w:ind w:left="292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134620</wp:posOffset>
            </wp:positionV>
            <wp:extent cx="616331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63310" cy="171450"/>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FFFFFF"/>
        </w:rPr>
        <w:t>$ in millions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operating activities: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Non-cash lease expense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Share-based compensation expense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Forfeiture and cancellation of common units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Gain on lease assignment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Loss (gain) from change in fair value of warrant liability</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Changes in operating assets and liabilities: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Accounts receivable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Prepaid insurance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Accounts payable and accrued liabilities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Due to related party</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Deferred revenue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Operating lease liabilities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Customer funds payable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Assets and liabilities of businesses held for sale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assets and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activities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investing activities:</w:t>
      </w:r>
    </w:p>
    <w:p>
      <w:pPr>
        <w:spacing w:after="0" w:line="59" w:lineRule="exact"/>
        <w:rPr>
          <w:sz w:val="20"/>
          <w:szCs w:val="20"/>
          <w:color w:val="auto"/>
        </w:rPr>
      </w:pPr>
    </w:p>
    <w:p>
      <w:pPr>
        <w:ind w:left="240" w:right="660"/>
        <w:spacing w:after="0" w:line="281" w:lineRule="auto"/>
        <w:rPr>
          <w:sz w:val="20"/>
          <w:szCs w:val="20"/>
          <w:color w:val="auto"/>
        </w:rPr>
      </w:pPr>
      <w:r>
        <w:rPr>
          <w:rFonts w:ascii="Arial" w:cs="Arial" w:eastAsia="Arial" w:hAnsi="Arial"/>
          <w:sz w:val="16"/>
          <w:szCs w:val="16"/>
          <w:color w:val="auto"/>
        </w:rPr>
        <w:t>Capitalized internal-use software development costs and other capital expenditures Purchase of available-for-sale securities</w:t>
      </w:r>
    </w:p>
    <w:p>
      <w:pPr>
        <w:spacing w:after="0" w:line="1" w:lineRule="exact"/>
        <w:rPr>
          <w:sz w:val="20"/>
          <w:szCs w:val="20"/>
          <w:color w:val="auto"/>
        </w:rPr>
      </w:pPr>
    </w:p>
    <w:p>
      <w:pPr>
        <w:ind w:left="20" w:right="2320" w:firstLine="227"/>
        <w:spacing w:after="0" w:line="290" w:lineRule="auto"/>
        <w:rPr>
          <w:sz w:val="20"/>
          <w:szCs w:val="20"/>
          <w:color w:val="auto"/>
        </w:rPr>
      </w:pPr>
      <w:r>
        <w:rPr>
          <w:rFonts w:ascii="Arial" w:cs="Arial" w:eastAsia="Arial" w:hAnsi="Arial"/>
          <w:sz w:val="16"/>
          <w:szCs w:val="16"/>
          <w:color w:val="auto"/>
        </w:rPr>
        <w:t>Proceeds from the settlement of available-for-sale securities Net cash used in investing activities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39" w:lineRule="exact"/>
        <w:rPr>
          <w:sz w:val="20"/>
          <w:szCs w:val="20"/>
          <w:color w:val="auto"/>
        </w:rPr>
      </w:pPr>
    </w:p>
    <w:p>
      <w:pPr>
        <w:ind w:left="240" w:right="2420"/>
        <w:spacing w:after="0" w:line="277" w:lineRule="auto"/>
        <w:rPr>
          <w:sz w:val="20"/>
          <w:szCs w:val="20"/>
          <w:color w:val="auto"/>
        </w:rPr>
      </w:pPr>
      <w:r>
        <w:rPr>
          <w:rFonts w:ascii="Arial" w:cs="Arial" w:eastAsia="Arial" w:hAnsi="Arial"/>
          <w:sz w:val="16"/>
          <w:szCs w:val="16"/>
          <w:color w:val="auto"/>
        </w:rPr>
        <w:t>Proceeds from Concurrent Offerings, net of issuance costs Proceeds from the exercise of warrants</w:t>
      </w:r>
    </w:p>
    <w:p>
      <w:pPr>
        <w:spacing w:after="0" w:line="1" w:lineRule="exact"/>
        <w:rPr>
          <w:sz w:val="20"/>
          <w:szCs w:val="20"/>
          <w:color w:val="auto"/>
        </w:rPr>
      </w:pPr>
    </w:p>
    <w:p>
      <w:pPr>
        <w:ind w:left="240" w:right="1680"/>
        <w:spacing w:after="0" w:line="290" w:lineRule="auto"/>
        <w:rPr>
          <w:sz w:val="20"/>
          <w:szCs w:val="20"/>
          <w:color w:val="auto"/>
        </w:rPr>
      </w:pPr>
      <w:r>
        <w:rPr>
          <w:rFonts w:ascii="Arial" w:cs="Arial" w:eastAsia="Arial" w:hAnsi="Arial"/>
          <w:sz w:val="16"/>
          <w:szCs w:val="16"/>
          <w:color w:val="auto"/>
        </w:rPr>
        <w:t>Withholding tax payments on net share settlements on equity awards Proceeds on revolving credit facility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Effect of exchange rate changes</w:t>
      </w:r>
    </w:p>
    <w:p>
      <w:pPr>
        <w:spacing w:after="0" w:line="32" w:lineRule="exact"/>
        <w:rPr>
          <w:sz w:val="20"/>
          <w:szCs w:val="20"/>
          <w:color w:val="auto"/>
        </w:rPr>
      </w:pPr>
    </w:p>
    <w:p>
      <w:pPr>
        <w:ind w:left="240" w:right="380"/>
        <w:spacing w:after="0" w:line="246" w:lineRule="auto"/>
        <w:rPr>
          <w:sz w:val="20"/>
          <w:szCs w:val="20"/>
          <w:color w:val="auto"/>
        </w:rPr>
      </w:pPr>
      <w:r>
        <w:rPr>
          <w:rFonts w:ascii="Arial" w:cs="Arial" w:eastAsia="Arial" w:hAnsi="Arial"/>
          <w:sz w:val="16"/>
          <w:szCs w:val="16"/>
          <w:color w:val="auto"/>
        </w:rPr>
        <w:t>Net increase (decrease) in cash, cash equivalents, restricted cash, customer funds and deposits</w:t>
      </w:r>
    </w:p>
    <w:p>
      <w:pPr>
        <w:spacing w:after="0" w:line="1" w:lineRule="exact"/>
        <w:rPr>
          <w:sz w:val="20"/>
          <w:szCs w:val="20"/>
          <w:color w:val="auto"/>
        </w:rPr>
      </w:pPr>
    </w:p>
    <w:p>
      <w:pPr>
        <w:ind w:left="20" w:right="220"/>
        <w:spacing w:after="0" w:line="246" w:lineRule="auto"/>
        <w:rPr>
          <w:sz w:val="20"/>
          <w:szCs w:val="20"/>
          <w:color w:val="auto"/>
        </w:rPr>
      </w:pPr>
      <w:r>
        <w:rPr>
          <w:rFonts w:ascii="Arial" w:cs="Arial" w:eastAsia="Arial" w:hAnsi="Arial"/>
          <w:sz w:val="16"/>
          <w:szCs w:val="16"/>
          <w:color w:val="auto"/>
        </w:rPr>
        <w:t>Cash, cash equivalents, restricted cash, customer funds and deposits at the beginning of the period</w:t>
      </w:r>
    </w:p>
    <w:p>
      <w:pPr>
        <w:spacing w:after="0" w:line="1" w:lineRule="exact"/>
        <w:rPr>
          <w:sz w:val="20"/>
          <w:szCs w:val="20"/>
          <w:color w:val="auto"/>
        </w:rPr>
      </w:pPr>
    </w:p>
    <w:p>
      <w:pPr>
        <w:ind w:left="20" w:right="160"/>
        <w:spacing w:after="0" w:line="261" w:lineRule="auto"/>
        <w:rPr>
          <w:sz w:val="20"/>
          <w:szCs w:val="20"/>
          <w:color w:val="auto"/>
        </w:rPr>
      </w:pPr>
      <w:r>
        <w:rPr>
          <w:rFonts w:ascii="Arial" w:cs="Arial" w:eastAsia="Arial" w:hAnsi="Arial"/>
          <w:sz w:val="16"/>
          <w:szCs w:val="16"/>
          <w:b w:val="1"/>
          <w:bCs w:val="1"/>
          <w:color w:val="auto"/>
        </w:rPr>
        <w:t>Cash, cash equivalents, restricted cash, customer funds and deposits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3175</wp:posOffset>
            </wp:positionV>
            <wp:extent cx="61633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633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900" w:type="dxa"/>
        <w:tblCellMar>
          <w:top w:w="0" w:type="dxa"/>
          <w:left w:w="0" w:type="dxa"/>
          <w:bottom w:w="0" w:type="dxa"/>
          <w:right w:w="0" w:type="dxa"/>
        </w:tblCellMar>
      </w:tblPr>
      <w:tr>
        <w:trPr>
          <w:trHeight w:val="223"/>
        </w:trPr>
        <w:tc>
          <w:tcPr>
            <w:tcW w:w="880" w:type="dxa"/>
            <w:vAlign w:val="bottom"/>
          </w:tcPr>
          <w:p>
            <w:pPr>
              <w:jc w:val="right"/>
              <w:ind w:right="399"/>
              <w:spacing w:after="0"/>
              <w:rPr>
                <w:sz w:val="20"/>
                <w:szCs w:val="20"/>
                <w:color w:val="auto"/>
              </w:rPr>
            </w:pPr>
            <w:r>
              <w:rPr>
                <w:rFonts w:ascii="Arial" w:cs="Arial" w:eastAsia="Arial" w:hAnsi="Arial"/>
                <w:sz w:val="16"/>
                <w:szCs w:val="16"/>
                <w:b w:val="1"/>
                <w:bCs w:val="1"/>
                <w:color w:val="FFFFFF"/>
                <w:w w:val="96"/>
              </w:rPr>
              <w:t>1Q25</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FFFFFF"/>
              </w:rPr>
              <w:t>1Q24</w:t>
            </w:r>
          </w:p>
        </w:tc>
      </w:tr>
      <w:tr>
        <w:trPr>
          <w:trHeight w:val="451"/>
        </w:trPr>
        <w:tc>
          <w:tcPr>
            <w:tcW w:w="880" w:type="dxa"/>
            <w:vAlign w:val="bottom"/>
          </w:tcPr>
          <w:p>
            <w:pPr>
              <w:jc w:val="right"/>
              <w:ind w:right="359"/>
              <w:spacing w:after="0"/>
              <w:rPr>
                <w:sz w:val="20"/>
                <w:szCs w:val="20"/>
                <w:color w:val="auto"/>
              </w:rPr>
            </w:pPr>
            <w:r>
              <w:rPr>
                <w:rFonts w:ascii="Arial" w:cs="Arial" w:eastAsia="Arial" w:hAnsi="Arial"/>
                <w:sz w:val="16"/>
                <w:szCs w:val="16"/>
                <w:color w:val="auto"/>
              </w:rPr>
              <w:t>$16.2</w:t>
            </w:r>
          </w:p>
        </w:tc>
        <w:tc>
          <w:tcPr>
            <w:tcW w:w="96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432"/>
        </w:trPr>
        <w:tc>
          <w:tcPr>
            <w:tcW w:w="880" w:type="dxa"/>
            <w:vAlign w:val="bottom"/>
          </w:tcPr>
          <w:p>
            <w:pPr>
              <w:jc w:val="right"/>
              <w:ind w:right="359"/>
              <w:spacing w:after="0"/>
              <w:rPr>
                <w:sz w:val="20"/>
                <w:szCs w:val="20"/>
                <w:color w:val="auto"/>
              </w:rPr>
            </w:pPr>
            <w:r>
              <w:rPr>
                <w:rFonts w:ascii="Arial" w:cs="Arial" w:eastAsia="Arial" w:hAnsi="Arial"/>
                <w:sz w:val="16"/>
                <w:szCs w:val="16"/>
                <w:color w:val="auto"/>
              </w:rPr>
              <w:t>0.2</w:t>
            </w: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6"/>
        </w:trPr>
        <w:tc>
          <w:tcPr>
            <w:tcW w:w="880" w:type="dxa"/>
            <w:vAlign w:val="bottom"/>
          </w:tcPr>
          <w:p>
            <w:pPr>
              <w:jc w:val="right"/>
              <w:ind w:right="359"/>
              <w:spacing w:after="0"/>
              <w:rPr>
                <w:sz w:val="20"/>
                <w:szCs w:val="20"/>
                <w:color w:val="auto"/>
              </w:rPr>
            </w:pPr>
            <w:r>
              <w:rPr>
                <w:rFonts w:ascii="Arial" w:cs="Arial" w:eastAsia="Arial" w:hAnsi="Arial"/>
                <w:sz w:val="16"/>
                <w:szCs w:val="16"/>
                <w:color w:val="auto"/>
              </w:rPr>
              <w:t>0.3</w:t>
            </w: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880" w:type="dxa"/>
            <w:vAlign w:val="bottom"/>
          </w:tcPr>
          <w:p>
            <w:pPr>
              <w:jc w:val="right"/>
              <w:ind w:right="359"/>
              <w:spacing w:after="0"/>
              <w:rPr>
                <w:sz w:val="20"/>
                <w:szCs w:val="20"/>
                <w:color w:val="auto"/>
              </w:rPr>
            </w:pPr>
            <w:r>
              <w:rPr>
                <w:rFonts w:ascii="Arial" w:cs="Arial" w:eastAsia="Arial" w:hAnsi="Arial"/>
                <w:sz w:val="16"/>
                <w:szCs w:val="16"/>
                <w:color w:val="auto"/>
              </w:rPr>
              <w:t>3.3</w:t>
            </w:r>
          </w:p>
        </w:tc>
        <w:tc>
          <w:tcPr>
            <w:tcW w:w="960" w:type="dxa"/>
            <w:vAlign w:val="bottom"/>
          </w:tcPr>
          <w:p>
            <w:pPr>
              <w:jc w:val="right"/>
              <w:spacing w:after="0"/>
              <w:rPr>
                <w:sz w:val="20"/>
                <w:szCs w:val="20"/>
                <w:color w:val="auto"/>
              </w:rPr>
            </w:pPr>
            <w:r>
              <w:rPr>
                <w:rFonts w:ascii="Arial" w:cs="Arial" w:eastAsia="Arial" w:hAnsi="Arial"/>
                <w:sz w:val="16"/>
                <w:szCs w:val="16"/>
                <w:color w:val="auto"/>
              </w:rPr>
              <w:t>8.0</w:t>
            </w:r>
          </w:p>
        </w:tc>
      </w:tr>
    </w:tbl>
    <w:p>
      <w:pPr>
        <w:spacing w:after="0" w:line="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0.3</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80" w:type="dxa"/>
            <w:vAlign w:val="bottom"/>
          </w:tcPr>
          <w:p>
            <w:pPr>
              <w:jc w:val="right"/>
              <w:ind w:right="459"/>
              <w:spacing w:after="0"/>
              <w:rPr>
                <w:sz w:val="20"/>
                <w:szCs w:val="20"/>
                <w:color w:val="auto"/>
              </w:rPr>
            </w:pPr>
            <w:r>
              <w:rPr>
                <w:rFonts w:ascii="Arial" w:cs="Arial" w:eastAsia="Arial" w:hAnsi="Arial"/>
                <w:sz w:val="16"/>
                <w:szCs w:val="16"/>
                <w:color w:val="auto"/>
              </w:rPr>
              <w:t>(32.2)</w:t>
            </w: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459"/>
        </w:trPr>
        <w:tc>
          <w:tcPr>
            <w:tcW w:w="1880" w:type="dxa"/>
            <w:vAlign w:val="bottom"/>
          </w:tcPr>
          <w:p>
            <w:pPr>
              <w:jc w:val="right"/>
              <w:ind w:right="459"/>
              <w:spacing w:after="0"/>
              <w:rPr>
                <w:sz w:val="20"/>
                <w:szCs w:val="20"/>
                <w:color w:val="auto"/>
              </w:rPr>
            </w:pPr>
            <w:r>
              <w:rPr>
                <w:rFonts w:ascii="Arial" w:cs="Arial" w:eastAsia="Arial" w:hAnsi="Arial"/>
                <w:sz w:val="16"/>
                <w:szCs w:val="16"/>
                <w:color w:val="auto"/>
              </w:rPr>
              <w:t>(3.6)</w:t>
            </w: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1880" w:type="dxa"/>
            <w:vAlign w:val="bottom"/>
          </w:tcPr>
          <w:p>
            <w:pPr>
              <w:jc w:val="right"/>
              <w:ind w:right="459"/>
              <w:spacing w:after="0"/>
              <w:rPr>
                <w:sz w:val="20"/>
                <w:szCs w:val="20"/>
                <w:color w:val="auto"/>
              </w:rPr>
            </w:pPr>
            <w:r>
              <w:rPr>
                <w:rFonts w:ascii="Arial" w:cs="Arial" w:eastAsia="Arial" w:hAnsi="Arial"/>
                <w:sz w:val="16"/>
                <w:szCs w:val="16"/>
                <w:color w:val="auto"/>
              </w:rPr>
              <w:t>1.4</w:t>
            </w: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1880" w:type="dxa"/>
            <w:vAlign w:val="bottom"/>
          </w:tcPr>
          <w:p>
            <w:pPr>
              <w:jc w:val="right"/>
              <w:ind w:right="459"/>
              <w:spacing w:after="0"/>
              <w:rPr>
                <w:sz w:val="20"/>
                <w:szCs w:val="20"/>
                <w:color w:val="auto"/>
              </w:rPr>
            </w:pPr>
            <w:r>
              <w:rPr>
                <w:rFonts w:ascii="Arial" w:cs="Arial" w:eastAsia="Arial" w:hAnsi="Arial"/>
                <w:sz w:val="16"/>
                <w:szCs w:val="16"/>
                <w:color w:val="auto"/>
              </w:rPr>
              <w:t>(1.8)</w:t>
            </w:r>
          </w:p>
        </w:tc>
        <w:tc>
          <w:tcPr>
            <w:tcW w:w="8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1880" w:type="dxa"/>
            <w:vAlign w:val="bottom"/>
          </w:tcPr>
          <w:p>
            <w:pPr>
              <w:jc w:val="right"/>
              <w:ind w:right="459"/>
              <w:spacing w:after="0"/>
              <w:rPr>
                <w:sz w:val="20"/>
                <w:szCs w:val="20"/>
                <w:color w:val="auto"/>
              </w:rPr>
            </w:pPr>
            <w:r>
              <w:rPr>
                <w:rFonts w:ascii="Arial" w:cs="Arial" w:eastAsia="Arial" w:hAnsi="Arial"/>
                <w:sz w:val="16"/>
                <w:szCs w:val="16"/>
                <w:color w:val="auto"/>
              </w:rPr>
              <w:t>(0.2)</w:t>
            </w:r>
          </w:p>
        </w:tc>
        <w:tc>
          <w:tcPr>
            <w:tcW w:w="8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1880" w:type="dxa"/>
            <w:vAlign w:val="bottom"/>
          </w:tcPr>
          <w:p>
            <w:pPr>
              <w:jc w:val="right"/>
              <w:ind w:right="459"/>
              <w:spacing w:after="0"/>
              <w:rPr>
                <w:sz w:val="20"/>
                <w:szCs w:val="20"/>
                <w:color w:val="auto"/>
              </w:rPr>
            </w:pPr>
            <w:r>
              <w:rPr>
                <w:rFonts w:ascii="Arial" w:cs="Arial" w:eastAsia="Arial" w:hAnsi="Arial"/>
                <w:sz w:val="16"/>
                <w:szCs w:val="16"/>
                <w:color w:val="auto"/>
              </w:rPr>
              <w:t>(0.4)</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1880" w:type="dxa"/>
            <w:vAlign w:val="bottom"/>
          </w:tcPr>
          <w:p>
            <w:pPr>
              <w:jc w:val="right"/>
              <w:ind w:right="459"/>
              <w:spacing w:after="0"/>
              <w:rPr>
                <w:sz w:val="20"/>
                <w:szCs w:val="20"/>
                <w:color w:val="auto"/>
              </w:rPr>
            </w:pPr>
            <w:r>
              <w:rPr>
                <w:rFonts w:ascii="Arial" w:cs="Arial" w:eastAsia="Arial" w:hAnsi="Arial"/>
                <w:sz w:val="16"/>
                <w:szCs w:val="16"/>
                <w:color w:val="auto"/>
              </w:rPr>
              <w:t>(1.8)</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1880" w:type="dxa"/>
            <w:vAlign w:val="bottom"/>
          </w:tcPr>
          <w:p>
            <w:pPr>
              <w:jc w:val="right"/>
              <w:ind w:right="459"/>
              <w:spacing w:after="0"/>
              <w:rPr>
                <w:sz w:val="20"/>
                <w:szCs w:val="20"/>
                <w:color w:val="auto"/>
              </w:rPr>
            </w:pPr>
            <w:r>
              <w:rPr>
                <w:rFonts w:ascii="Arial" w:cs="Arial" w:eastAsia="Arial" w:hAnsi="Arial"/>
                <w:sz w:val="16"/>
                <w:szCs w:val="16"/>
                <w:color w:val="auto"/>
              </w:rPr>
              <w:t>(76.6)</w:t>
            </w:r>
          </w:p>
        </w:tc>
        <w:tc>
          <w:tcPr>
            <w:tcW w:w="88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216"/>
        </w:trPr>
        <w:tc>
          <w:tcPr>
            <w:tcW w:w="1880" w:type="dxa"/>
            <w:vAlign w:val="bottom"/>
          </w:tcPr>
          <w:p>
            <w:pPr>
              <w:jc w:val="right"/>
              <w:ind w:right="459"/>
              <w:spacing w:after="0"/>
              <w:rPr>
                <w:sz w:val="20"/>
                <w:szCs w:val="20"/>
                <w:color w:val="auto"/>
              </w:rPr>
            </w:pPr>
            <w:r>
              <w:rPr>
                <w:rFonts w:ascii="Arial" w:cs="Arial" w:eastAsia="Arial" w:hAnsi="Arial"/>
                <w:sz w:val="16"/>
                <w:szCs w:val="16"/>
                <w:color w:val="auto"/>
              </w:rPr>
              <w:t>(3.5)</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8"/>
        </w:trPr>
        <w:tc>
          <w:tcPr>
            <w:tcW w:w="18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(101.3)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r>
      <w:tr>
        <w:trPr>
          <w:trHeight w:val="444"/>
        </w:trPr>
        <w:tc>
          <w:tcPr>
            <w:tcW w:w="1880" w:type="dxa"/>
            <w:vAlign w:val="bottom"/>
          </w:tcPr>
          <w:p>
            <w:pPr>
              <w:jc w:val="right"/>
              <w:ind w:right="499"/>
              <w:spacing w:after="0"/>
              <w:rPr>
                <w:sz w:val="20"/>
                <w:szCs w:val="20"/>
                <w:color w:val="auto"/>
              </w:rPr>
            </w:pPr>
            <w:r>
              <w:rPr>
                <w:rFonts w:ascii="Arial" w:cs="Arial" w:eastAsia="Arial" w:hAnsi="Arial"/>
                <w:sz w:val="16"/>
                <w:szCs w:val="16"/>
                <w:color w:val="auto"/>
              </w:rPr>
              <w:t>(0.1)</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—(18.0)</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748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6" w:lineRule="exact"/>
        <w:rPr>
          <w:sz w:val="20"/>
          <w:szCs w:val="20"/>
          <w:color w:val="auto"/>
        </w:rPr>
      </w:pPr>
    </w:p>
    <w:p>
      <w:pPr>
        <w:ind w:left="960"/>
        <w:spacing w:after="0"/>
        <w:tabs>
          <w:tab w:leader="none" w:pos="2380" w:val="left"/>
        </w:tabs>
        <w:rPr>
          <w:sz w:val="20"/>
          <w:szCs w:val="20"/>
          <w:color w:val="auto"/>
        </w:rPr>
      </w:pPr>
      <w:r>
        <w:rPr>
          <w:rFonts w:ascii="Arial" w:cs="Arial" w:eastAsia="Arial" w:hAnsi="Arial"/>
          <w:sz w:val="16"/>
          <w:szCs w:val="16"/>
          <w:color w:val="auto"/>
        </w:rPr>
        <w:t>(0.1)</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17487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—39.0</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0.0—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80" w:type="dxa"/>
            <w:vAlign w:val="bottom"/>
          </w:tcPr>
          <w:p>
            <w:pPr>
              <w:jc w:val="right"/>
              <w:spacing w:after="0"/>
              <w:rPr>
                <w:sz w:val="20"/>
                <w:szCs w:val="20"/>
                <w:color w:val="auto"/>
              </w:rPr>
            </w:pPr>
            <w:r>
              <w:rPr>
                <w:rFonts w:ascii="Arial" w:cs="Arial" w:eastAsia="Arial" w:hAnsi="Arial"/>
                <w:sz w:val="16"/>
                <w:szCs w:val="16"/>
                <w:color w:val="auto"/>
              </w:rPr>
              <w:t>(0.9)</w:t>
            </w:r>
          </w:p>
        </w:tc>
        <w:tc>
          <w:tcPr>
            <w:tcW w:w="13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r>
      <w:tr>
        <w:trPr>
          <w:trHeight w:val="209"/>
        </w:trPr>
        <w:tc>
          <w:tcPr>
            <w:tcW w:w="1380" w:type="dxa"/>
            <w:vAlign w:val="bottom"/>
          </w:tcPr>
          <w:p>
            <w:pPr>
              <w:jc w:val="right"/>
              <w:spacing w:after="0"/>
              <w:rPr>
                <w:sz w:val="20"/>
                <w:szCs w:val="20"/>
                <w:color w:val="auto"/>
              </w:rPr>
            </w:pPr>
            <w:r>
              <w:rPr>
                <w:rFonts w:ascii="Arial" w:cs="Arial" w:eastAsia="Arial" w:hAnsi="Arial"/>
                <w:sz w:val="16"/>
                <w:szCs w:val="16"/>
                <w:color w:val="auto"/>
              </w:rPr>
              <w:t>0.0</w:t>
            </w:r>
          </w:p>
        </w:tc>
        <w:tc>
          <w:tcPr>
            <w:tcW w:w="13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77"/>
        </w:trPr>
        <w:tc>
          <w:tcPr>
            <w:tcW w:w="1380" w:type="dxa"/>
            <w:vAlign w:val="bottom"/>
          </w:tcPr>
          <w:p>
            <w:pPr>
              <w:jc w:val="right"/>
              <w:spacing w:after="0"/>
              <w:rPr>
                <w:sz w:val="20"/>
                <w:szCs w:val="20"/>
                <w:color w:val="auto"/>
              </w:rPr>
            </w:pPr>
            <w:r>
              <w:rPr>
                <w:rFonts w:ascii="Arial" w:cs="Arial" w:eastAsia="Arial" w:hAnsi="Arial"/>
                <w:sz w:val="16"/>
                <w:szCs w:val="16"/>
                <w:color w:val="auto"/>
              </w:rPr>
              <w:t>(97.3)</w:t>
            </w:r>
          </w:p>
        </w:tc>
        <w:tc>
          <w:tcPr>
            <w:tcW w:w="1380" w:type="dxa"/>
            <w:vAlign w:val="bottom"/>
          </w:tcPr>
          <w:p>
            <w:pPr>
              <w:jc w:val="right"/>
              <w:spacing w:after="0"/>
              <w:rPr>
                <w:sz w:val="20"/>
                <w:szCs w:val="20"/>
                <w:color w:val="auto"/>
              </w:rPr>
            </w:pPr>
            <w:r>
              <w:rPr>
                <w:rFonts w:ascii="Arial" w:cs="Arial" w:eastAsia="Arial" w:hAnsi="Arial"/>
                <w:sz w:val="16"/>
                <w:szCs w:val="16"/>
                <w:color w:val="auto"/>
              </w:rPr>
              <w:t>72.3</w:t>
            </w:r>
          </w:p>
        </w:tc>
      </w:tr>
      <w:tr>
        <w:trPr>
          <w:trHeight w:val="379"/>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w:t>
            </w:r>
          </w:p>
        </w:tc>
      </w:tr>
      <w:tr>
        <w:trPr>
          <w:trHeight w:val="346"/>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$190.8</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860" w:space="40"/>
            <w:col w:w="2760"/>
          </w:cols>
          <w:pgMar w:left="1140" w:top="1425" w:right="1099" w:bottom="1440" w:gutter="0" w:footer="0" w:header="0"/>
        </w:sectPr>
      </w:pPr>
    </w:p>
    <w:bookmarkStart w:id="12" w:name="page13"/>
    <w:bookmarkEnd w:id="12"/>
    <w:p>
      <w:pPr>
        <w:spacing w:after="0" w:line="200" w:lineRule="exact"/>
        <w:rPr>
          <w:sz w:val="20"/>
          <w:szCs w:val="20"/>
          <w:color w:val="auto"/>
        </w:rPr>
      </w:pPr>
    </w:p>
    <w:p>
      <w:pPr>
        <w:spacing w:after="0" w:line="258" w:lineRule="exact"/>
        <w:rPr>
          <w:sz w:val="20"/>
          <w:szCs w:val="20"/>
          <w:color w:val="auto"/>
        </w:rPr>
      </w:pPr>
    </w:p>
    <w:p>
      <w:pPr>
        <w:ind w:left="3340"/>
        <w:spacing w:after="0"/>
        <w:rPr>
          <w:sz w:val="20"/>
          <w:szCs w:val="20"/>
          <w:color w:val="auto"/>
        </w:rPr>
      </w:pPr>
      <w:r>
        <w:rPr>
          <w:rFonts w:ascii="Arial" w:cs="Arial" w:eastAsia="Arial" w:hAnsi="Arial"/>
          <w:sz w:val="20"/>
          <w:szCs w:val="20"/>
          <w:b w:val="1"/>
          <w:bCs w:val="1"/>
          <w:color w:val="auto"/>
        </w:rPr>
        <w:t>Reconciliation of Non-GAAP Financial Measures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 – Adjusted EBITDA</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Adjusted EBITDA is defined as earnings before interest, income taxes, depreciation, amortization, acquisition-related expenses,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w:t>
      </w: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auto"/>
        </w:rPr>
        <w:t>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20"/>
          <w:szCs w:val="20"/>
          <w:color w:val="auto"/>
        </w:rPr>
        <w:t>Non-GAAP financial measures like Adjusted EBITDA and Free Cash Flow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257" w:lineRule="exact"/>
        <w:rPr>
          <w:sz w:val="20"/>
          <w:szCs w:val="20"/>
          <w:color w:val="auto"/>
        </w:rPr>
      </w:pPr>
    </w:p>
    <w:tbl>
      <w:tblPr>
        <w:tblLayout w:type="fixed"/>
        <w:tblInd w:w="700" w:type="dxa"/>
        <w:tblCellMar>
          <w:top w:w="0" w:type="dxa"/>
          <w:left w:w="0" w:type="dxa"/>
          <w:bottom w:w="0" w:type="dxa"/>
          <w:right w:w="0" w:type="dxa"/>
        </w:tblCellMar>
      </w:tblPr>
      <w:tr>
        <w:trPr>
          <w:trHeight w:val="243"/>
        </w:trPr>
        <w:tc>
          <w:tcPr>
            <w:tcW w:w="7380" w:type="dxa"/>
            <w:vAlign w:val="bottom"/>
            <w:shd w:val="clear" w:color="auto" w:fill="000000"/>
          </w:tcPr>
          <w:p>
            <w:pPr>
              <w:ind w:left="80"/>
              <w:spacing w:after="0"/>
              <w:rPr>
                <w:sz w:val="20"/>
                <w:szCs w:val="20"/>
                <w:color w:val="auto"/>
              </w:rPr>
            </w:pPr>
            <w:r>
              <w:rPr>
                <w:rFonts w:ascii="Arial" w:cs="Arial" w:eastAsia="Arial" w:hAnsi="Arial"/>
                <w:sz w:val="16"/>
                <w:szCs w:val="16"/>
                <w:b w:val="1"/>
                <w:bCs w:val="1"/>
                <w:i w:val="1"/>
                <w:iCs w:val="1"/>
                <w:color w:val="FFFFFF"/>
              </w:rPr>
              <w:t>$mm's</w:t>
            </w:r>
          </w:p>
        </w:tc>
        <w:tc>
          <w:tcPr>
            <w:tcW w:w="1200" w:type="dxa"/>
            <w:vAlign w:val="bottom"/>
            <w:shd w:val="clear" w:color="auto" w:fill="000000"/>
          </w:tcPr>
          <w:p>
            <w:pPr>
              <w:jc w:val="right"/>
              <w:spacing w:after="0"/>
              <w:rPr>
                <w:sz w:val="20"/>
                <w:szCs w:val="20"/>
                <w:color w:val="auto"/>
              </w:rPr>
            </w:pPr>
            <w:r>
              <w:rPr>
                <w:rFonts w:ascii="Arial" w:cs="Arial" w:eastAsia="Arial" w:hAnsi="Arial"/>
                <w:sz w:val="16"/>
                <w:szCs w:val="16"/>
                <w:b w:val="1"/>
                <w:bCs w:val="1"/>
                <w:color w:val="FFFFFF"/>
              </w:rPr>
              <w:t>1Q25</w:t>
            </w:r>
          </w:p>
        </w:tc>
        <w:tc>
          <w:tcPr>
            <w:tcW w:w="1280" w:type="dxa"/>
            <w:vAlign w:val="bottom"/>
            <w:shd w:val="clear" w:color="auto" w:fill="000000"/>
          </w:tcPr>
          <w:p>
            <w:pPr>
              <w:jc w:val="right"/>
              <w:spacing w:after="0"/>
              <w:rPr>
                <w:sz w:val="20"/>
                <w:szCs w:val="20"/>
                <w:color w:val="auto"/>
              </w:rPr>
            </w:pPr>
            <w:r>
              <w:rPr>
                <w:rFonts w:ascii="Arial" w:cs="Arial" w:eastAsia="Arial" w:hAnsi="Arial"/>
                <w:sz w:val="16"/>
                <w:szCs w:val="16"/>
                <w:b w:val="1"/>
                <w:bCs w:val="1"/>
                <w:color w:val="FFFFFF"/>
              </w:rPr>
              <w:t>1Q24</w:t>
            </w:r>
          </w:p>
        </w:tc>
      </w:tr>
      <w:tr>
        <w:trPr>
          <w:trHeight w:val="215"/>
        </w:trPr>
        <w:tc>
          <w:tcPr>
            <w:tcW w:w="7380" w:type="dxa"/>
            <w:vAlign w:val="bottom"/>
          </w:tcPr>
          <w:p>
            <w:pPr>
              <w:ind w:left="80"/>
              <w:spacing w:after="0"/>
              <w:rPr>
                <w:sz w:val="20"/>
                <w:szCs w:val="20"/>
                <w:color w:val="auto"/>
              </w:rPr>
            </w:pPr>
            <w:r>
              <w:rPr>
                <w:rFonts w:ascii="Arial" w:cs="Arial" w:eastAsia="Arial" w:hAnsi="Arial"/>
                <w:sz w:val="16"/>
                <w:szCs w:val="16"/>
                <w:b w:val="1"/>
                <w:bCs w:val="1"/>
                <w:color w:val="auto"/>
              </w:rPr>
              <w:t>Net income (loss)</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$(21.3)</w:t>
            </w:r>
          </w:p>
        </w:tc>
      </w:tr>
      <w:tr>
        <w:trPr>
          <w:trHeight w:val="228"/>
        </w:trPr>
        <w:tc>
          <w:tcPr>
            <w:tcW w:w="738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3"/>
        </w:trPr>
        <w:tc>
          <w:tcPr>
            <w:tcW w:w="7380" w:type="dxa"/>
            <w:vAlign w:val="bottom"/>
          </w:tcPr>
          <w:p>
            <w:pPr>
              <w:ind w:left="80"/>
              <w:spacing w:after="0"/>
              <w:rPr>
                <w:sz w:val="20"/>
                <w:szCs w:val="20"/>
                <w:color w:val="auto"/>
              </w:rPr>
            </w:pPr>
            <w:r>
              <w:rPr>
                <w:rFonts w:ascii="Arial" w:cs="Arial" w:eastAsia="Arial" w:hAnsi="Arial"/>
                <w:sz w:val="16"/>
                <w:szCs w:val="16"/>
                <w:color w:val="auto"/>
              </w:rPr>
              <w:t>Interest income, net</w:t>
            </w: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c>
          <w:tcPr>
            <w:tcW w:w="12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2"/>
        </w:trPr>
        <w:tc>
          <w:tcPr>
            <w:tcW w:w="7380" w:type="dxa"/>
            <w:vAlign w:val="bottom"/>
          </w:tcPr>
          <w:p>
            <w:pPr>
              <w:ind w:left="80"/>
              <w:spacing w:after="0"/>
              <w:rPr>
                <w:sz w:val="20"/>
                <w:szCs w:val="20"/>
                <w:color w:val="auto"/>
              </w:rPr>
            </w:pPr>
            <w:r>
              <w:rPr>
                <w:rFonts w:ascii="Arial" w:cs="Arial" w:eastAsia="Arial" w:hAnsi="Arial"/>
                <w:sz w:val="16"/>
                <w:szCs w:val="16"/>
                <w:color w:val="auto"/>
              </w:rPr>
              <w:t>Income tax expense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5"/>
        </w:trPr>
        <w:tc>
          <w:tcPr>
            <w:tcW w:w="7380" w:type="dxa"/>
            <w:vAlign w:val="bottom"/>
          </w:tcPr>
          <w:p>
            <w:pPr>
              <w:ind w:left="80"/>
              <w:spacing w:after="0"/>
              <w:rPr>
                <w:sz w:val="20"/>
                <w:szCs w:val="20"/>
                <w:color w:val="auto"/>
              </w:rPr>
            </w:pPr>
            <w:r>
              <w:rPr>
                <w:rFonts w:ascii="Arial" w:cs="Arial" w:eastAsia="Arial" w:hAnsi="Arial"/>
                <w:sz w:val="16"/>
                <w:szCs w:val="16"/>
                <w:b w:val="1"/>
                <w:bCs w:val="1"/>
                <w:color w:val="auto"/>
              </w:rPr>
              <w:t>EBITDA</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$15.9</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$(22.0)</w:t>
            </w:r>
          </w:p>
        </w:tc>
      </w:tr>
      <w:tr>
        <w:trPr>
          <w:trHeight w:val="215"/>
        </w:trPr>
        <w:tc>
          <w:tcPr>
            <w:tcW w:w="7380" w:type="dxa"/>
            <w:vAlign w:val="bottom"/>
          </w:tcPr>
          <w:p>
            <w:pPr>
              <w:ind w:left="80"/>
              <w:spacing w:after="0"/>
              <w:rPr>
                <w:sz w:val="20"/>
                <w:szCs w:val="20"/>
                <w:color w:val="auto"/>
              </w:rPr>
            </w:pPr>
            <w:r>
              <w:rPr>
                <w:rFonts w:ascii="Arial" w:cs="Arial" w:eastAsia="Arial" w:hAnsi="Arial"/>
                <w:sz w:val="16"/>
                <w:szCs w:val="16"/>
                <w:color w:val="auto"/>
              </w:rPr>
              <w:t>Share-based and unit-based compensation expense</w:t>
            </w: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2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30"/>
        </w:trPr>
        <w:tc>
          <w:tcPr>
            <w:tcW w:w="7380" w:type="dxa"/>
            <w:vAlign w:val="bottom"/>
          </w:tcPr>
          <w:p>
            <w:pPr>
              <w:ind w:left="80"/>
              <w:spacing w:after="0"/>
              <w:rPr>
                <w:sz w:val="20"/>
                <w:szCs w:val="20"/>
                <w:color w:val="auto"/>
              </w:rPr>
            </w:pPr>
            <w:r>
              <w:rPr>
                <w:rFonts w:ascii="Arial" w:cs="Arial" w:eastAsia="Arial" w:hAnsi="Arial"/>
                <w:sz w:val="16"/>
                <w:szCs w:val="16"/>
                <w:color w:val="auto"/>
              </w:rPr>
              <w:t>Gain from change in fair value of warrant liability</w:t>
            </w:r>
          </w:p>
        </w:tc>
        <w:tc>
          <w:tcPr>
            <w:tcW w:w="1200" w:type="dxa"/>
            <w:vAlign w:val="bottom"/>
          </w:tcPr>
          <w:p>
            <w:pPr>
              <w:jc w:val="right"/>
              <w:spacing w:after="0"/>
              <w:rPr>
                <w:sz w:val="20"/>
                <w:szCs w:val="20"/>
                <w:color w:val="auto"/>
              </w:rPr>
            </w:pPr>
            <w:r>
              <w:rPr>
                <w:rFonts w:ascii="Arial" w:cs="Arial" w:eastAsia="Arial" w:hAnsi="Arial"/>
                <w:sz w:val="16"/>
                <w:szCs w:val="16"/>
                <w:color w:val="auto"/>
              </w:rPr>
              <w:t>(32.2)</w:t>
            </w:r>
          </w:p>
        </w:tc>
        <w:tc>
          <w:tcPr>
            <w:tcW w:w="12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30"/>
        </w:trPr>
        <w:tc>
          <w:tcPr>
            <w:tcW w:w="7380" w:type="dxa"/>
            <w:vAlign w:val="bottom"/>
          </w:tcPr>
          <w:p>
            <w:pPr>
              <w:ind w:left="80"/>
              <w:spacing w:after="0"/>
              <w:rPr>
                <w:sz w:val="20"/>
                <w:szCs w:val="20"/>
                <w:color w:val="auto"/>
              </w:rPr>
            </w:pPr>
            <w:r>
              <w:rPr>
                <w:rFonts w:ascii="Arial" w:cs="Arial" w:eastAsia="Arial" w:hAnsi="Arial"/>
                <w:sz w:val="16"/>
                <w:szCs w:val="16"/>
                <w:color w:val="auto"/>
              </w:rPr>
              <w:t>Impairment of long-lived assets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7380" w:type="dxa"/>
            <w:vAlign w:val="bottom"/>
          </w:tcPr>
          <w:p>
            <w:pPr>
              <w:ind w:left="80"/>
              <w:spacing w:after="0"/>
              <w:rPr>
                <w:sz w:val="20"/>
                <w:szCs w:val="20"/>
                <w:color w:val="auto"/>
              </w:rPr>
            </w:pPr>
            <w:r>
              <w:rPr>
                <w:rFonts w:ascii="Arial" w:cs="Arial" w:eastAsia="Arial" w:hAnsi="Arial"/>
                <w:sz w:val="16"/>
                <w:szCs w:val="16"/>
                <w:color w:val="auto"/>
              </w:rPr>
              <w:t>Restructuring expenses</w:t>
            </w: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12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6"/>
        </w:trPr>
        <w:tc>
          <w:tcPr>
            <w:tcW w:w="7380" w:type="dxa"/>
            <w:vAlign w:val="bottom"/>
          </w:tcPr>
          <w:p>
            <w:pPr>
              <w:ind w:left="80"/>
              <w:spacing w:after="0"/>
              <w:rPr>
                <w:sz w:val="20"/>
                <w:szCs w:val="20"/>
                <w:color w:val="auto"/>
              </w:rPr>
            </w:pPr>
            <w:r>
              <w:rPr>
                <w:rFonts w:ascii="Arial" w:cs="Arial" w:eastAsia="Arial" w:hAnsi="Arial"/>
                <w:sz w:val="16"/>
                <w:szCs w:val="16"/>
                <w:color w:val="auto"/>
              </w:rPr>
              <w:t>Shelf registration expenses</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7380" w:type="dxa"/>
            <w:vAlign w:val="bottom"/>
          </w:tcPr>
          <w:p>
            <w:pPr>
              <w:ind w:left="80"/>
              <w:spacing w:after="0"/>
              <w:rPr>
                <w:sz w:val="20"/>
                <w:szCs w:val="20"/>
                <w:color w:val="auto"/>
              </w:rPr>
            </w:pPr>
            <w:r>
              <w:rPr>
                <w:rFonts w:ascii="Arial" w:cs="Arial" w:eastAsia="Arial" w:hAnsi="Arial"/>
                <w:sz w:val="16"/>
                <w:szCs w:val="16"/>
                <w:color w:val="auto"/>
              </w:rPr>
              <w:t>Transition services expense</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25"/>
        </w:trPr>
        <w:tc>
          <w:tcPr>
            <w:tcW w:w="7380" w:type="dxa"/>
            <w:vAlign w:val="bottom"/>
          </w:tcPr>
          <w:p>
            <w:pPr>
              <w:ind w:left="80"/>
              <w:spacing w:after="0"/>
              <w:rPr>
                <w:sz w:val="20"/>
                <w:szCs w:val="20"/>
                <w:color w:val="auto"/>
              </w:rPr>
            </w:pPr>
            <w:r>
              <w:rPr>
                <w:rFonts w:ascii="Arial" w:cs="Arial" w:eastAsia="Arial" w:hAnsi="Arial"/>
                <w:sz w:val="16"/>
                <w:szCs w:val="16"/>
                <w:color w:val="auto"/>
              </w:rPr>
              <w:t>Gain on lease assignment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73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Adjusted EBITDA loss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$(16.3)</w:t>
            </w:r>
          </w:p>
        </w:tc>
      </w:tr>
    </w:tbl>
    <w:p>
      <w:pPr>
        <w:spacing w:after="0" w:line="1" w:lineRule="exact"/>
        <w:rPr>
          <w:sz w:val="20"/>
          <w:szCs w:val="20"/>
          <w:color w:val="auto"/>
        </w:rPr>
      </w:pP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emdash "/>
      <w:numFmt w:val="bullet"/>
      <w:start w:val="1"/>
    </w:lvl>
  </w:abstractNum>
  <w:abstractNum w:abstractNumId="11">
    <w:nsid w:val="140E0F76"/>
    <w:multiLevelType w:val="hybridMultilevel"/>
    <w:lvl w:ilvl="0">
      <w:lvlJc w:val="left"/>
      <w:lvlText w:val="\emdash "/>
      <w:numFmt w:val="bullet"/>
      <w:start w:val="1"/>
    </w:lvl>
  </w:abstractNum>
  <w:abstractNum w:abstractNumId="12">
    <w:nsid w:val="3352255A"/>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2025-05-12T15:37:45Z</dcterms:created>
  <dcterms:modified xsi:type="dcterms:W3CDTF">2025-05-12T15:37:45Z</dcterms:modified>
</cp:coreProperties>
</file>