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FORM 8-K/A</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1</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April 1, 2023</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120" w:after="283"/>
        <w:jc w:val="center"/>
        <w:rPr>
          <w:rFonts w:ascii="Times New Roman;sans-serif" w:hAnsi="Times New Roman;sans-serif"/>
          <w:b/>
          <w:color w:val="000000"/>
          <w:sz w:val="40"/>
        </w:rPr>
      </w:pPr>
      <w:r>
        <w:rPr>
          <w:rFonts w:ascii="Times New Roman;sans-serif" w:hAnsi="Times New Roman;sans-serif"/>
          <w:b/>
          <w:color w:val="000000"/>
          <w:sz w:val="40"/>
        </w:rPr>
        <w:t>Bakkt Holdings,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5271" w:type="dxa"/>
        <w:jc w:val="center"/>
        <w:tblInd w:w="0" w:type="dxa"/>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001-39544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98-1550750</w:t>
            </w:r>
          </w:p>
        </w:tc>
      </w:tr>
      <w:tr>
        <w:trPr/>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tbl>
      <w:tblPr>
        <w:tblW w:w="4525" w:type="dxa"/>
        <w:jc w:val="center"/>
        <w:tblInd w:w="0" w:type="dxa"/>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10000 Avalon Boulevard, Suite 1000,</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Alpharetta, Georgia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30009</w:t>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(678) 534-5849</w:t>
      </w:r>
    </w:p>
    <w:p>
      <w:pPr>
        <w:pStyle w:val="TextBody"/>
        <w:spacing w:before="0" w:after="0"/>
        <w:jc w:val="center"/>
        <w:rPr/>
      </w:pPr>
      <w:r>
        <w:rPr/>
      </w:r>
    </w:p>
    <w:tbl>
      <w:tblPr>
        <w:tblW w:w="1041"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 pursuant to Rule 425 under the Securities Act (17 CFR 230.425)</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848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1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1"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1"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ind w:left="0" w:right="0" w:hanging="15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120"/>
              <w:ind w:left="0" w:right="0" w:firstLine="14"/>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each exchange </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301"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15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w:t>
            </w:r>
          </w:p>
        </w:tc>
        <w:tc>
          <w:tcPr>
            <w:tcW w:w="15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r>
        <w:trPr/>
        <w:tc>
          <w:tcPr>
            <w:tcW w:w="3301"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Warrants to purchase Class A Common Stock</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BKKT WS</w:t>
            </w:r>
          </w:p>
        </w:tc>
        <w:tc>
          <w:tcPr>
            <w:tcW w:w="15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New York Stock Exchange</w:t>
            </w:r>
          </w:p>
        </w:tc>
      </w:tr>
    </w:tbl>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60" w:after="283"/>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Amendment No. 1 on Form 8-K/A (“Amendment No. 1”) amends the Current Report on Form 8-K of Bakkt Holdings, Inc. (‘Bakkt” or the “Company”) filed with the Securities and Exchange Commission on April 3, 2023 (the “Initial Filing”), in which the Company reported, among other things, the closing of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(“Target”), from Apex Fintech Solutions Inc., a Delaware corporation (“Seller” and, together with Target, the “Seller Parties”), pursuant to the terms of a Membership Interest Purchase Agreement, dated as of November 2, 2022, by and among the Bakkt Parties and the Seller Parties, as amended. </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Amendment No. 1 amends the Initial Filing to provide the financial statements and pro forma financial information required by Items 9.01(a) and 9.01(b) of Form 8-K that were previously omitted from the Initial Filing in reliance on Items 9.01(a)(3) and 9.01(b)(2) of Form 8-K. This Amendment No. 1 does not amend any other item of the Initial Filing and all other information previously reported in or filed with the Initial Filing is hereby incorporated by reference to this Amendment No. 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68" w:before="240" w:after="283"/>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i/>
          <w:color w:val="000000"/>
          <w:sz w:val="20"/>
        </w:rPr>
        <w:t>Financial Statements of Business Acquired</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audited financial statements of Target as of December 31, 2022 and 2021, and the related notes and the related independent auditors’ report thereon, are filed herewith as Exhibit 99.1 and incorporated herein by reference.</w:t>
      </w:r>
    </w:p>
    <w:p>
      <w:pPr>
        <w:pStyle w:val="TextBody"/>
        <w:spacing w:lineRule="auto" w:line="268" w:before="240" w:after="283"/>
        <w:rPr/>
      </w:pPr>
      <w:r>
        <w:rPr>
          <w:rFonts w:ascii="Times New Roman;sans-serif" w:hAnsi="Times New Roman;sans-serif"/>
          <w:b w:val="false"/>
          <w:color w:val="000000"/>
          <w:sz w:val="20"/>
        </w:rPr>
        <w:t xml:space="preserve">(b) </w:t>
      </w:r>
      <w:r>
        <w:rPr>
          <w:rFonts w:ascii="Times New Roman;sans-serif" w:hAnsi="Times New Roman;sans-serif"/>
          <w:b w:val="false"/>
          <w:i/>
          <w:color w:val="000000"/>
          <w:sz w:val="20"/>
        </w:rPr>
        <w:t>Pro Forma Financial Information</w:t>
      </w:r>
    </w:p>
    <w:p>
      <w:pPr>
        <w:pStyle w:val="TextBody"/>
        <w:spacing w:lineRule="auto" w:line="26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Certain unaudited pro forma financial information as of December 31, 2022, and for the year ended December 31, 2022, are filed herewith as Exhibit 99.2 and incorporated herein by reference.</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361"/>
        <w:gridCol w:w="317"/>
        <w:gridCol w:w="318"/>
        <w:gridCol w:w="109"/>
        <w:gridCol w:w="109"/>
        <w:gridCol w:w="109"/>
        <w:gridCol w:w="2593"/>
        <w:gridCol w:w="2593"/>
        <w:gridCol w:w="3696"/>
      </w:tblGrid>
      <w:tr>
        <w:trPr/>
        <w:tc>
          <w:tcPr>
            <w:tcW w:w="36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3" w:type="dxa"/>
            <w:tcBorders/>
            <w:shd w:fill="auto" w:val="clear"/>
            <w:vAlign w:val="center"/>
          </w:tcPr>
          <w:p>
            <w:pPr>
              <w:pStyle w:val="TableContents"/>
              <w:spacing w:before="0" w:after="283"/>
              <w:rPr>
                <w:sz w:val="4"/>
                <w:szCs w:val="4"/>
              </w:rPr>
            </w:pPr>
            <w:r>
              <w:rPr>
                <w:sz w:val="4"/>
                <w:szCs w:val="4"/>
              </w:rPr>
            </w:r>
          </w:p>
        </w:tc>
        <w:tc>
          <w:tcPr>
            <w:tcW w:w="2593" w:type="dxa"/>
            <w:tcBorders/>
            <w:shd w:fill="auto" w:val="clear"/>
            <w:vAlign w:val="center"/>
          </w:tcPr>
          <w:p>
            <w:pPr>
              <w:pStyle w:val="TableContents"/>
              <w:spacing w:before="0" w:after="283"/>
              <w:rPr>
                <w:sz w:val="4"/>
                <w:szCs w:val="4"/>
              </w:rPr>
            </w:pPr>
            <w:r>
              <w:rPr>
                <w:sz w:val="4"/>
                <w:szCs w:val="4"/>
              </w:rPr>
            </w:r>
          </w:p>
        </w:tc>
        <w:tc>
          <w:tcPr>
            <w:tcW w:w="3696" w:type="dxa"/>
            <w:tcBorders/>
            <w:shd w:fill="auto" w:val="clear"/>
            <w:vAlign w:val="center"/>
          </w:tcPr>
          <w:p>
            <w:pPr>
              <w:pStyle w:val="TableContents"/>
              <w:spacing w:before="0" w:after="283"/>
              <w:rPr>
                <w:sz w:val="4"/>
                <w:szCs w:val="4"/>
              </w:rPr>
            </w:pPr>
            <w:r>
              <w:rPr>
                <w:sz w:val="4"/>
                <w:szCs w:val="4"/>
              </w:rPr>
            </w:r>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hyperlink w:anchor="exhibit231consentofrsmusll.htm">
              <w:r>
                <w:rPr>
                  <w:rStyle w:val="InternetLink"/>
                  <w:rFonts w:ascii="Times New Roman;sans-serif" w:hAnsi="Times New Roman;sans-serif"/>
                  <w:b w:val="false"/>
                  <w:color w:val="0000FF"/>
                  <w:sz w:val="20"/>
                  <w:u w:val="single"/>
                </w:rPr>
                <w:t>Consent of RSM US LLP.</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991apexcrypto2022-1.htm">
              <w:r>
                <w:rPr>
                  <w:rStyle w:val="InternetLink"/>
                </w:rPr>
                <w:t xml:space="preserve">Audited </w:t>
              </w:r>
            </w:hyperlink>
            <w:hyperlink w:anchor="exhibit991apexcrypto2022-1.htm">
              <w:r>
                <w:rPr>
                  <w:rStyle w:val="InternetLink"/>
                </w:rPr>
                <w:t>financial statements of Apex Crypto, LLC as of December 31, 2022 and 2021</w:t>
              </w:r>
            </w:hyperlink>
            <w:hyperlink w:anchor="exhibit991apexcrypto2022-1.htm">
              <w:r>
                <w:rPr>
                  <w:rStyle w:val="InternetLink"/>
                </w:rPr>
                <w:t xml:space="preserve"> and for the years ended December 31, 2022 and 2021</w:t>
              </w:r>
            </w:hyperlink>
            <w:hyperlink w:anchor="exhibit991apexcrypto2022-1.htm">
              <w:r>
                <w:rPr>
                  <w:rStyle w:val="InternetLink"/>
                </w:rPr>
                <w:t>.</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2"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exhibit992unauditedproform.htm">
              <w:r>
                <w:rPr>
                  <w:rStyle w:val="InternetLink"/>
                  <w:rFonts w:ascii="Times New Roman;sans-serif" w:hAnsi="Times New Roman;sans-serif"/>
                  <w:b w:val="false"/>
                  <w:color w:val="0000FF"/>
                  <w:sz w:val="20"/>
                  <w:u w:val="single"/>
                </w:rPr>
                <w:t>Unaudited pro forma combined financial information as of December 31, 2022 and for the year ended December 31, 2022.</w:t>
              </w:r>
            </w:hyperlink>
          </w:p>
        </w:tc>
      </w:tr>
      <w:tr>
        <w:trPr/>
        <w:tc>
          <w:tcPr>
            <w:tcW w:w="9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4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lineRule="auto" w:line="240"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Dated: April 18, 2023</w:t>
      </w:r>
    </w:p>
    <w:p>
      <w:pPr>
        <w:pStyle w:val="TextBody"/>
        <w:spacing w:before="0" w:after="0"/>
        <w:rPr/>
      </w:pPr>
      <w:r>
        <w:rPr/>
      </w:r>
    </w:p>
    <w:tbl>
      <w:tblPr>
        <w:tblW w:w="4596" w:type="dxa"/>
        <w:jc w:val="left"/>
        <w:tblInd w:w="0" w:type="dxa"/>
        <w:tblCellMar>
          <w:top w:w="28" w:type="dxa"/>
          <w:left w:w="28" w:type="dxa"/>
          <w:bottom w:w="28" w:type="dxa"/>
          <w:right w:w="28" w:type="dxa"/>
        </w:tblCellMar>
      </w:tblPr>
      <w:tblGrid>
        <w:gridCol w:w="124"/>
        <w:gridCol w:w="109"/>
        <w:gridCol w:w="109"/>
        <w:gridCol w:w="255"/>
        <w:gridCol w:w="255"/>
        <w:gridCol w:w="255"/>
        <w:gridCol w:w="283"/>
        <w:gridCol w:w="283"/>
        <w:gridCol w:w="283"/>
        <w:gridCol w:w="760"/>
        <w:gridCol w:w="760"/>
        <w:gridCol w:w="112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BAKKT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5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8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D'Annunzio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D’Annunzio</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Secretary</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(Nos. 333-261768 and 333-262037) on Form S-8 of Bakkt Holdings, Inc. of our report dated March 29, 2023, except for the second paragraph of Note 16 as to which the date is April 18, 2023, with respect to the financial statements of Apex Crypto, LLC as of December 31, 2022 and 2021 and for the years then ended, appearing in this Current Report on Form 8-K/A..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RSM US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April 18,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8"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3" w:after="283"/>
        <w:rPr/>
      </w:pPr>
      <w:r>
        <w:rPr/>
      </w:r>
    </w:p>
    <w:p>
      <w:pPr>
        <w:pStyle w:val="TextBody"/>
        <w:spacing w:lineRule="auto" w:line="240" w:before="85" w:after="283"/>
        <w:jc w:val="center"/>
        <w:rPr>
          <w:rFonts w:ascii="Times New Roman;sans-serif" w:hAnsi="Times New Roman;sans-serif"/>
          <w:b/>
          <w:color w:val="000000"/>
          <w:sz w:val="36"/>
        </w:rPr>
      </w:pPr>
      <w:r>
        <w:rPr>
          <w:rFonts w:ascii="Times New Roman;sans-serif" w:hAnsi="Times New Roman;sans-serif"/>
          <w:b/>
          <w:color w:val="000000"/>
          <w:sz w:val="36"/>
        </w:rPr>
        <w:t>Apex Crypto LLC</w:t>
      </w:r>
    </w:p>
    <w:p>
      <w:pPr>
        <w:pStyle w:val="TextBody"/>
        <w:spacing w:before="0" w:after="0"/>
        <w:rPr/>
      </w:pPr>
      <w:r>
        <w:rPr/>
      </w:r>
    </w:p>
    <w:p>
      <w:pPr>
        <w:pStyle w:val="TextBody"/>
        <w:spacing w:before="0" w:after="0"/>
        <w:rPr/>
      </w:pPr>
      <w:r>
        <w:rPr/>
      </w:r>
    </w:p>
    <w:p>
      <w:pPr>
        <w:pStyle w:val="TextBody"/>
        <w:spacing w:lineRule="auto" w:line="273" w:before="290" w:after="283"/>
        <w:jc w:val="center"/>
        <w:rPr>
          <w:rFonts w:ascii="Times New Roman;sans-serif" w:hAnsi="Times New Roman;sans-serif"/>
          <w:b/>
          <w:color w:val="000000"/>
          <w:sz w:val="28"/>
        </w:rPr>
      </w:pPr>
      <w:r>
        <w:rPr>
          <w:rFonts w:ascii="Times New Roman;sans-serif" w:hAnsi="Times New Roman;sans-serif"/>
          <w:b/>
          <w:color w:val="000000"/>
          <w:sz w:val="28"/>
        </w:rPr>
        <w:t>Financial Statements</w:t>
      </w:r>
    </w:p>
    <w:p>
      <w:pPr>
        <w:pStyle w:val="TextBody"/>
        <w:spacing w:lineRule="auto" w:line="273" w:before="0" w:after="0"/>
        <w:jc w:val="center"/>
        <w:rPr>
          <w:rFonts w:ascii="Times New Roman;sans-serif" w:hAnsi="Times New Roman;sans-serif"/>
          <w:b/>
          <w:color w:val="000000"/>
          <w:sz w:val="28"/>
        </w:rPr>
      </w:pPr>
      <w:r>
        <w:rPr>
          <w:rFonts w:ascii="Times New Roman;sans-serif" w:hAnsi="Times New Roman;sans-serif"/>
          <w:b/>
          <w:color w:val="000000"/>
          <w:sz w:val="28"/>
        </w:rPr>
        <w:t>With Report of Independent Auditor</w:t>
      </w:r>
    </w:p>
    <w:p>
      <w:pPr>
        <w:pStyle w:val="TextBody"/>
        <w:spacing w:before="0" w:after="0"/>
        <w:rPr/>
      </w:pPr>
      <w:r>
        <w:rPr/>
      </w:r>
    </w:p>
    <w:p>
      <w:pPr>
        <w:pStyle w:val="TextBody"/>
        <w:spacing w:before="7" w:after="283"/>
        <w:rPr/>
      </w:pPr>
      <w:r>
        <w:rPr/>
      </w:r>
    </w:p>
    <w:p>
      <w:pPr>
        <w:pStyle w:val="TextBody"/>
        <w:spacing w:lineRule="auto" w:line="240" w:before="1" w:after="283"/>
        <w:jc w:val="center"/>
        <w:rPr>
          <w:rFonts w:ascii="Times New Roman;sans-serif" w:hAnsi="Times New Roman;sans-serif"/>
          <w:b/>
          <w:color w:val="000000"/>
          <w:sz w:val="20"/>
        </w:rPr>
      </w:pPr>
      <w:r>
        <w:rPr>
          <w:rFonts w:ascii="Times New Roman;sans-serif" w:hAnsi="Times New Roman;sans-serif"/>
          <w:b/>
          <w:color w:val="000000"/>
          <w:sz w:val="20"/>
        </w:rPr>
        <w:t>As of and for the year ended December 31, 2022</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68"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p>
      <w:pPr>
        <w:pStyle w:val="TextBody"/>
        <w:spacing w:before="0" w:after="0"/>
        <w:rPr/>
      </w:pPr>
      <w:r>
        <w:rPr/>
      </w:r>
    </w:p>
    <w:p>
      <w:pPr>
        <w:pStyle w:val="TextBody"/>
        <w:spacing w:before="0" w:after="0"/>
        <w:rPr/>
      </w:pPr>
      <w:r>
        <w:rPr/>
      </w:r>
    </w:p>
    <w:tbl>
      <w:tblPr>
        <w:tblW w:w="3972" w:type="dxa"/>
        <w:jc w:val="left"/>
        <w:tblInd w:w="0" w:type="dxa"/>
        <w:tblCellMar>
          <w:top w:w="28" w:type="dxa"/>
          <w:left w:w="28" w:type="dxa"/>
          <w:bottom w:w="28" w:type="dxa"/>
          <w:right w:w="28" w:type="dxa"/>
        </w:tblCellMar>
      </w:tblPr>
      <w:tblGrid>
        <w:gridCol w:w="1303"/>
        <w:gridCol w:w="1145"/>
        <w:gridCol w:w="1152"/>
        <w:gridCol w:w="109"/>
        <w:gridCol w:w="109"/>
        <w:gridCol w:w="154"/>
      </w:tblGrid>
      <w:tr>
        <w:trPr/>
        <w:tc>
          <w:tcPr>
            <w:tcW w:w="1303"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Report of Independent Auditor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Financial Statements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Statements of Financial Condition</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Statements of Operations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Statements of Changes in Member's Equity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Statements of Cash Flows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3051F2"/>
                <w:sz w:val="20"/>
                <w:u w:val="single"/>
              </w:rPr>
            </w:pPr>
            <w:r>
              <w:rPr>
                <w:rFonts w:ascii="Times New Roman;sans-serif" w:hAnsi="Times New Roman;sans-serif"/>
                <w:b w:val="false"/>
                <w:color w:val="3051F2"/>
                <w:sz w:val="20"/>
                <w:u w:val="single"/>
              </w:rPr>
              <w:t>Notes to the Financial Statements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9" w:after="283"/>
        <w:rPr/>
      </w:pPr>
      <w:r>
        <w:rPr/>
      </w:r>
    </w:p>
    <w:p>
      <w:pPr>
        <w:pStyle w:val="TextBody"/>
        <w:spacing w:lineRule="auto" w:line="240" w:before="1"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drawing>
          <wp:inline distT="0" distB="63500" distL="0" distR="0">
            <wp:extent cx="1209675" cy="10001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1209675" cy="1000125"/>
                    </a:xfrm>
                    <a:prstGeom prst="rect">
                      <a:avLst/>
                    </a:prstGeom>
                  </pic:spPr>
                </pic:pic>
              </a:graphicData>
            </a:graphic>
          </wp:inline>
        </w:drawing>
      </w:r>
    </w:p>
    <w:p>
      <w:pPr>
        <w:pStyle w:val="TextBody"/>
        <w:spacing w:lineRule="auto" w:line="240" w:before="94" w:after="283"/>
        <w:jc w:val="center"/>
        <w:rPr>
          <w:rFonts w:ascii="Arial;sans-serif" w:hAnsi="Arial;sans-serif"/>
          <w:b/>
          <w:color w:val="000000"/>
          <w:sz w:val="20"/>
        </w:rPr>
      </w:pPr>
      <w:r>
        <w:rPr>
          <w:rFonts w:ascii="Arial;sans-serif" w:hAnsi="Arial;sans-serif"/>
          <w:b/>
          <w:color w:val="000000"/>
          <w:sz w:val="20"/>
        </w:rPr>
        <w:t>Independent Auditor’s Report</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Member</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Apex Crypto LLC</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Opinion</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have audited the financial statements of Apex Crypto, LLC (the Company), which comprise the statement of financial condition as of December 31, 2022 and 2021, the related statements of operations, changes in member’s equity and cash flows for the years then ended, and the related notes to the financial statements (collectively, the financial statements).</w:t>
      </w:r>
    </w:p>
    <w:p>
      <w:pPr>
        <w:pStyle w:val="TextBody"/>
        <w:spacing w:before="11" w:after="283"/>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our opinion, the accompanying financial statements present fairly, in all material respects, the financial position of the Company as of December 31, 2022 and 2021, and the results of its operations and its cash flows for the years then ended in accordance with accounting principles generally accepted in the United States of America.</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Basis for Opinion</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spacing w:before="1" w:after="283"/>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Responsibilities of Management for the Financial Statements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Auditor’s Responsibilities for the Audit of the Financial Statements</w: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color w:val="6D6D6D"/>
          <w:sz w:val="20"/>
        </w:rPr>
      </w:pPr>
      <w:r>
        <w:rPr>
          <w:rFonts w:ascii="Arial;sans-serif" w:hAnsi="Arial;sans-serif"/>
          <w:b/>
          <w:color w:val="6D6D6D"/>
          <w:sz w:val="20"/>
        </w:rPr>
        <w:t>THE POWER OF BEING UNDERSTOOD</w:t>
      </w:r>
    </w:p>
    <w:p>
      <w:pPr>
        <w:pStyle w:val="TextBody"/>
        <w:spacing w:lineRule="auto" w:line="240" w:before="0" w:after="0"/>
        <w:rPr>
          <w:rFonts w:ascii="Arial;sans-serif" w:hAnsi="Arial;sans-serif"/>
          <w:b w:val="false"/>
          <w:color w:val="6D6D6D"/>
          <w:sz w:val="20"/>
        </w:rPr>
      </w:pPr>
      <w:r>
        <w:rPr>
          <w:rFonts w:ascii="Arial;sans-serif" w:hAnsi="Arial;sans-serif"/>
          <w:b w:val="false"/>
          <w:color w:val="6D6D6D"/>
          <w:sz w:val="20"/>
        </w:rPr>
        <w:t>AUDIT | TAX | CONSULTING</w:t>
      </w:r>
    </w:p>
    <w:p>
      <w:pPr>
        <w:pStyle w:val="TextBody"/>
        <w:spacing w:before="0" w:after="0"/>
        <w:jc w:val="center"/>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rFonts w:ascii="Arial;sans-serif" w:hAnsi="Arial;sans-serif"/>
                                <w:b/>
                                <w:color w:val="6D6D6D"/>
                                <w:sz w:val="12"/>
                              </w:rPr>
                            </w:pPr>
                            <w:r>
                              <w:rPr>
                                <w:rFonts w:ascii="Arial;sans-serif" w:hAnsi="Arial;sans-serif"/>
                                <w:b/>
                                <w:color w:val="6D6D6D"/>
                                <w:sz w:val="12"/>
                              </w:rPr>
                              <w:t>RSM US LLP is the U.S. member firm of RSM International, a global network of independent audit, tax, and consulting firms. Visit rsmus.com/aboutus for more information regarding RSM US LLP and RSM International.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color w:val="6D6D6D"/>
                          <w:sz w:val="12"/>
                        </w:rPr>
                      </w:pPr>
                      <w:r>
                        <w:rPr>
                          <w:rFonts w:ascii="Arial;sans-serif" w:hAnsi="Arial;sans-serif"/>
                          <w:b/>
                          <w:color w:val="6D6D6D"/>
                          <w:sz w:val="12"/>
                        </w:rPr>
                        <w:t>RSM US LLP is the U.S. member firm of RSM International, a global network of independent audit, tax, and consulting firms. Visit rsmus.com/aboutus for more information regarding RSM US LLP and RSM International.</w:t>
                      </w:r>
                    </w:p>
                  </w:txbxContent>
                </v:textbox>
              </v:rect>
            </w:pict>
          </mc:Fallback>
        </mc:AlternateContent>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In performing an audit in accordance with GAAS, we:</w:t>
      </w:r>
    </w:p>
    <w:p>
      <w:pPr>
        <w:pStyle w:val="TextBody"/>
        <w:spacing w:before="0" w:after="0"/>
        <w:rPr/>
      </w:pPr>
      <w:r>
        <w:rPr/>
      </w:r>
    </w:p>
    <w:p>
      <w:pPr>
        <w:pStyle w:val="TextBody"/>
        <w:spacing w:lineRule="auto" w:line="288" w:before="0" w:after="0"/>
        <w:ind w:left="0" w:right="0" w:hanging="361"/>
        <w:rPr/>
      </w:pPr>
      <w:r>
        <w:rPr>
          <w:color w:val="000000"/>
        </w:rPr>
        <w:t>•</w:t>
      </w:r>
      <w:r>
        <w:rPr>
          <w:rFonts w:ascii="Arial;sans-serif" w:hAnsi="Arial;sans-serif"/>
          <w:b w:val="false"/>
          <w:color w:val="000000"/>
          <w:sz w:val="20"/>
        </w:rPr>
        <w:t>Exercise professional judgment and maintain professional skepticism throughout the audit.</w:t>
      </w:r>
    </w:p>
    <w:p>
      <w:pPr>
        <w:pStyle w:val="TextBody"/>
        <w:spacing w:before="10" w:after="283"/>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spacing w:before="10" w:after="283"/>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spacing w:before="10" w:after="283"/>
        <w:rPr/>
      </w:pPr>
      <w:r>
        <w:rPr/>
      </w:r>
    </w:p>
    <w:p>
      <w:pPr>
        <w:pStyle w:val="TextBody"/>
        <w:spacing w:lineRule="auto" w:line="288" w:before="1" w:after="283"/>
        <w:ind w:left="0" w:right="0" w:hanging="360"/>
        <w:jc w:val="both"/>
        <w:rPr/>
      </w:pPr>
      <w:r>
        <w:rPr>
          <w:color w:val="000000"/>
        </w:rPr>
        <w:t>•</w:t>
      </w:r>
      <w:r>
        <w:rPr>
          <w:rFonts w:ascii="Arial;sans-serif" w:hAnsi="Arial;sans-serif"/>
          <w:b w:val="false"/>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spacing w:before="10" w:after="283"/>
        <w:rPr/>
      </w:pPr>
      <w:r>
        <w:rPr/>
      </w:r>
    </w:p>
    <w:p>
      <w:pPr>
        <w:pStyle w:val="TextBody"/>
        <w:spacing w:lineRule="auto" w:line="288" w:before="0" w:after="0"/>
        <w:ind w:left="0" w:right="0" w:hanging="360"/>
        <w:rPr/>
      </w:pPr>
      <w:r>
        <w:rPr>
          <w:color w:val="000000"/>
        </w:rPr>
        <w:t>•</w:t>
      </w:r>
      <w:r>
        <w:rPr>
          <w:rFonts w:ascii="Arial;sans-serif" w:hAnsi="Arial;sans-serif"/>
          <w:b w:val="false"/>
          <w:color w:val="000000"/>
          <w:sz w:val="20"/>
        </w:rPr>
        <w:t>Conclude whether, in our judgment, there are conditions or events, considered in the aggregate, that raise substantial doubt about the Company’s ability to continue as a going concern for a reasonable period of time.</w:t>
      </w:r>
    </w:p>
    <w:p>
      <w:pPr>
        <w:pStyle w:val="TextBody"/>
        <w:spacing w:before="10" w:after="283"/>
        <w:rPr/>
      </w:pPr>
      <w:r>
        <w:rPr/>
      </w:r>
    </w:p>
    <w:p>
      <w:pPr>
        <w:pStyle w:val="TextBody"/>
        <w:spacing w:lineRule="auto" w:line="288" w:before="1" w:after="283"/>
        <w:jc w:val="both"/>
        <w:rPr>
          <w:rFonts w:ascii="Arial;sans-serif" w:hAnsi="Arial;sans-serif"/>
          <w:b w:val="false"/>
          <w:color w:val="000000"/>
          <w:sz w:val="20"/>
        </w:rPr>
      </w:pPr>
      <w:r>
        <w:rPr>
          <w:rFonts w:ascii="Arial;sans-serif" w:hAnsi="Arial;sans-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spacing w:before="3" w:after="283"/>
        <w:rPr/>
      </w:pPr>
      <w:r>
        <w:rPr/>
      </w:r>
    </w:p>
    <w:p>
      <w:pPr>
        <w:pStyle w:val="TextBody"/>
        <w:spacing w:before="3" w:after="283"/>
        <w:rPr/>
      </w:pPr>
      <w:r>
        <w:rPr/>
        <w:drawing>
          <wp:inline distT="0" distB="63500" distL="0" distR="0">
            <wp:extent cx="1390650" cy="2095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1390650" cy="209550"/>
                    </a:xfrm>
                    <a:prstGeom prst="rect">
                      <a:avLst/>
                    </a:prstGeom>
                  </pic:spPr>
                </pic:pic>
              </a:graphicData>
            </a:graphic>
          </wp:inline>
        </w:drawing>
      </w:r>
    </w:p>
    <w:p>
      <w:pPr>
        <w:pStyle w:val="TextBody"/>
        <w:spacing w:lineRule="auto" w:line="288" w:before="124" w:after="283"/>
        <w:rPr>
          <w:rFonts w:ascii="Arial;sans-serif" w:hAnsi="Arial;sans-serif"/>
          <w:b w:val="false"/>
          <w:color w:val="000000"/>
          <w:sz w:val="20"/>
        </w:rPr>
      </w:pPr>
      <w:r>
        <w:rPr>
          <w:rFonts w:ascii="Arial;sans-serif" w:hAnsi="Arial;sans-serif"/>
          <w:b w:val="false"/>
          <w:color w:val="000000"/>
          <w:sz w:val="20"/>
        </w:rPr>
        <w:t xml:space="preserve">Chicago, Illinois </w:t>
      </w:r>
    </w:p>
    <w:p>
      <w:pPr>
        <w:pStyle w:val="TextBody"/>
        <w:spacing w:lineRule="auto" w:line="240" w:before="0" w:after="0"/>
        <w:rPr>
          <w:rFonts w:ascii="Arial;sans-serif" w:hAnsi="Arial;sans-serif"/>
          <w:b w:val="false"/>
          <w:color w:val="000000"/>
          <w:sz w:val="20"/>
        </w:rPr>
      </w:pPr>
      <w:r>
        <w:rPr>
          <w:rFonts w:ascii="Arial;sans-serif" w:hAnsi="Arial;sans-serif"/>
          <w:b w:val="false"/>
          <w:color w:val="000000"/>
          <w:sz w:val="20"/>
        </w:rPr>
        <w:t>March 29, 2023, except for the second paragraph of Note 16 as to</w:t>
      </w:r>
    </w:p>
    <w:p>
      <w:pPr>
        <w:pStyle w:val="TextBody"/>
        <w:spacing w:lineRule="auto" w:line="240" w:before="0" w:after="0"/>
        <w:ind w:left="0" w:right="0" w:firstLine="720"/>
        <w:rPr>
          <w:rFonts w:ascii="Arial;sans-serif" w:hAnsi="Arial;sans-serif"/>
          <w:b w:val="false"/>
          <w:color w:val="000000"/>
          <w:sz w:val="20"/>
        </w:rPr>
      </w:pPr>
      <w:r>
        <w:rPr>
          <w:rFonts w:ascii="Arial;sans-serif" w:hAnsi="Arial;sans-serif"/>
          <w:b w:val="false"/>
          <w:color w:val="000000"/>
          <w:sz w:val="20"/>
        </w:rPr>
        <w:t>which the date is April 18, 2023</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 w:after="283"/>
        <w:rPr/>
      </w:pPr>
      <w:r>
        <w:rPr/>
      </w:r>
    </w:p>
    <w:p>
      <w:pPr>
        <w:pStyle w:val="TextBody"/>
        <w:spacing w:lineRule="auto" w:line="240" w:before="0" w:after="0"/>
        <w:jc w:val="center"/>
        <w:rPr>
          <w:rFonts w:ascii="Arial;sans-serif" w:hAnsi="Arial;sans-serif"/>
          <w:b w:val="false"/>
          <w:color w:val="000000"/>
          <w:sz w:val="20"/>
        </w:rPr>
      </w:pPr>
      <w:r>
        <w:rPr>
          <w:rFonts w:ascii="Arial;sans-serif" w:hAnsi="Arial;sans-serif"/>
          <w:b w:val="false"/>
          <w:color w:val="000000"/>
          <w:sz w:val="20"/>
        </w:rPr>
        <w:t>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929292"/>
          <w:sz w:val="20"/>
        </w:rPr>
      </w:pPr>
      <w:r>
        <w:rPr>
          <w:rFonts w:ascii="Times New Roman;sans-serif" w:hAnsi="Times New Roman;sans-serif"/>
          <w:b/>
          <w:color w:val="929292"/>
          <w:sz w:val="20"/>
        </w:rPr>
        <w:t>A</w:t>
      </w:r>
      <w:r>
        <w:rPr>
          <w:rFonts w:ascii="Times New Roman;sans-serif" w:hAnsi="Times New Roman;sans-serif"/>
          <w:b/>
          <w:color w:val="929292"/>
          <w:sz w:val="20"/>
        </w:rPr>
        <w:t>PEX CRYPTO LLC</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10" w:after="283"/>
        <w:jc w:val="center"/>
        <w:rPr>
          <w:rFonts w:ascii="Times New Roman;sans-serif" w:hAnsi="Times New Roman;sans-serif"/>
          <w:b/>
          <w:color w:val="000000"/>
          <w:sz w:val="20"/>
        </w:rPr>
      </w:pPr>
      <w:r>
        <w:rPr>
          <w:rFonts w:ascii="Times New Roman;sans-serif" w:hAnsi="Times New Roman;sans-serif"/>
          <w:b/>
          <w:color w:val="000000"/>
          <w:sz w:val="20"/>
        </w:rPr>
        <w:t>STATEMENTS OF FINANCIAL CONDITION</w:t>
      </w:r>
    </w:p>
    <w:p>
      <w:pPr>
        <w:pStyle w:val="TextBody"/>
        <w:spacing w:before="0" w:after="0"/>
        <w:rPr/>
      </w:pPr>
      <w:r>
        <w:rPr/>
      </w:r>
    </w:p>
    <w:p>
      <w:pPr>
        <w:pStyle w:val="TextBody"/>
        <w:spacing w:before="0" w:after="0"/>
        <w:rPr/>
      </w:pPr>
      <w:r>
        <w:rPr/>
      </w:r>
    </w:p>
    <w:p>
      <w:pPr>
        <w:pStyle w:val="TextBody"/>
        <w:spacing w:before="11" w:after="283"/>
        <w:rPr/>
      </w:pPr>
      <w:r>
        <w:rPr/>
      </w:r>
    </w:p>
    <w:tbl>
      <w:tblPr>
        <w:tblW w:w="9398" w:type="dxa"/>
        <w:jc w:val="left"/>
        <w:tblInd w:w="0" w:type="dxa"/>
        <w:tblCellMar>
          <w:top w:w="28" w:type="dxa"/>
          <w:left w:w="28" w:type="dxa"/>
          <w:bottom w:w="28" w:type="dxa"/>
          <w:right w:w="28" w:type="dxa"/>
        </w:tblCellMar>
      </w:tblPr>
      <w:tblGrid>
        <w:gridCol w:w="2098"/>
        <w:gridCol w:w="1846"/>
        <w:gridCol w:w="1861"/>
        <w:gridCol w:w="538"/>
        <w:gridCol w:w="567"/>
        <w:gridCol w:w="574"/>
        <w:gridCol w:w="109"/>
        <w:gridCol w:w="109"/>
        <w:gridCol w:w="109"/>
        <w:gridCol w:w="506"/>
        <w:gridCol w:w="446"/>
        <w:gridCol w:w="635"/>
      </w:tblGrid>
      <w:tr>
        <w:trPr/>
        <w:tc>
          <w:tcPr>
            <w:tcW w:w="2098" w:type="dxa"/>
            <w:tcBorders/>
            <w:shd w:fill="auto" w:val="clear"/>
            <w:vAlign w:val="center"/>
          </w:tcPr>
          <w:p>
            <w:pPr>
              <w:pStyle w:val="TableContents"/>
              <w:spacing w:before="0" w:after="283"/>
              <w:rPr>
                <w:sz w:val="4"/>
                <w:szCs w:val="4"/>
              </w:rPr>
            </w:pPr>
            <w:r>
              <w:rPr>
                <w:sz w:val="4"/>
                <w:szCs w:val="4"/>
              </w:rPr>
            </w:r>
          </w:p>
        </w:tc>
        <w:tc>
          <w:tcPr>
            <w:tcW w:w="1846"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9" w:type="dxa"/>
            <w:gridSpan w:val="3"/>
            <w:tcBorders/>
            <w:shd w:fill="auto" w:val="clear"/>
            <w:tcMar>
              <w:top w:w="0" w:type="dxa"/>
              <w:left w:w="0" w:type="dxa"/>
              <w:bottom w:w="0" w:type="dxa"/>
              <w:right w:w="0" w:type="dxa"/>
            </w:tcMar>
            <w:vAlign w:val="center"/>
          </w:tcPr>
          <w:p>
            <w:pPr>
              <w:pStyle w:val="TableContents"/>
              <w:spacing w:lineRule="auto" w:line="232" w:before="91"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right w:val="single" w:sz="24" w:space="0" w:color="FFFFFF"/>
            </w:tcBorders>
            <w:shd w:fill="auto" w:val="clear"/>
            <w:tcMar>
              <w:top w:w="0" w:type="dxa"/>
              <w:left w:w="0" w:type="dxa"/>
              <w:bottom w:w="0" w:type="dxa"/>
            </w:tcMar>
            <w:vAlign w:val="center"/>
          </w:tcPr>
          <w:p>
            <w:pPr>
              <w:pStyle w:val="TableContents"/>
              <w:spacing w:lineRule="auto" w:line="232" w:before="91"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38"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24,304,401</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27,436,363</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1,025,000</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679"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2,769,535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1,950,644</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affiliates</w:t>
            </w:r>
          </w:p>
        </w:tc>
        <w:tc>
          <w:tcPr>
            <w:tcW w:w="16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2,084,853</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Brokers, dealers, correspondents and clearing organizations</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5,699,731</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 net</w:t>
            </w:r>
          </w:p>
        </w:tc>
        <w:tc>
          <w:tcPr>
            <w:tcW w:w="167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6,137,393</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7,650,375</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6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4,344,034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1,008,246</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6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305,762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10,391,308</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 safeguarding asset</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2,482,465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748,305</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53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519,904,580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48,259,597</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18" w:before="0" w:after="0"/>
              <w:jc w:val="left"/>
              <w:rPr>
                <w:rFonts w:ascii="Times New Roman;sans-serif" w:hAnsi="Times New Roman;sans-serif"/>
                <w:b/>
                <w:color w:val="000000"/>
                <w:sz w:val="20"/>
              </w:rPr>
            </w:pPr>
            <w:r>
              <w:rPr>
                <w:rFonts w:ascii="Times New Roman;sans-serif" w:hAnsi="Times New Roman;sans-serif"/>
                <w:b/>
                <w:color w:val="000000"/>
                <w:sz w:val="20"/>
              </w:rPr>
              <w:t>Liabilities and member’s equity</w:t>
            </w:r>
          </w:p>
        </w:tc>
        <w:tc>
          <w:tcPr>
            <w:tcW w:w="1679" w:type="dxa"/>
            <w:gridSpan w:val="3"/>
            <w:tcBorders>
              <w:top w:val="doub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top w:val="doub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 to brokers, dealers, correspondents and clearing organizations</w:t>
            </w:r>
          </w:p>
        </w:tc>
        <w:tc>
          <w:tcPr>
            <w:tcW w:w="16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2,116,940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5,725,375</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affiliates</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517,085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1,286,604</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 safeguarding liability</w:t>
            </w:r>
          </w:p>
        </w:tc>
        <w:tc>
          <w:tcPr>
            <w:tcW w:w="16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3,801,550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4,421,695</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67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487,053,600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11,433,674</w:t>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6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0" w:before="1" w:after="283"/>
              <w:jc w:val="left"/>
              <w:rPr>
                <w:rFonts w:ascii="Times New Roman;sans-serif" w:hAnsi="Times New Roman;sans-serif"/>
                <w:b/>
                <w:color w:val="000000"/>
                <w:sz w:val="20"/>
              </w:rPr>
            </w:pPr>
            <w:r>
              <w:rPr>
                <w:rFonts w:ascii="Times New Roman;sans-serif" w:hAnsi="Times New Roman;sans-serif"/>
                <w:b/>
                <w:color w:val="000000"/>
                <w:sz w:val="20"/>
              </w:rPr>
              <w:t>Member’s equity</w:t>
            </w:r>
          </w:p>
        </w:tc>
        <w:tc>
          <w:tcPr>
            <w:tcW w:w="1679"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Member’s equity</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32,850,980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36,825,923</w:t>
            </w:r>
          </w:p>
        </w:tc>
      </w:tr>
      <w:tr>
        <w:trPr/>
        <w:tc>
          <w:tcPr>
            <w:tcW w:w="5805" w:type="dxa"/>
            <w:gridSpan w:val="3"/>
            <w:tcBorders/>
            <w:shd w:fill="CCEDFF" w:val="clear"/>
            <w:tcMar>
              <w:top w:w="0" w:type="dxa"/>
              <w:left w:w="0" w:type="dxa"/>
              <w:bottom w:w="0" w:type="dxa"/>
              <w:right w:w="0" w:type="dxa"/>
            </w:tcMar>
            <w:vAlign w:val="center"/>
          </w:tcPr>
          <w:p>
            <w:pPr>
              <w:pStyle w:val="TableContents"/>
              <w:spacing w:lineRule="auto" w:line="244" w:before="0" w:after="0"/>
              <w:jc w:val="left"/>
              <w:rPr>
                <w:rFonts w:ascii="Times New Roman;sans-serif" w:hAnsi="Times New Roman;sans-serif"/>
                <w:b/>
                <w:color w:val="000000"/>
                <w:sz w:val="20"/>
              </w:rPr>
            </w:pPr>
            <w:r>
              <w:rPr>
                <w:rFonts w:ascii="Times New Roman;sans-serif" w:hAnsi="Times New Roman;sans-serif"/>
                <w:b/>
                <w:color w:val="000000"/>
                <w:sz w:val="20"/>
              </w:rPr>
              <w:t>Total liabilities and member’s equity</w:t>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519,904,580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48,259,597</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929292"/>
          <w:sz w:val="20"/>
        </w:rPr>
      </w:pPr>
      <w:r>
        <w:rPr>
          <w:rFonts w:ascii="Times New Roman;sans-serif" w:hAnsi="Times New Roman;sans-serif"/>
          <w:b/>
          <w:color w:val="929292"/>
          <w:sz w:val="20"/>
        </w:rPr>
        <w:t>A</w:t>
      </w:r>
      <w:r>
        <w:rPr>
          <w:rFonts w:ascii="Times New Roman;sans-serif" w:hAnsi="Times New Roman;sans-serif"/>
          <w:b/>
          <w:color w:val="929292"/>
          <w:sz w:val="20"/>
        </w:rPr>
        <w:t>PEX CRYPTO LLC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28650"/>
                <wp:effectExtent l="0" t="0" r="0" b="0"/>
                <wp:wrapNone/>
                <wp:docPr id="11" name="Frame9"/>
                <a:graphic xmlns:a="http://schemas.openxmlformats.org/drawingml/2006/main">
                  <a:graphicData uri="http://schemas.microsoft.com/office/word/2010/wordprocessingShape">
                    <wps:wsp>
                      <wps:cNvSpPr txBox="1"/>
                      <wps:spPr>
                        <a:xfrm>
                          <a:off x="0" y="0"/>
                          <a:ext cx="6480175" cy="628650"/>
                        </a:xfrm>
                        <a:prstGeom prst="rect"/>
                      </wps:spPr>
                      <wps:txb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40" w:before="10" w:after="283"/>
        <w:jc w:val="center"/>
        <w:rPr>
          <w:rFonts w:ascii="Times New Roman;sans-serif" w:hAnsi="Times New Roman;sans-serif"/>
          <w:b/>
          <w:color w:val="000000"/>
          <w:sz w:val="20"/>
        </w:rPr>
      </w:pPr>
      <w:r>
        <w:rPr>
          <w:rFonts w:ascii="Times New Roman;sans-serif" w:hAnsi="Times New Roman;sans-serif"/>
          <w:b/>
          <w:color w:val="000000"/>
          <w:sz w:val="20"/>
        </w:rPr>
        <w:t>STATEMENTS OF OPERATIONS</w:t>
      </w:r>
    </w:p>
    <w:p>
      <w:pPr>
        <w:pStyle w:val="TextBody"/>
        <w:spacing w:before="0" w:after="0"/>
        <w:rPr/>
      </w:pPr>
      <w:r>
        <w:rPr/>
      </w:r>
    </w:p>
    <w:p>
      <w:pPr>
        <w:pStyle w:val="TextBody"/>
        <w:spacing w:before="7" w:after="283"/>
        <w:rPr/>
      </w:pPr>
      <w:r>
        <w:rPr/>
      </w:r>
    </w:p>
    <w:tbl>
      <w:tblPr>
        <w:tblW w:w="7253" w:type="dxa"/>
        <w:jc w:val="left"/>
        <w:tblInd w:w="0" w:type="dxa"/>
        <w:tblCellMar>
          <w:top w:w="28" w:type="dxa"/>
          <w:left w:w="28" w:type="dxa"/>
          <w:bottom w:w="28" w:type="dxa"/>
          <w:right w:w="28" w:type="dxa"/>
        </w:tblCellMar>
      </w:tblPr>
      <w:tblGrid>
        <w:gridCol w:w="1290"/>
        <w:gridCol w:w="1135"/>
        <w:gridCol w:w="1144"/>
        <w:gridCol w:w="211"/>
        <w:gridCol w:w="1336"/>
        <w:gridCol w:w="109"/>
        <w:gridCol w:w="109"/>
        <w:gridCol w:w="109"/>
        <w:gridCol w:w="109"/>
        <w:gridCol w:w="211"/>
        <w:gridCol w:w="1336"/>
        <w:gridCol w:w="154"/>
      </w:tblGrid>
      <w:tr>
        <w:trPr/>
        <w:tc>
          <w:tcPr>
            <w:tcW w:w="1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4" w:type="dxa"/>
            <w:gridSpan w:val="9"/>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569"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1"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6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 revenue</w:t>
            </w:r>
          </w:p>
        </w:tc>
        <w:tc>
          <w:tcPr>
            <w:tcW w:w="211"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3,071,288,843 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9,070,735,939 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 and services</w:t>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76,350 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5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3,071,377,293 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9,070,740,939 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54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interest income (expense)</w:t>
            </w:r>
          </w:p>
        </w:tc>
        <w:tc>
          <w:tcPr>
            <w:tcW w:w="154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(38,219)</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Total net revenues</w:t>
            </w:r>
          </w:p>
        </w:tc>
        <w:tc>
          <w:tcPr>
            <w:tcW w:w="15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3,071,451,087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9,070,702,720</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Non-interest expenses</w:t>
            </w:r>
          </w:p>
        </w:tc>
        <w:tc>
          <w:tcPr>
            <w:tcW w:w="165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 costs</w:t>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3,043,145,791 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8,978,132,416 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Execution, clearing and brokerage fees</w:t>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19,649,896 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57,826,305 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 and benefits</w:t>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12,391,826 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4,924,067 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2,707,071 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932,373 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2,158,794 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870,820 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depreciation and amortization</w:t>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206,179 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59,929 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Total non-interest expenses</w:t>
            </w:r>
          </w:p>
        </w:tc>
        <w:tc>
          <w:tcPr>
            <w:tcW w:w="15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3,080,259,557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9,042,745,910</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w:t>
            </w:r>
          </w:p>
        </w:tc>
        <w:tc>
          <w:tcPr>
            <w:tcW w:w="154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(8,808,470)</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27,956,810 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w:t>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(2,815,792)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7,884,367 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69" w:type="dxa"/>
            <w:gridSpan w:val="3"/>
            <w:tcBorders/>
            <w:shd w:fill="CCEDFF" w:val="clear"/>
            <w:tcMar>
              <w:top w:w="0" w:type="dxa"/>
              <w:left w:w="0" w:type="dxa"/>
              <w:bottom w:w="0" w:type="dxa"/>
              <w:right w:w="0" w:type="dxa"/>
            </w:tcMar>
            <w:vAlign w:val="center"/>
          </w:tcPr>
          <w:p>
            <w:pPr>
              <w:pStyle w:val="TableContents"/>
              <w:spacing w:lineRule="auto" w:line="244" w:before="0" w:after="0"/>
              <w:jc w:val="left"/>
              <w:rPr>
                <w:rFonts w:ascii="Times New Roman;sans-serif" w:hAnsi="Times New Roman;sans-serif"/>
                <w:b/>
                <w:color w:val="000000"/>
                <w:sz w:val="20"/>
              </w:rPr>
            </w:pPr>
            <w:r>
              <w:rPr>
                <w:rFonts w:ascii="Times New Roman;sans-serif" w:hAnsi="Times New Roman;sans-serif"/>
                <w:b/>
                <w:color w:val="000000"/>
                <w:sz w:val="20"/>
              </w:rPr>
              <w:t>Net (loss) income</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3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(5,992,678)</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3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20,072,443</w:t>
            </w:r>
            <w:r>
              <w:rPr>
                <w:color w:val="000000"/>
              </w:rPr>
              <w:t>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929292"/>
          <w:sz w:val="20"/>
        </w:rPr>
      </w:pPr>
      <w:r>
        <w:rPr>
          <w:rFonts w:ascii="Times New Roman;sans-serif" w:hAnsi="Times New Roman;sans-serif"/>
          <w:b/>
          <w:color w:val="929292"/>
          <w:sz w:val="20"/>
        </w:rPr>
        <w:t>A</w:t>
      </w:r>
      <w:r>
        <w:rPr>
          <w:rFonts w:ascii="Times New Roman;sans-serif" w:hAnsi="Times New Roman;sans-serif"/>
          <w:b/>
          <w:color w:val="929292"/>
          <w:sz w:val="20"/>
        </w:rPr>
        <w:t>PEX CRYPTO LLC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28650"/>
                <wp:effectExtent l="0" t="0" r="0" b="0"/>
                <wp:wrapNone/>
                <wp:docPr id="12" name="Frame10"/>
                <a:graphic xmlns:a="http://schemas.openxmlformats.org/drawingml/2006/main">
                  <a:graphicData uri="http://schemas.microsoft.com/office/word/2010/wordprocessingShape">
                    <wps:wsp>
                      <wps:cNvSpPr txBox="1"/>
                      <wps:spPr>
                        <a:xfrm>
                          <a:off x="0" y="0"/>
                          <a:ext cx="6480175" cy="628650"/>
                        </a:xfrm>
                        <a:prstGeom prst="rect"/>
                      </wps:spPr>
                      <wps:txb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STATEMENTS OF CHANGES IN MEMBER'S EQUITY</w:t>
      </w:r>
    </w:p>
    <w:p>
      <w:pPr>
        <w:pStyle w:val="TextBody"/>
        <w:spacing w:before="0" w:after="0"/>
        <w:rPr/>
      </w:pPr>
      <w:r>
        <w:rPr/>
      </w:r>
    </w:p>
    <w:p>
      <w:pPr>
        <w:pStyle w:val="TextBody"/>
        <w:spacing w:before="0" w:after="0"/>
        <w:rPr/>
      </w:pPr>
      <w:r>
        <w:rPr/>
      </w:r>
    </w:p>
    <w:p>
      <w:pPr>
        <w:pStyle w:val="TextBody"/>
        <w:spacing w:before="0" w:after="0"/>
        <w:rPr/>
      </w:pPr>
      <w:r>
        <w:rPr/>
      </w:r>
    </w:p>
    <w:tbl>
      <w:tblPr>
        <w:tblW w:w="4370" w:type="dxa"/>
        <w:jc w:val="left"/>
        <w:tblInd w:w="0" w:type="dxa"/>
        <w:tblCellMar>
          <w:top w:w="28" w:type="dxa"/>
          <w:left w:w="28" w:type="dxa"/>
          <w:bottom w:w="28" w:type="dxa"/>
          <w:right w:w="28" w:type="dxa"/>
        </w:tblCellMar>
      </w:tblPr>
      <w:tblGrid>
        <w:gridCol w:w="1052"/>
        <w:gridCol w:w="927"/>
        <w:gridCol w:w="930"/>
        <w:gridCol w:w="211"/>
        <w:gridCol w:w="1096"/>
        <w:gridCol w:w="154"/>
      </w:tblGrid>
      <w:tr>
        <w:trPr/>
        <w:tc>
          <w:tcPr>
            <w:tcW w:w="1052"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Member's</w:t>
              <w:br/>
              <w:t>Equity</w:t>
            </w:r>
          </w:p>
        </w:tc>
      </w:tr>
      <w:tr>
        <w:trPr/>
        <w:tc>
          <w:tcPr>
            <w:tcW w:w="2909" w:type="dxa"/>
            <w:gridSpan w:val="3"/>
            <w:tcBorders/>
            <w:shd w:fill="CCEDFF" w:val="clear"/>
            <w:tcMar>
              <w:top w:w="0" w:type="dxa"/>
              <w:left w:w="0" w:type="dxa"/>
              <w:bottom w:w="0" w:type="dxa"/>
              <w:right w:w="0" w:type="dxa"/>
            </w:tcMar>
            <w:vAlign w:val="center"/>
          </w:tcPr>
          <w:p>
            <w:pPr>
              <w:pStyle w:val="TableContents"/>
              <w:spacing w:lineRule="auto" w:line="240" w:before="1"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2020</w:t>
            </w:r>
          </w:p>
        </w:tc>
        <w:tc>
          <w:tcPr>
            <w:tcW w:w="211"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D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4,253,480</w:t>
            </w:r>
            <w:r>
              <w:rPr>
                <w:color w:val="000000"/>
              </w:rPr>
              <w:t>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w:t>
            </w:r>
          </w:p>
        </w:tc>
        <w:tc>
          <w:tcPr>
            <w:tcW w:w="1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0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20,072,443 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130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36,825,923</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30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2,017,735 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(5,992,678)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DFF" w:val="clear"/>
            <w:tcMar>
              <w:top w:w="0" w:type="dxa"/>
              <w:left w:w="0" w:type="dxa"/>
              <w:bottom w:w="0" w:type="dxa"/>
              <w:right w:w="0" w:type="dxa"/>
            </w:tcMar>
            <w:vAlign w:val="center"/>
          </w:tcPr>
          <w:p>
            <w:pPr>
              <w:pStyle w:val="TableContents"/>
              <w:spacing w:lineRule="auto" w:line="244" w:before="0" w:after="0"/>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32,850,980</w:t>
            </w:r>
            <w:r>
              <w:rPr>
                <w:color w:val="000000"/>
              </w:rPr>
              <w:t>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929292"/>
          <w:sz w:val="20"/>
        </w:rPr>
      </w:pPr>
      <w:r>
        <w:rPr>
          <w:rFonts w:ascii="Times New Roman;sans-serif" w:hAnsi="Times New Roman;sans-serif"/>
          <w:b/>
          <w:color w:val="929292"/>
          <w:sz w:val="20"/>
        </w:rPr>
        <w:t>A</w:t>
      </w:r>
      <w:r>
        <w:rPr>
          <w:rFonts w:ascii="Times New Roman;sans-serif" w:hAnsi="Times New Roman;sans-serif"/>
          <w:b/>
          <w:color w:val="929292"/>
          <w:sz w:val="20"/>
        </w:rPr>
        <w:t>PEX CRYPTO LLC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28650"/>
                <wp:effectExtent l="0" t="0" r="0" b="0"/>
                <wp:wrapNone/>
                <wp:docPr id="13" name="Frame11"/>
                <a:graphic xmlns:a="http://schemas.openxmlformats.org/drawingml/2006/main">
                  <a:graphicData uri="http://schemas.microsoft.com/office/word/2010/wordprocessingShape">
                    <wps:wsp>
                      <wps:cNvSpPr txBox="1"/>
                      <wps:spPr>
                        <a:xfrm>
                          <a:off x="0" y="0"/>
                          <a:ext cx="6480175" cy="628650"/>
                        </a:xfrm>
                        <a:prstGeom prst="rect"/>
                      </wps:spPr>
                      <wps:txb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40" w:before="10" w:after="283"/>
        <w:jc w:val="center"/>
        <w:rPr>
          <w:rFonts w:ascii="Times New Roman;sans-serif" w:hAnsi="Times New Roman;sans-serif"/>
          <w:b/>
          <w:color w:val="000000"/>
          <w:sz w:val="20"/>
        </w:rPr>
      </w:pPr>
      <w:r>
        <w:rPr>
          <w:rFonts w:ascii="Times New Roman;sans-serif" w:hAnsi="Times New Roman;sans-serif"/>
          <w:b/>
          <w:color w:val="000000"/>
          <w:sz w:val="20"/>
        </w:rPr>
        <w:t>STATEMENTS OF CASH FLOWS</w:t>
      </w:r>
    </w:p>
    <w:p>
      <w:pPr>
        <w:pStyle w:val="TextBody"/>
        <w:spacing w:before="0" w:after="0"/>
        <w:rPr/>
      </w:pPr>
      <w:r>
        <w:rPr/>
      </w:r>
    </w:p>
    <w:p>
      <w:pPr>
        <w:pStyle w:val="TextBody"/>
        <w:spacing w:before="0" w:after="0"/>
        <w:rPr/>
      </w:pPr>
      <w:r>
        <w:rPr/>
      </w:r>
    </w:p>
    <w:p>
      <w:pPr>
        <w:pStyle w:val="TextBody"/>
        <w:spacing w:before="5" w:after="283"/>
        <w:rPr/>
      </w:pPr>
      <w:r>
        <w:rPr/>
      </w:r>
    </w:p>
    <w:tbl>
      <w:tblPr>
        <w:tblW w:w="9143" w:type="dxa"/>
        <w:jc w:val="left"/>
        <w:tblInd w:w="0" w:type="dxa"/>
        <w:tblCellMar>
          <w:top w:w="28" w:type="dxa"/>
          <w:left w:w="28" w:type="dxa"/>
          <w:bottom w:w="28" w:type="dxa"/>
          <w:right w:w="28" w:type="dxa"/>
        </w:tblCellMar>
      </w:tblPr>
      <w:tblGrid>
        <w:gridCol w:w="2260"/>
        <w:gridCol w:w="1982"/>
        <w:gridCol w:w="1997"/>
        <w:gridCol w:w="196"/>
        <w:gridCol w:w="961"/>
        <w:gridCol w:w="109"/>
        <w:gridCol w:w="109"/>
        <w:gridCol w:w="109"/>
        <w:gridCol w:w="109"/>
        <w:gridCol w:w="196"/>
        <w:gridCol w:w="961"/>
        <w:gridCol w:w="154"/>
      </w:tblGrid>
      <w:tr>
        <w:trPr/>
        <w:tc>
          <w:tcPr>
            <w:tcW w:w="2260"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39"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3"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(5,992,678)</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20,072,443 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156,576 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59,929 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(357,695)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2,017,735 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customers</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(818,891)</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(1,950,644)</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61"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Cryptocurrencies intangible assets</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10,085,546 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(8,895,174)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brokers, dealers, correspondents and clearing organizations, net</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4,416,727 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(4,132,002)</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affiliates</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(2,084,853)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(1,708,152)</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(744,554)</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brokers, dealers, correspondents and clearing organizations</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(3,608,435)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5,074,518 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affiliates</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(769,520)</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1,008,603 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9"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(288,458)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3,532,748 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8"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115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1,047,902</w:t>
            </w:r>
            <w:r>
              <w:rPr>
                <w:color w:val="000000"/>
              </w:rPr>
              <w:t>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14,357,555</w:t>
            </w:r>
            <w:r>
              <w:rPr>
                <w:color w:val="000000"/>
              </w:rPr>
              <w:t>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5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(3,323,537)</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(1,068,175)</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5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(168,827)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8"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115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(3,492,364)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(1,068,175)</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3"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contributions</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12,500,000 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8"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11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12,500,000</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8"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segregated cash, and restricted cash</w:t>
            </w:r>
          </w:p>
        </w:tc>
        <w:tc>
          <w:tcPr>
            <w:tcW w:w="115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(2,444,462)</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25,789,380 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28,461,363 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2,671,983 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61" w:before="8"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26,016,901 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28,461,363 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68"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24,304,401 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27,436,363 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1,712,500 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61" w:before="8"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26,016,901 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28,461,363 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0" w:before="68"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information</w:t>
            </w:r>
          </w:p>
        </w:tc>
        <w:tc>
          <w:tcPr>
            <w:tcW w:w="12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DFF" w:val="clear"/>
            <w:tcMar>
              <w:top w:w="0" w:type="dxa"/>
              <w:left w:w="0" w:type="dxa"/>
              <w:bottom w:w="0" w:type="dxa"/>
              <w:right w:w="0" w:type="dxa"/>
            </w:tcMar>
            <w:vAlign w:val="center"/>
          </w:tcPr>
          <w:p>
            <w:pPr>
              <w:pStyle w:val="TableContents"/>
              <w:spacing w:lineRule="auto" w:line="240" w:before="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7,367,245 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lineRule="auto" w:line="249" w:before="18"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38,219 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28650"/>
                <wp:effectExtent l="0" t="0" r="0" b="0"/>
                <wp:wrapNone/>
                <wp:docPr id="14" name="Frame12"/>
                <a:graphic xmlns:a="http://schemas.openxmlformats.org/drawingml/2006/main">
                  <a:graphicData uri="http://schemas.microsoft.com/office/word/2010/wordprocessingShape">
                    <wps:wsp>
                      <wps:cNvSpPr txBox="1"/>
                      <wps:spPr>
                        <a:xfrm>
                          <a:off x="0" y="0"/>
                          <a:ext cx="6480175" cy="628650"/>
                        </a:xfrm>
                        <a:prstGeom prst="rect"/>
                      </wps:spPr>
                      <wps:txb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179.35pt;mso-position-horizontal:left;mso-position-horizontal-relative:text">
                <v:textbox>
                  <w:txbxContent>
                    <w:p>
                      <w:pPr>
                        <w:pStyle w:val="TextBody"/>
                        <w:spacing w:before="0" w:after="0"/>
                        <w:jc w:val="center"/>
                        <w:rPr/>
                      </w:pPr>
                      <w:r>
                        <w:rPr/>
                      </w:r>
                    </w:p>
                    <w:p>
                      <w:pPr>
                        <w:pStyle w:val="TextBody"/>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financial statements.</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0" w:after="0"/>
        <w:rPr/>
      </w:pPr>
      <w:r>
        <w:rPr/>
      </w:r>
    </w:p>
    <w:p>
      <w:pPr>
        <w:pStyle w:val="TextBody"/>
        <w:spacing w:before="0" w:after="0"/>
        <w:rPr/>
      </w:pPr>
      <w:r>
        <w:rPr/>
      </w:r>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1.ORGANIZATION AND NATURE OF BUSINESS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Apex Crypto LLC (the “Company”) was incorporated on January 26, 2018 as a single member limited liability company in the State of Delaware. The Company is a wholly owned subsidiary of Apex Fintech Solutions Inc. (“Apex Fintech”), formerly known as Apex Fintech Solutions LLC. Apex Fintech is majority owned by PEAK6 APX Holdings LLC (“PEAK6 APX”).</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12, 2021, Apex Fintech entered into an option agreement (“Apex Crypto Option”) with PEAK6 Investments LLC whereby, subject to regulatory approval, Apex Fintech could acquire 100% of the equity of the Company for one dollar from PEAK6 Investments LLC. On June 29, 2021, Apex Fintech exercised the Apex Crypto Option and the Company became a wholly-owned subsidiary of Apex Fintech.</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registered with the U.S. Treasury Financial Crimes Enforcement Network (“FinCEN”) as a money services business and holds a money transmission license or virtual currency equivalent licenses. The Company enters into transactions in cryptocurrencies with customers and provides custody of cryptocurrencies for customers. The Company is currently licensed as a money transmitter or the virtual currency equivalent in various states. In addition, the Company is participating in Hawaii’s Digital Currency Innovation Lab and has a pending BitLicense in New York. The Company is currently operational in all other</w:t>
      </w:r>
    </w:p>
    <w:p>
      <w:pPr>
        <w:pStyle w:val="TextBody"/>
        <w:spacing w:lineRule="auto" w:line="288" w:before="4"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states and jurisdictions based on legal opinion, and in some cases state regulator confirmation, that a license is not required.</w:t>
      </w:r>
    </w:p>
    <w:p>
      <w:pPr>
        <w:pStyle w:val="TextBody"/>
        <w:spacing w:before="2" w:after="283"/>
        <w:rPr/>
      </w:pPr>
      <w:r>
        <w:rPr/>
      </w:r>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2.SIGNIFICANT ACCOUNTING POLICIES</w:t>
      </w:r>
    </w:p>
    <w:p>
      <w:pPr>
        <w:pStyle w:val="TextBody"/>
        <w:spacing w:lineRule="auto" w:line="288" w:before="130" w:after="283"/>
        <w:rPr>
          <w:rFonts w:ascii="Times New Roman;sans-serif" w:hAnsi="Times New Roman;sans-serif"/>
          <w:b/>
          <w:i/>
          <w:color w:val="000000"/>
          <w:sz w:val="20"/>
        </w:rPr>
      </w:pPr>
      <w:r>
        <w:rPr>
          <w:rFonts w:ascii="Times New Roman;sans-serif" w:hAnsi="Times New Roman;sans-serif"/>
          <w:b/>
          <w:i/>
          <w:color w:val="000000"/>
          <w:sz w:val="20"/>
        </w:rPr>
        <w:t>Basis of Presentation and Use of Estimates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have been prepared in accordance with accounting principles generally accepted in the United States of America (“U.S. GAAP”) as established by the Financial Accounting Standards Board (“FASB”). The preparation of financial statements in conformity with U.S. GAAP requires the Company to make estimates and assumptions that affect the reported amount of assets and liabilities, disclosures of contingent assets and liabilities in the notes to the financial statements at the date of the financial statements, and the reported amounts of revenues and expenses. On an ongoing basis, management evaluates its significant estimates, including, but not limited to the useful lives of property, plant and equipment, the estimate of credit losses and provision for income taxes. In accordance with U.S. GAAP, management bases its estimates on historical experience and on various other assumptions that management believes are reasonable under the circumstances. Actual results could differ materially from such estimates. Management believes that the estimates utilized in preparing these financial statements are reasonable.</w:t>
      </w:r>
    </w:p>
    <w:p>
      <w:pPr>
        <w:pStyle w:val="TextBody"/>
        <w:spacing w:before="7"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spacing w:lineRule="auto" w:line="288" w:before="13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Where applicable, certain amounts in the prior year’s financial statements have been reclassified to conform to current year presentation. There were no material or significant rearrangements or reclassifications made during the year, and these reclassifications had no impact on net income.</w:t>
      </w:r>
    </w:p>
    <w:p>
      <w:pPr>
        <w:pStyle w:val="TextBody"/>
        <w:spacing w:before="9"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cash on deposit with major financial institutions. The Company maintains its cash in bank deposit accounts which at times may exceed federally insured limits. The Company has not experienced any losses in such accounts and believes it is not exposed to any significant credit risk on cash.</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collects deposits from correspondents with certain restrictions as to its use under the terms of certain contractual agreements which are recorded as restricted cash and a corresponding payable to correspondents.</w:t>
      </w:r>
    </w:p>
    <w:p>
      <w:pPr>
        <w:pStyle w:val="TextBody"/>
        <w:spacing w:before="9"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Receivable from Customers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Receivable from customers include amounts due on cash for trades pending settlement and are reflected in the Statements of Financial Condition on a trade date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53110"/>
                <wp:effectExtent l="0" t="0" r="0" b="0"/>
                <wp:wrapNone/>
                <wp:docPr id="15" name="Frame13"/>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2" w:after="283"/>
        <w:rPr/>
      </w:pPr>
      <w:r>
        <w:rPr/>
      </w:r>
    </w:p>
    <w:p>
      <w:pPr>
        <w:pStyle w:val="TextBody"/>
        <w:spacing w:lineRule="auto" w:line="240" w:before="91" w:after="283"/>
        <w:rPr>
          <w:rFonts w:ascii="Times New Roman;sans-serif" w:hAnsi="Times New Roman;sans-serif"/>
          <w:b/>
          <w:i/>
          <w:color w:val="000000"/>
          <w:sz w:val="20"/>
        </w:rPr>
      </w:pPr>
      <w:r>
        <w:rPr>
          <w:rFonts w:ascii="Times New Roman;sans-serif" w:hAnsi="Times New Roman;sans-serif"/>
          <w:b/>
          <w:i/>
          <w:color w:val="000000"/>
          <w:sz w:val="20"/>
        </w:rPr>
        <w:t>Receivables from and Payables to Brokers, Dealers, Correspondents and Clearing Organizations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include amounts receivable relating to open transactions, non-customer receivables, and amounts related to unsettled activities. Payables include amounts payable relating to open transactions, non-customer payables, and amounts related to unsettled activities. These balances are reported net by counterparty when the right of offset exists.</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collects commissions and other fees from correspondents’ customers either monthly or periodically through the month. As stipulated by individual agreements with correspondent introducing brokers (“correspondents” or “clients”), the Company remits net amounts due to correspondents after deducting charges for clearing, execution, and others as applicable.</w:t>
      </w:r>
    </w:p>
    <w:p>
      <w:pPr>
        <w:pStyle w:val="TextBody"/>
        <w:spacing w:before="1" w:after="283"/>
        <w:rPr/>
      </w:pPr>
      <w:r>
        <w:rPr/>
      </w:r>
    </w:p>
    <w:p>
      <w:pPr>
        <w:pStyle w:val="TextBody"/>
        <w:spacing w:lineRule="auto" w:line="240" w:before="1" w:after="283"/>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129"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recorded at cost, net of accumulated depreciation and amortization, and consists of capitalized software costs. Amortization on capitalized software is recorded on a straight-line basis using an estimated useful service life of 8 years. Depreciation and amortization are recorded in the Statements of Operations in Occupancy, depreciation and amortization. Property and equipment are reviewed annually for impairment, with no such impairment loss recorded in the current year.</w:t>
      </w:r>
    </w:p>
    <w:p>
      <w:pPr>
        <w:pStyle w:val="TextBody"/>
        <w:spacing w:before="0" w:after="0"/>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Capitalized Software Costs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Software development costs consist primarily of employee salaries and benefits incurred in the development of new internal- use software solutions. When determining whether applicable costs qualify for capitalization, the Company uses judgment in distinguishing between the preliminary project and application development stages of the project. The application development stage costs generally include costs associated with internal-use software configuration, coding, installation, and testing.</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amount of internal-use software costs to be capitalized based on the amount of time spent by developers on projects in the application stage of development. There is judgment involved in estimating time allocated to a particular project in the application stage.</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software costs for the development of internal-use software applications are recorded as part of property and equipment in the Statement of Financial Condition. During the years ended December 31, 2022 and 2021, the Company capitalized internal-use software development costs of $3,323,537 and $1,068,175, respectively.</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capitalized internal-use software begins on the date the software is placed in service and the amortization period is based on estimated useful life. Significant estimates and assumptions include determining the appropriate amortization period based on the estimated useful life and assessing the unamortized cost balances for impairment.</w:t>
      </w:r>
    </w:p>
    <w:p>
      <w:pPr>
        <w:pStyle w:val="TextBody"/>
        <w:spacing w:before="1" w:after="283"/>
        <w:rPr/>
      </w:pPr>
      <w:r>
        <w:rPr/>
      </w:r>
    </w:p>
    <w:p>
      <w:pPr>
        <w:pStyle w:val="TextBody"/>
        <w:spacing w:lineRule="auto" w:line="240" w:before="0" w:after="0"/>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spacing w:lineRule="auto" w:line="288" w:before="130" w:after="283"/>
        <w:jc w:val="both"/>
        <w:rPr/>
      </w:pPr>
      <w:r>
        <w:rPr>
          <w:rFonts w:ascii="Times New Roman;sans-serif" w:hAnsi="Times New Roman;sans-serif"/>
          <w:b w:val="false"/>
          <w:color w:val="000000"/>
          <w:sz w:val="20"/>
        </w:rPr>
        <w:t xml:space="preserve">Intangible assets consist of cryptocurrencies owned by the Company as well as cryptocurrencies in-transit with market makers, and are accounted for as indefinite-lived intangible assets and are initially measured at cost under the guidance in Accounting Standards Codification (“ASC”) 350, </w:t>
      </w:r>
      <w:r>
        <w:rPr>
          <w:rFonts w:ascii="Times New Roman;sans-serif" w:hAnsi="Times New Roman;sans-serif"/>
          <w:b w:val="false"/>
          <w:i/>
          <w:color w:val="000000"/>
          <w:sz w:val="20"/>
        </w:rPr>
        <w:t>Intangibles - Goodwill and Other</w:t>
      </w:r>
      <w:r>
        <w:rPr>
          <w:rFonts w:ascii="Times New Roman;sans-serif" w:hAnsi="Times New Roman;sans-serif"/>
          <w:b w:val="false"/>
          <w:color w:val="000000"/>
          <w:sz w:val="20"/>
        </w:rPr>
        <w:t>. These assets are not amortized, but assessed for impairment annually, or more frequently, when events or changes in circumstances occur indicating that it is more likely than not that the indefinite-lived asset is impaired. See footnote 8 for more information about the economic impact and short-term settlement of the intangible assets in-transit with market makers.</w:t>
      </w:r>
    </w:p>
    <w:p>
      <w:pPr>
        <w:pStyle w:val="TextBody"/>
        <w:spacing w:before="3"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exists when the carrying amount exceeds its fair value. The fair value of cryptocurrencies is determined as the lowest price of executed transactions during the measurement period, using the quoted price of the cryptocurrencies from the Company’s counterparties. In testing for impairment, the Company has the option to first perform a qualitative assessment to determine whether it is more likely than not that an impairment exists. If it is determined that it is not more likely than not that an impairment exists, a quantitative impairment test is not necessary. After an impairment loss is recognized, the adjusted carrying amount of the digital asset becomes its new accounting basis. Impairment losses are included in Cryptocurrencies costs in the Statements of Operations. A subsequent reversal of a previously recognized impairment loss is not permitted.</w:t>
      </w:r>
    </w:p>
    <w:p>
      <w:pPr>
        <w:pStyle w:val="TextBody"/>
        <w:spacing w:before="4" w:after="283"/>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assigns costs to transactions on a first-in, first-out basis. Realized gains and losses are included in Cryptocurrencies revenue in the Statements of Operations. The Company intends to receive the economic benefits of the cryptocurrencies within one year to support operations and growth. The Company classifies cash flows from cryptocurrencies within cash flows from operating activities.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53110"/>
                <wp:effectExtent l="0" t="0" r="0" b="0"/>
                <wp:wrapNone/>
                <wp:docPr id="16" name="Frame14"/>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40" w:before="92" w:after="283"/>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spacing w:lineRule="auto" w:line="288" w:before="129"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customers the ability to purchase or sell certain cryptocurrencies on its platform. A cryptocurrency transaction includes multiple performance obligations, which are execution, custody of the customer’s purchased cryptocurrency, and material rights for ongoing custody beyond the original contractual period.</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charges the customer an execution fee at the transaction level. The fee takes the form of a markup or markdown based on the aggregate market price of the cryptocurrency a customer is buying or selling. The Company receives its fee upon a customer’s settlement of the order. Funds transferred in US dollars to or from the customer’s account at Apex Clearing Corporation (“ACC”) to settle the transaction are inclusive of fees. The Company satisfies its execution performance obligation on the cryptocurrency when control of the cryptocurrency transfers from the Company to the customer, the point in time when the transaction is recorded in the customer’s account to denote the transfer of control of the cryptocurrency to the customer.</w:t>
      </w:r>
    </w:p>
    <w:p>
      <w:pPr>
        <w:pStyle w:val="TextBody"/>
        <w:spacing w:before="4"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contract between the Company and the customer can be terminated by either party at any time without the requirement to pay a termination penalty. Upon termination of the contract, the customer’s cryptocurrency held in the Company’s custody is required to be liquidated and the proceeds are required to be distributed to the customer. Accordingly, the initial contractual period in which the Company and the customer have present enforceable rights and obligations with respect to the custody of the customer’s cryptocurrency is one day. Thereafter, by virtue of electing not to terminate the contract, the customer has a material right to obtain custodial services from the Company for no additional cost, for additional days until the customer sells the cryptocurrency or closes its account with the Company.</w:t>
      </w:r>
    </w:p>
    <w:p>
      <w:pPr>
        <w:pStyle w:val="TextBody"/>
        <w:spacing w:before="4"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Company satisfies its custody performance obligation over the one-day contractual period, which is determined to be immaterial in the context of the contract with a customer due to the one-day contractual period. The customer exercises the material right for ongoing custody performance obligations each day over the period for which the customer chooses to maintain its cryptocurrencies in the Company’s custody, which ends when the customer sells cryptocurrency or closes its account with the Company. Therefore, the Company’s performance obligation with respect to the material right is satisfied over the period of time for which the customer’s cryptocurrencies are in the Company’s custody.</w:t>
      </w:r>
    </w:p>
    <w:p>
      <w:pPr>
        <w:pStyle w:val="TextBody"/>
        <w:spacing w:before="3" w:after="283"/>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services include an obligation to execute customer orders for cryptocurrency assets when customers’ buy or sell orders are routed to its platform by the introducing broker. The customer, through the introducing broker, places an order for purchase of cryptocurrencies through the Company’s proprietary digital trading platform. Based on the live feed of prices and availabilities of the various cryptocurrencies published by market makers, to which the Company’s customers have access through the digital trading platform, the digital trading platform identifies and selects the market maker that is currently offering the best price for the cryptocurrency ordered by the customer. Based on the price offered by the selected market maker, the Company translates the customer order from the notional amount to a specific quantity of the cryptocurrency that the customer has ordered. The Company executes a corresponding order with the market maker. Upon execution of each order, the customer, the market maker, and the Company have legally enforceable rights and obligations with respect to the purchase or sale of the cryptocurrency and the payment of the consideration in exchange for the cryptocurrency. Upon execution of the order, the Company draws the amount of consideration, which includes the price of the cryptocurrency charged by the market maker and the Company’s mark-up, from the customer’s account with ACC. The Company fills the customer order from its own account of the respective cryptocurrency. The cryptocurrency purchased by the customer is placed in omnibus digital wallets hosted by the Company or third-party custodians. Depending on the transaction, the definition of a customer may differ, as the customer is the counterparty who places the order with the Company to buy (whether the account holder or the liquidity provider), and the vendor is the counterparty who “fulfills” the order by providing or purchasing the cryptocurrency to/from the Company (for example, when the account holder places a “sell” order and the liquidity provider is therefore placing a “buy” order. Contracts to buy/sell cryptocurrency with the liquidity provider not related to customer contracts are not treated as revenue transactions.</w:t>
      </w:r>
    </w:p>
    <w:p>
      <w:pPr>
        <w:pStyle w:val="TextBody"/>
        <w:spacing w:before="1" w:after="283"/>
        <w:rPr/>
      </w:pPr>
      <w:r>
        <w:rPr/>
      </w:r>
    </w:p>
    <w:p>
      <w:pPr>
        <w:pStyle w:val="TextBody"/>
        <w:spacing w:lineRule="auto" w:line="288" w:before="0" w:after="0"/>
        <w:jc w:val="both"/>
        <w:rPr/>
      </w:pPr>
      <w:r>
        <w:rPr>
          <w:rFonts w:ascii="Times New Roman;sans-serif" w:hAnsi="Times New Roman;sans-serif"/>
          <w:b w:val="false"/>
          <w:color w:val="000000"/>
          <w:sz w:val="20"/>
        </w:rPr>
        <w:t xml:space="preserve">Judgment is required in determining whether the Company is the principal or the agent in these transactions. The Company evaluates the presentation of revenue on a gross or net basis based on whether it controls the crypto asset provided before it is transferred to the customer or whether it acts as an agent by arranging for customers to purchase or sell the crypto asset utilizing the platform. In accordance with ASC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(“ASC 606”), the Company acts as a principal in the transaction when a customer purchases or sells crypto assets, and therefore reflects gross presentation for the transactions as Cryptocurrencies revenue on the Statements of Operations. The corresponding gross presentation of the cost to purchase cryptocurrency is recorded as Cryptocurrencies costs on the Statements of Operations. The Company has concluded it is a principal in the transaction because it controls the cryptocurrencies during the settlement process, and it is primarily responsible for the delivery of cryptocurrencies to the customers. Cryptocurrencies represent fungible units that can be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53110"/>
                <wp:effectExtent l="0" t="0" r="0" b="0"/>
                <wp:wrapNone/>
                <wp:docPr id="17" name="Frame15"/>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subdivided into smaller fractional units. The Company assigns costs to the transactions on a first-in, first-out basis for each individual cryptocurrency asset sold.</w:t>
      </w:r>
    </w:p>
    <w:p>
      <w:pPr>
        <w:pStyle w:val="TextBody"/>
        <w:spacing w:before="0" w:after="0"/>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allocates transaction price to each performance obligation based on relative standalone selling prices. The Company has observable standalone selling price for its performance obligation to execute customer orders for cryptocurrency trading, based on the price that it charges to customers that engage in day trading and do not obtain the Company’s custody services. The Company estimates that standalone selling prices for the custody service and the material right for ongoing custody service using a combination of the expected cost plus a margin approach and the adjusted market assessment approach, maximizing the use of observable inputs in its estimation method.</w:t>
      </w:r>
    </w:p>
    <w:p>
      <w:pPr>
        <w:pStyle w:val="TextBody"/>
        <w:spacing w:before="0" w:after="0"/>
        <w:rPr/>
      </w:pPr>
      <w:r>
        <w:rPr/>
      </w:r>
    </w:p>
    <w:p>
      <w:pPr>
        <w:pStyle w:val="TextBody"/>
        <w:spacing w:lineRule="auto" w:line="288" w:before="0" w:after="0"/>
        <w:rPr>
          <w:rFonts w:ascii="Times New Roman;sans-serif" w:hAnsi="Times New Roman;sans-serif"/>
          <w:b/>
          <w:i/>
          <w:color w:val="221F1F"/>
          <w:sz w:val="20"/>
        </w:rPr>
      </w:pPr>
      <w:r>
        <w:rPr>
          <w:rFonts w:ascii="Times New Roman;sans-serif" w:hAnsi="Times New Roman;sans-serif"/>
          <w:b/>
          <w:i/>
          <w:color w:val="221F1F"/>
          <w:sz w:val="20"/>
        </w:rPr>
        <w:t>Share-Based Compensation</w:t>
      </w:r>
    </w:p>
    <w:p>
      <w:pPr>
        <w:pStyle w:val="TextBody"/>
        <w:spacing w:lineRule="auto" w:line="288" w:before="133" w:after="283"/>
        <w:jc w:val="both"/>
        <w:rPr/>
      </w:pPr>
      <w:r>
        <w:rPr>
          <w:rFonts w:ascii="Times New Roman;sans-serif" w:hAnsi="Times New Roman;sans-serif"/>
          <w:b w:val="false"/>
          <w:color w:val="000000"/>
          <w:sz w:val="20"/>
        </w:rPr>
        <w:t xml:space="preserve">The Company’s employees participate in Apex Fintech’s stock-based compensation plan. </w:t>
      </w:r>
      <w:r>
        <w:rPr>
          <w:rFonts w:ascii="Times New Roman;sans-serif" w:hAnsi="Times New Roman;sans-serif"/>
          <w:b w:val="false"/>
          <w:color w:val="221F1F"/>
          <w:sz w:val="20"/>
        </w:rPr>
        <w:t xml:space="preserve">The Company accounts for share- based compensation with persons classified as employees for accounting purposes under ASC 718, </w:t>
      </w:r>
      <w:r>
        <w:rPr>
          <w:rFonts w:ascii="Times New Roman;sans-serif" w:hAnsi="Times New Roman;sans-serif"/>
          <w:b w:val="false"/>
          <w:i/>
          <w:color w:val="221F1F"/>
          <w:sz w:val="20"/>
        </w:rPr>
        <w:t>Compensation-Stock Compensation</w:t>
      </w:r>
      <w:r>
        <w:rPr>
          <w:rFonts w:ascii="Times New Roman;sans-serif" w:hAnsi="Times New Roman;sans-serif"/>
          <w:b w:val="false"/>
          <w:color w:val="221F1F"/>
          <w:sz w:val="20"/>
        </w:rPr>
        <w:t>, which recognizes awards at fair value on the date of grant and the recognition of compensation expenses over the period during which an employee is required to provide services in exchange for the awards, known as the requisite service period (usually, the vesting period). The grant date fair value is utilized for restricted stock unit awards (“RSUs”) and stock options. Time-based and graded vesting service awards are recognized on a straight-line basis over the employees’ requisite service period. Forfeitures are accounted for as they occur. To date, Apex Fintech has issued share-based awards with only service-based vesting conditions. All share-based awards are classified as equity, as they may only be settled in shares of the Apex Fintech’s common stock.</w:t>
      </w:r>
    </w:p>
    <w:p>
      <w:pPr>
        <w:pStyle w:val="TextBody"/>
        <w:spacing w:before="6" w:after="283"/>
        <w:rPr/>
      </w:pPr>
      <w:r>
        <w:rPr/>
      </w:r>
    </w:p>
    <w:p>
      <w:pPr>
        <w:pStyle w:val="TextBody"/>
        <w:spacing w:lineRule="auto" w:line="288" w:before="0" w:after="0"/>
        <w:jc w:val="both"/>
        <w:rPr>
          <w:rFonts w:ascii="Times New Roman;sans-serif" w:hAnsi="Times New Roman;sans-serif"/>
          <w:b w:val="false"/>
          <w:color w:val="221F1F"/>
          <w:sz w:val="20"/>
        </w:rPr>
      </w:pPr>
      <w:r>
        <w:rPr>
          <w:rFonts w:ascii="Times New Roman;sans-serif" w:hAnsi="Times New Roman;sans-serif"/>
          <w:b w:val="false"/>
          <w:color w:val="221F1F"/>
          <w:sz w:val="20"/>
        </w:rPr>
        <w:t>Subsequent to the vesting period, earned stock-settled restricted stock units (equity classified) are paid to the holder in shares of Apex Fintech common stock, provided the holder is still employed with the Company as of the vesting date.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Derivative Instruments</w:t>
      </w:r>
    </w:p>
    <w:p>
      <w:pPr>
        <w:pStyle w:val="TextBody"/>
        <w:spacing w:lineRule="auto" w:line="288" w:before="130" w:after="283"/>
        <w:jc w:val="both"/>
        <w:rPr/>
      </w:pPr>
      <w:r>
        <w:rPr>
          <w:rFonts w:ascii="Times New Roman;sans-serif" w:hAnsi="Times New Roman;sans-serif"/>
          <w:b w:val="false"/>
          <w:color w:val="000000"/>
          <w:sz w:val="20"/>
        </w:rPr>
        <w:t xml:space="preserve">The Company has master netting agreements with its liquidity providers utilized to execute its customer trading activities regarding cryptocurrencies that provide for, amongst other things, settlement of these activities on a batch or net basis that occurs at least on a daily basis. That is, forward contracts are all settled generally within the next business day. These contracts have been determined to meet the definition of a derivative under the provisions of ASC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(“ASC 815”). Derivative instruments are recorded on the Statements of Financial Condition at fair value. The Company has decided to net derivative assets and liabilities with the same counterparty on the Statements of Financial Condition if a legal right of offset exists and certain other criteria are met.</w:t>
      </w:r>
    </w:p>
    <w:p>
      <w:pPr>
        <w:pStyle w:val="TextBody"/>
        <w:spacing w:before="4"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short-term nature of these derivatives, the forward contracts do not have a material impact on the Statements of Operations. The Company does not enter into derivatives for trading or speculative purposes, and none of the Company’s derivatives are designated as hedges and do not qualify for hedge accounting.</w:t>
      </w:r>
    </w:p>
    <w:p>
      <w:pPr>
        <w:pStyle w:val="TextBody"/>
        <w:spacing w:before="9" w:after="283"/>
        <w:rPr/>
      </w:pPr>
      <w:r>
        <w:rPr/>
      </w:r>
    </w:p>
    <w:p>
      <w:pPr>
        <w:pStyle w:val="TextBody"/>
        <w:spacing w:lineRule="auto" w:line="288" w:before="1" w:after="283"/>
        <w:rPr>
          <w:rFonts w:ascii="Times New Roman;sans-serif" w:hAnsi="Times New Roman;sans-serif"/>
          <w:b/>
          <w:i/>
          <w:color w:val="000000"/>
          <w:sz w:val="20"/>
        </w:rPr>
      </w:pPr>
      <w:r>
        <w:rPr>
          <w:rFonts w:ascii="Times New Roman;sans-serif" w:hAnsi="Times New Roman;sans-serif"/>
          <w:b/>
          <w:i/>
          <w:color w:val="000000"/>
          <w:sz w:val="20"/>
        </w:rPr>
        <w:t>Cryptocurrencies Safeguarding Liability and Corresponding Safeguarding Asset</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safeguarding liability with respect to its obligation to safeguard customers’ cryptocurrencies along with a corresponding safeguarding asset under the guidance of Securities and Exchange Commission (“SEC”) staff released Staff Accounting Bulletin No. 121 (“SAB 121”). The safeguarding asset and liability were initial recognized at fair value and are remeasured at fair value on a recurring basis with no impact to the Statements of Operations. Any wastage, conversion or misappropriation would impact the measurement of the safeguarding asset.</w:t>
      </w:r>
    </w:p>
    <w:p>
      <w:pPr>
        <w:pStyle w:val="TextBody"/>
        <w:spacing w:before="2" w:after="283"/>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cryptocurrencies custody services to its customers and does not own the cryptocurrencies held in its capacity as the custodial as these cryptocurrencies belong to the Company’s customers.</w:t>
      </w:r>
    </w:p>
    <w:p>
      <w:pPr>
        <w:pStyle w:val="TextBody"/>
        <w:spacing w:before="8"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Income Tax</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single-member limited liability company, the Company is disregarded as an entity separate from its owner and its operations are included in the federal and state income tax returns of its parent, Apex Fintech Solutions Inc. There is no requirement to allocate income tax expense to a legal entity that is both not subject to tax and disregarded by the taxing authority, however the Company has elected to allocate the consolidated amount of current and deferred tax expense as if it were a separate taxpayer.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53110"/>
                <wp:effectExtent l="0" t="0" r="0" b="0"/>
                <wp:wrapNone/>
                <wp:docPr id="18" name="Frame16"/>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 and deferred tax expense is allocated to the Company based on a modified “separate return” method. Under this method the Company is assumed to file a separate return with the tax authority, thereby reporting the Company’s taxable income or loss and paying the applicable tax to or receiving the appropriate refund from Apex Fintech. The Company follows a “benefits-for- loss” approach to assess deferred tax realizability. Under this approach, deferred tax assets are characterized as realizable by the Company when those assets are realized by the consolidated group, even if the Company would not otherwise have realized them on a stand-alone basis. Pursuant to a tax sharing agreement with Apex Fintech, any utilization by Apex Fintech of the Company’s tax losses, including any carryovers thereof, will either reduce the current tax liability or be remitted to the Company</w:t>
      </w:r>
    </w:p>
    <w:p>
      <w:pPr>
        <w:pStyle w:val="TextBody"/>
        <w:spacing w:before="5" w:after="283"/>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are determined based on the temporary differences between carrying amounts and tax bases of assets and liabilities using enacted tax rates expected to apply to taxable income in the periods in which the deferred tax asset or liability is expected to be settled or realized. Uncertain tax positions are recognized if they are more likely than not to be sustained upon examination, based on the technical merits of the position. Changes in the unrecognized tax benefits occur on a regular basis due to tax return examinations and settlements that are concluded, statutes of limitations that expire, and court decisions that are issued that interpret tax law. There are positions involving taxability in certain tax jurisdictions and timing of certain tax deductions for which it is reasonably possible that the total amounts of unrecognized tax benefits for uncertain tax positions will significantly decrease within twelve months because the tax positions may be settled in cash or otherwise resolved with taxing authorities. When applicable, a valuation allowance is established to reduce any deferred tax asset when it is determined that it is more likely than not that some portion of the deferred tax asset will not be realized.</w:t>
      </w:r>
    </w:p>
    <w:p>
      <w:pPr>
        <w:pStyle w:val="TextBody"/>
        <w:spacing w:before="3" w:after="283"/>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has evaluated all of the recently issued, but not yet effective, accounting standards that have been issued or proposed by the FASB or other standards-setting bodies through the date of the financial statements and except as described below, does not believe the future adoption of any such pronouncements will have have significance, or potential significance, on the Company’s financial statements.</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the SEC staff released SAB 121, which requires entities that hold cryptocurrencies on behalf of platform users to recognize a liability to reflect the entity’s obligation to safeguard the cryptocurrencies held for its platform users, whether directly or through an agent or another third party acting on its behalf, along with a corresponding safeguarding asset. Both the liability and corresponding safeguarding asset shall be measured at fair value. SAB 121 also requires disclosure of the nature and amount of cryptocurrencies being safeguarded, how the fair value is determined, an entity's accounting policy for safeguarding liabilities and corresponding safeguarding assets, and may require disclosure of other information about risks and uncertainties arising from the entity's safeguarding activities. For cryptocurrencies that are not maintained on the Company’s platform and for which the Company does not maintain a private key or the ability to recover a customer’s private key, these balances are not recorded, as there is no related safeguarding obligation in accordance with SAB 121. This guidance is effective from the first interim period after June 15, 2022 with retrospective application as of January 1, 2022. The Company adopted SAB 121 as of September 30, 2022, with retrospective application as of January 1, 2022. The balances as of January 1, 2022 for the Cryptocurrencies safeguarding asset and Cryptocurrencies safeguarding liability were $1,293,872,563. See footnote 9 for additional information.</w:t>
      </w:r>
    </w:p>
    <w:p>
      <w:pPr>
        <w:pStyle w:val="TextBody"/>
        <w:spacing w:before="0" w:after="0"/>
        <w:jc w:val="both"/>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3.RECEIVABLES FROM AND PAYABLES TO BROKERS, DEALERS, CORRESPONDENTS AND CLEARING ORGANIZATIONS</w:t>
      </w:r>
    </w:p>
    <w:p>
      <w:pPr>
        <w:pStyle w:val="TextBody"/>
        <w:spacing w:lineRule="auto" w:line="240" w:before="125" w:after="283"/>
        <w:rPr>
          <w:rFonts w:ascii="Times New Roman;sans-serif" w:hAnsi="Times New Roman;sans-serif"/>
          <w:b w:val="false"/>
          <w:color w:val="000000"/>
          <w:sz w:val="20"/>
        </w:rPr>
      </w:pPr>
      <w:r>
        <w:rPr>
          <w:rFonts w:ascii="Times New Roman;sans-serif" w:hAnsi="Times New Roman;sans-serif"/>
          <w:b w:val="false"/>
          <w:color w:val="000000"/>
          <w:sz w:val="20"/>
        </w:rPr>
        <w:t>Receivables from brokers, dealers, correspondents and clearing organizations consist of the following:</w:t>
      </w:r>
    </w:p>
    <w:p>
      <w:pPr>
        <w:pStyle w:val="TextBody"/>
        <w:spacing w:before="0" w:after="0"/>
        <w:rPr/>
      </w:pPr>
      <w:r>
        <w:rPr/>
      </w:r>
    </w:p>
    <w:p>
      <w:pPr>
        <w:pStyle w:val="TextBody"/>
        <w:spacing w:before="6" w:after="283"/>
        <w:rPr/>
      </w:pPr>
      <w:r>
        <w:rPr/>
      </w:r>
    </w:p>
    <w:tbl>
      <w:tblPr>
        <w:tblW w:w="7689" w:type="dxa"/>
        <w:jc w:val="left"/>
        <w:tblInd w:w="0" w:type="dxa"/>
        <w:tblCellMar>
          <w:top w:w="28" w:type="dxa"/>
          <w:left w:w="28" w:type="dxa"/>
          <w:bottom w:w="28" w:type="dxa"/>
          <w:right w:w="28" w:type="dxa"/>
        </w:tblCellMar>
      </w:tblPr>
      <w:tblGrid>
        <w:gridCol w:w="1699"/>
        <w:gridCol w:w="1495"/>
        <w:gridCol w:w="1501"/>
        <w:gridCol w:w="211"/>
        <w:gridCol w:w="991"/>
        <w:gridCol w:w="109"/>
        <w:gridCol w:w="109"/>
        <w:gridCol w:w="109"/>
        <w:gridCol w:w="109"/>
        <w:gridCol w:w="211"/>
        <w:gridCol w:w="991"/>
        <w:gridCol w:w="154"/>
      </w:tblGrid>
      <w:tr>
        <w:trPr/>
        <w:tc>
          <w:tcPr>
            <w:tcW w:w="1699"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695"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at brokers or dealers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1,002,365 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5,584,789 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auto"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from correspondents, net of allowance of $0</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114,942 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1,283,005</w:t>
            </w:r>
            <w:r>
              <w:rPr>
                <w:color w:val="000000"/>
              </w:rPr>
              <w:t>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5,699,731</w:t>
            </w:r>
            <w:r>
              <w:rPr>
                <w:color w:val="000000"/>
              </w:rPr>
              <w:t>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53110"/>
                <wp:effectExtent l="0" t="0" r="0" b="0"/>
                <wp:wrapNone/>
                <wp:docPr id="19" name="Frame17"/>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40" w:before="91" w:after="283"/>
        <w:rPr>
          <w:rFonts w:ascii="Times New Roman;sans-serif" w:hAnsi="Times New Roman;sans-serif"/>
          <w:b w:val="false"/>
          <w:color w:val="000000"/>
          <w:sz w:val="20"/>
        </w:rPr>
      </w:pPr>
      <w:r>
        <w:rPr>
          <w:rFonts w:ascii="Times New Roman;sans-serif" w:hAnsi="Times New Roman;sans-serif"/>
          <w:b w:val="false"/>
          <w:color w:val="000000"/>
          <w:sz w:val="20"/>
        </w:rPr>
        <w:t>Payables to brokers, dealers, correspondents and clearing organizations consist of the following:</w:t>
      </w:r>
    </w:p>
    <w:p>
      <w:pPr>
        <w:pStyle w:val="TextBody"/>
        <w:spacing w:before="0" w:after="30"/>
        <w:jc w:val="right"/>
        <w:rPr/>
      </w:pPr>
      <w:r>
        <w:rPr/>
      </w:r>
    </w:p>
    <w:tbl>
      <w:tblPr>
        <w:tblW w:w="6459" w:type="dxa"/>
        <w:jc w:val="left"/>
        <w:tblInd w:w="0" w:type="dxa"/>
        <w:tblCellMar>
          <w:top w:w="28" w:type="dxa"/>
          <w:left w:w="28" w:type="dxa"/>
          <w:bottom w:w="28" w:type="dxa"/>
          <w:right w:w="28" w:type="dxa"/>
        </w:tblCellMar>
      </w:tblPr>
      <w:tblGrid>
        <w:gridCol w:w="1254"/>
        <w:gridCol w:w="1103"/>
        <w:gridCol w:w="1108"/>
        <w:gridCol w:w="211"/>
        <w:gridCol w:w="991"/>
        <w:gridCol w:w="109"/>
        <w:gridCol w:w="109"/>
        <w:gridCol w:w="109"/>
        <w:gridCol w:w="109"/>
        <w:gridCol w:w="211"/>
        <w:gridCol w:w="991"/>
        <w:gridCol w:w="154"/>
      </w:tblGrid>
      <w:tr>
        <w:trPr/>
        <w:tc>
          <w:tcPr>
            <w:tcW w:w="1254"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465"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correspondents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2,112,596 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5,725,375 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Proprietary accounts of brokers or dealers</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2,116,940</w:t>
            </w:r>
            <w:r>
              <w:rPr>
                <w:color w:val="000000"/>
              </w:rPr>
              <w:t>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5,725,375</w:t>
            </w:r>
            <w:r>
              <w:rPr>
                <w:color w:val="000000"/>
              </w:rPr>
              <w:t>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1" w:after="283"/>
        <w:rPr/>
      </w:pPr>
      <w:r>
        <w:rPr/>
      </w:r>
    </w:p>
    <w:p>
      <w:pPr>
        <w:pStyle w:val="TextBody"/>
        <w:spacing w:lineRule="auto" w:line="240" w:before="91" w:after="283"/>
        <w:ind w:left="0" w:right="0" w:hanging="720"/>
        <w:rPr>
          <w:rFonts w:ascii="Times New Roman;sans-serif" w:hAnsi="Times New Roman;sans-serif"/>
          <w:b/>
          <w:color w:val="000000"/>
          <w:sz w:val="20"/>
        </w:rPr>
      </w:pPr>
      <w:r>
        <w:rPr>
          <w:rFonts w:ascii="Times New Roman;sans-serif" w:hAnsi="Times New Roman;sans-serif"/>
          <w:b/>
          <w:color w:val="000000"/>
          <w:sz w:val="20"/>
        </w:rPr>
        <w:t>4.PROPERTY AND EQUIPMENT, NET</w:t>
      </w:r>
    </w:p>
    <w:p>
      <w:pPr>
        <w:pStyle w:val="TextBody"/>
        <w:spacing w:lineRule="auto" w:line="240" w:before="134" w:after="283"/>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p>
      <w:pPr>
        <w:pStyle w:val="TextBody"/>
        <w:spacing w:before="11" w:after="283"/>
        <w:rPr/>
      </w:pPr>
      <w:r>
        <w:rPr/>
      </w:r>
    </w:p>
    <w:tbl>
      <w:tblPr>
        <w:tblW w:w="7329" w:type="dxa"/>
        <w:jc w:val="left"/>
        <w:tblInd w:w="0" w:type="dxa"/>
        <w:tblCellMar>
          <w:top w:w="28" w:type="dxa"/>
          <w:left w:w="28" w:type="dxa"/>
          <w:bottom w:w="28" w:type="dxa"/>
          <w:right w:w="28" w:type="dxa"/>
        </w:tblCellMar>
      </w:tblPr>
      <w:tblGrid>
        <w:gridCol w:w="1572"/>
        <w:gridCol w:w="1378"/>
        <w:gridCol w:w="1385"/>
        <w:gridCol w:w="211"/>
        <w:gridCol w:w="991"/>
        <w:gridCol w:w="109"/>
        <w:gridCol w:w="109"/>
        <w:gridCol w:w="109"/>
        <w:gridCol w:w="109"/>
        <w:gridCol w:w="211"/>
        <w:gridCol w:w="991"/>
        <w:gridCol w:w="154"/>
      </w:tblGrid>
      <w:tr>
        <w:trPr/>
        <w:tc>
          <w:tcPr>
            <w:tcW w:w="1572"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35" w:type="dxa"/>
            <w:gridSpan w:val="3"/>
            <w:tcBorders/>
            <w:shd w:fill="CCED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 use software development costs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3,886,961 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1,068,175 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202"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168,827 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Total property and equipment</w:t>
            </w:r>
          </w:p>
        </w:tc>
        <w:tc>
          <w:tcPr>
            <w:tcW w:w="12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4,560,539</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1,068,175</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202"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(216,505)</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(59,929)</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4,344,034</w:t>
            </w: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1,008,246</w:t>
            </w:r>
            <w:r>
              <w:rPr>
                <w:color w:val="000000"/>
              </w:rPr>
              <w:t>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1"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were $156,576 and $59,929, respectively, for the years ended December 31, 2022 and 2021 and is included in Occupancy, depreciation and amortization on the Statements of Operations.</w:t>
      </w:r>
    </w:p>
    <w:p>
      <w:pPr>
        <w:pStyle w:val="TextBody"/>
        <w:spacing w:before="2"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5.INTANGIBLE ASSETS</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p>
      <w:pPr>
        <w:pStyle w:val="TextBody"/>
        <w:spacing w:before="0" w:after="30"/>
        <w:jc w:val="right"/>
        <w:rPr/>
      </w:pPr>
      <w:r>
        <w:rPr/>
      </w:r>
    </w:p>
    <w:tbl>
      <w:tblPr>
        <w:tblW w:w="6158" w:type="dxa"/>
        <w:jc w:val="left"/>
        <w:tblInd w:w="0" w:type="dxa"/>
        <w:tblCellMar>
          <w:top w:w="28" w:type="dxa"/>
          <w:left w:w="28" w:type="dxa"/>
          <w:bottom w:w="28" w:type="dxa"/>
          <w:right w:w="28" w:type="dxa"/>
        </w:tblCellMar>
      </w:tblPr>
      <w:tblGrid>
        <w:gridCol w:w="1162"/>
        <w:gridCol w:w="1022"/>
        <w:gridCol w:w="1025"/>
        <w:gridCol w:w="211"/>
        <w:gridCol w:w="841"/>
        <w:gridCol w:w="109"/>
        <w:gridCol w:w="109"/>
        <w:gridCol w:w="109"/>
        <w:gridCol w:w="109"/>
        <w:gridCol w:w="211"/>
        <w:gridCol w:w="1096"/>
        <w:gridCol w:w="154"/>
      </w:tblGrid>
      <w:tr>
        <w:trPr/>
        <w:tc>
          <w:tcPr>
            <w:tcW w:w="116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09"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with indefinite lives:</w:t>
            </w:r>
          </w:p>
        </w:tc>
        <w:tc>
          <w:tcPr>
            <w:tcW w:w="116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 digital assets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10,391,308 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305,762</w:t>
            </w:r>
            <w:r>
              <w:rPr>
                <w:color w:val="000000"/>
              </w:rPr>
              <w:t>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10,391,308</w:t>
            </w:r>
            <w:r>
              <w:rPr>
                <w:color w:val="000000"/>
              </w:rPr>
              <w:t>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 w:after="283"/>
        <w:rPr/>
      </w:pPr>
      <w:r>
        <w:rPr/>
      </w:r>
    </w:p>
    <w:p>
      <w:pPr>
        <w:pStyle w:val="TextBody"/>
        <w:spacing w:before="9" w:after="283"/>
        <w:rPr/>
      </w:pPr>
      <w:r>
        <w:rPr/>
      </w:r>
    </w:p>
    <w:p>
      <w:pPr>
        <w:pStyle w:val="TextBody"/>
        <w:spacing w:lineRule="auto" w:line="288" w:before="92"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gross impairment charges of $37,669,512 and $166,660,582 during the years ended December 31, 2022 and 2021 respectively, due to the observed market price of cryptocurrencies digital assets decreasing below the carrying value during the respective periods. Impairment expense is included in Cryptocurrencies costs in the Statements of Operations.</w:t>
      </w:r>
    </w:p>
    <w:p>
      <w:pPr>
        <w:pStyle w:val="TextBody"/>
        <w:spacing w:before="2"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6.FAIR VALUE MEASUREMENT OF ASSETS AND LIABILITIES</w:t>
      </w:r>
    </w:p>
    <w:p>
      <w:pPr>
        <w:pStyle w:val="TextBody"/>
        <w:spacing w:lineRule="auto" w:line="288" w:before="134" w:after="283"/>
        <w:jc w:val="both"/>
        <w:rPr/>
      </w:pPr>
      <w:r>
        <w:rPr>
          <w:rFonts w:ascii="Times New Roman;sans-serif" w:hAnsi="Times New Roman;sans-serif"/>
          <w:b w:val="false"/>
          <w:color w:val="000000"/>
          <w:sz w:val="20"/>
        </w:rPr>
        <w:t xml:space="preserve">FASB ASC 820,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establishes a framework for measuring fair value, and establishes a fair value hierarchy which prioritizes the inputs to valuation techniques. Fair value is the price that would be received to sell an asset or the price paid to transfer a liability in an orderly transaction between market participants at the measurement date. A fair value measurement assumes the transaction to sell the asset or transfer the liability occurs in the principal market for the asset or liability or, in the absence of a principal market, the most advantageous market. Valuation techniques that are consistent with the market, income, or cost approach, as specified by ASC 820 are used to measure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53110"/>
                <wp:effectExtent l="0" t="0" r="0" b="0"/>
                <wp:wrapNone/>
                <wp:docPr id="20" name="Frame18"/>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40"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prioritizes the inputs to valuation techniques used to measure fair value into three broad levels:</w:t>
      </w:r>
    </w:p>
    <w:p>
      <w:pPr>
        <w:pStyle w:val="TextBody"/>
        <w:spacing w:before="4" w:after="283"/>
        <w:rPr/>
      </w:pPr>
      <w:r>
        <w:rPr/>
      </w:r>
    </w:p>
    <w:p>
      <w:pPr>
        <w:pStyle w:val="TextBody"/>
        <w:spacing w:lineRule="auto" w:line="288" w:before="0" w:after="0"/>
        <w:ind w:left="0" w:right="0" w:hanging="960"/>
        <w:jc w:val="both"/>
        <w:rPr>
          <w:rFonts w:ascii="Times New Roman;sans-serif" w:hAnsi="Times New Roman;sans-serif"/>
          <w:b w:val="false"/>
          <w:color w:val="000000"/>
          <w:sz w:val="20"/>
        </w:rPr>
      </w:pPr>
      <w:r>
        <w:rPr>
          <w:rFonts w:ascii="Times New Roman;sans-serif" w:hAnsi="Times New Roman;sans-serif"/>
          <w:b w:val="false"/>
          <w:color w:val="000000"/>
          <w:sz w:val="20"/>
        </w:rPr>
        <w:t>Level 1 - Inputs are quoted prices in active markets for identical assets or liabilities that the Company has the ability to access at the measurement date. Valuation of these instruments does not require a high degree of judgment, as the valuations are based on quoted prices in active markets that are readily and regularly available.</w:t>
      </w:r>
    </w:p>
    <w:p>
      <w:pPr>
        <w:pStyle w:val="TextBody"/>
        <w:spacing w:lineRule="auto" w:line="288" w:before="123" w:after="283"/>
        <w:ind w:left="0" w:right="0" w:hanging="960"/>
        <w:jc w:val="both"/>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prices in active markets that are either directly or indirectly observable as of the measurement date, such as quoted prices for similar assets or liabilities, quoted prices in markets that are not active or other inputs that are observable or can be corroborated by observable market data for substantially the full terms of the assets or liabilities. These financial instruments are valued by quoted prices that are less frequently refreshed than those in active markets or by models that use various assumptions derived from or supported by data that is generally observable in the marketplace. Valuations in this category are inherently less reliable than those determined by quoted market prices due to the degree of subjectivity involved in determining appropriate methodologies and applicable underlying assumptions. Examples of observable inputs other than quoted prices for the asset or liability are interest rates and yield curves observable at commonly quoted intervals, volatilities, prepayment speeds, loss severities, credit risks, and default rates.</w:t>
      </w:r>
    </w:p>
    <w:p>
      <w:pPr>
        <w:pStyle w:val="TextBody"/>
        <w:spacing w:lineRule="auto" w:line="288" w:before="158" w:after="283"/>
        <w:ind w:left="0" w:right="0" w:hanging="960"/>
        <w:jc w:val="both"/>
        <w:rPr>
          <w:rFonts w:ascii="Times New Roman;sans-serif" w:hAnsi="Times New Roman;sans-serif"/>
          <w:b w:val="false"/>
          <w:color w:val="000000"/>
          <w:sz w:val="20"/>
        </w:rPr>
      </w:pPr>
      <w:r>
        <w:rPr>
          <w:rFonts w:ascii="Times New Roman;sans-serif" w:hAnsi="Times New Roman;sans-serif"/>
          <w:b w:val="false"/>
          <w:color w:val="000000"/>
          <w:sz w:val="20"/>
        </w:rPr>
        <w:t>Level 3 - Valuations based on inputs that are unobservable and not corroborated by market data. These financial instruments have significant inputs that cannot be validated by readily determinable data and generally involve considerable judgment by management.</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cases, the inputs used to measure fair value may fall into different levels of the fair value hierarchy. In such cases, a financial instrument’s level within the fair value hierarchy is based on the lowest level of input that is significant to the fair value measurement. The Company’s assessment of the significance of a particular input to the fair value measurements in its entirety requires judgment and considers factors specific to the financial instrument.</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market is active if there are sufficient transactions on an ongoing basis to provide current pricing information for the asset or liability, pricing information is released publicly, and price quotations do not vary substantially either over time or among market makers. Observable inputs reflect the assumptions market participants would use in pricing the asset or liability developed based on market data obtained from sources independent of the reporting entity.</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estimated fair value of derivative assets and liabilities financial instruments using available market information such as quoted market prices in active markets. These instruments are classified within Level 1 of the fair value hierarchy.</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assets and liabilities measured at fair value on a recurring basis based on the three-tier fair value hierarchy:</w:t>
      </w:r>
    </w:p>
    <w:p>
      <w:pPr>
        <w:pStyle w:val="TextBody"/>
        <w:spacing w:before="0" w:after="1"/>
        <w:rPr/>
      </w:pPr>
      <w:r>
        <w:rPr/>
      </w:r>
    </w:p>
    <w:tbl>
      <w:tblPr>
        <w:tblW w:w="9224" w:type="dxa"/>
        <w:jc w:val="left"/>
        <w:tblInd w:w="0" w:type="dxa"/>
        <w:tblCellMar>
          <w:top w:w="28" w:type="dxa"/>
          <w:left w:w="28" w:type="dxa"/>
          <w:bottom w:w="28" w:type="dxa"/>
          <w:right w:w="28" w:type="dxa"/>
        </w:tblCellMar>
      </w:tblPr>
      <w:tblGrid>
        <w:gridCol w:w="1198"/>
        <w:gridCol w:w="1056"/>
        <w:gridCol w:w="1060"/>
        <w:gridCol w:w="211"/>
        <w:gridCol w:w="826"/>
        <w:gridCol w:w="109"/>
        <w:gridCol w:w="109"/>
        <w:gridCol w:w="109"/>
        <w:gridCol w:w="109"/>
        <w:gridCol w:w="211"/>
        <w:gridCol w:w="1186"/>
        <w:gridCol w:w="109"/>
        <w:gridCol w:w="109"/>
        <w:gridCol w:w="109"/>
        <w:gridCol w:w="109"/>
        <w:gridCol w:w="211"/>
        <w:gridCol w:w="406"/>
        <w:gridCol w:w="109"/>
        <w:gridCol w:w="109"/>
        <w:gridCol w:w="109"/>
        <w:gridCol w:w="109"/>
        <w:gridCol w:w="211"/>
        <w:gridCol w:w="1186"/>
        <w:gridCol w:w="154"/>
      </w:tblGrid>
      <w:tr>
        <w:trPr/>
        <w:tc>
          <w:tcPr>
            <w:tcW w:w="1198"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14" w:type="dxa"/>
            <w:gridSpan w:val="3"/>
            <w:tcBorders/>
            <w:shd w:fill="CCEDFF" w:val="clear"/>
            <w:tcMar>
              <w:top w:w="0" w:type="dxa"/>
              <w:left w:w="0" w:type="dxa"/>
              <w:bottom w:w="0" w:type="dxa"/>
              <w:right w:w="0" w:type="dxa"/>
            </w:tcMar>
            <w:vAlign w:val="center"/>
          </w:tcPr>
          <w:p>
            <w:pPr>
              <w:pStyle w:val="TableContents"/>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114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211"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799,522 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799,522 </w:t>
            </w:r>
          </w:p>
        </w:tc>
        <w:tc>
          <w:tcPr>
            <w:tcW w:w="154"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 safeguarding asset</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w:t>
            </w:r>
          </w:p>
        </w:tc>
      </w:tr>
      <w:tr>
        <w:trPr/>
        <w:tc>
          <w:tcPr>
            <w:tcW w:w="3314" w:type="dxa"/>
            <w:gridSpan w:val="3"/>
            <w:tcBorders/>
            <w:shd w:fill="CCEDFF" w:val="clear"/>
            <w:tcMar>
              <w:top w:w="0" w:type="dxa"/>
              <w:left w:w="0" w:type="dxa"/>
              <w:bottom w:w="0" w:type="dxa"/>
              <w:right w:w="0" w:type="dxa"/>
            </w:tcMar>
            <w:vAlign w:val="center"/>
          </w:tcPr>
          <w:p>
            <w:pPr>
              <w:pStyle w:val="TableContents"/>
              <w:spacing w:lineRule="auto" w:line="244" w:before="0" w:after="0"/>
              <w:jc w:val="left"/>
              <w:rPr>
                <w:rFonts w:ascii="Times New Roman;sans-serif" w:hAnsi="Times New Roman;sans-serif"/>
                <w:b/>
                <w:color w:val="000000"/>
                <w:sz w:val="20"/>
              </w:rPr>
            </w:pPr>
            <w:r>
              <w:rPr>
                <w:rFonts w:ascii="Times New Roman;sans-serif" w:hAnsi="Times New Roman;sans-serif"/>
                <w:b/>
                <w:color w:val="000000"/>
                <w:sz w:val="20"/>
              </w:rPr>
              <w:t>Total financial assets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799,522 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color w:val="000000"/>
              </w:rPr>
            </w:pPr>
            <w:r>
              <w:rPr>
                <w:color w:val="000000"/>
              </w:rPr>
              <w:t>—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481,417,547 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DFF"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11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61,610</w:t>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Cryptocurrencies safeguarding liability</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w:t>
            </w:r>
          </w:p>
        </w:tc>
      </w:tr>
      <w:tr>
        <w:trPr/>
        <w:tc>
          <w:tcPr>
            <w:tcW w:w="3314" w:type="dxa"/>
            <w:gridSpan w:val="3"/>
            <w:tcBorders/>
            <w:shd w:fill="CCEDFF" w:val="clear"/>
            <w:tcMar>
              <w:top w:w="0" w:type="dxa"/>
              <w:left w:w="0" w:type="dxa"/>
              <w:bottom w:w="0" w:type="dxa"/>
              <w:right w:w="0" w:type="dxa"/>
            </w:tcMar>
            <w:vAlign w:val="center"/>
          </w:tcPr>
          <w:p>
            <w:pPr>
              <w:pStyle w:val="TableContents"/>
              <w:spacing w:lineRule="auto" w:line="244" w:before="0" w:after="0"/>
              <w:jc w:val="left"/>
              <w:rPr>
                <w:rFonts w:ascii="Times New Roman;sans-serif" w:hAnsi="Times New Roman;sans-serif"/>
                <w:b/>
                <w:color w:val="000000"/>
                <w:sz w:val="20"/>
              </w:rPr>
            </w:pPr>
            <w:r>
              <w:rPr>
                <w:rFonts w:ascii="Times New Roman;sans-serif" w:hAnsi="Times New Roman;sans-serif"/>
                <w:b/>
                <w:color w:val="000000"/>
                <w:sz w:val="20"/>
              </w:rPr>
              <w:t>Total financial liabilities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61,610 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480,618,025 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color w:val="000000"/>
              </w:rPr>
            </w:pPr>
            <w:r>
              <w:rPr>
                <w:color w:val="000000"/>
              </w:rPr>
              <w:t>—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480,679,635 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2021</w:t>
            </w:r>
          </w:p>
        </w:tc>
        <w:tc>
          <w:tcPr>
            <w:tcW w:w="114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152,469</w:t>
            </w:r>
          </w:p>
        </w:tc>
      </w:tr>
      <w:tr>
        <w:trPr/>
        <w:tc>
          <w:tcPr>
            <w:tcW w:w="331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c>
          <w:tcPr>
            <w:tcW w:w="114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1,934,188</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1,934,188</w:t>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53110"/>
                <wp:effectExtent l="0" t="0" r="0" b="0"/>
                <wp:wrapNone/>
                <wp:docPr id="21" name="Frame19"/>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levels during the periods presented. Derivatives assets and liabilities are included in Other assets and Accrued expenses and other liabilities in the Statements of Financial Condition, respectively.</w:t>
      </w:r>
    </w:p>
    <w:p>
      <w:pPr>
        <w:pStyle w:val="TextBody"/>
        <w:spacing w:before="0" w:after="0"/>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Cryptocurrencies safeguarding asset and liability represent the Company’s obligation to safeguard customers’ crypto assets. Accordingly, the Company has valued the assets and liabilities using quoted market prices for the underlying crypto assets which is based on Level 2 inputs.</w:t>
      </w:r>
    </w:p>
    <w:p>
      <w:pPr>
        <w:pStyle w:val="TextBody"/>
        <w:spacing w:before="2" w:after="283"/>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7.DERIVATIVE INSTRUMENTS</w:t>
      </w:r>
    </w:p>
    <w:p>
      <w:pPr>
        <w:pStyle w:val="TextBody"/>
        <w:spacing w:lineRule="auto" w:line="288" w:before="1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may give rise to counterparty credit risk and/or market risk if the liquidity providers fail to settle these contracts. All liquidity providers must be pre-approved prior to engaging in any transaction with the Company. They are also monitored on a regular basis by the Company to ensure compliance with the Company’s risk policies and agreed upon limits. Additionally, the overall amount of derivatives are not significant to the financial statements as a whole. Therefore, the Company has assessed the likelihood of a material credit risk event to be remote.</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derivatives are reported in Other income in the Statements of Operations. However, as these contracts are typically settled within 24 hours with the counterparties at contract value the next day; the contract value approximates the fair value.</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Derivative assets and derivative liabilities are recorded at their net fair values in Other assets and Accrued expenses and other liabilities in the Statements of Financial Condition, respectively. The following table presents the total notional or contractual amounts and fair values for these derivatives. The notional, or contractual amount represents the total number of coins for each period presented.</w:t>
      </w:r>
    </w:p>
    <w:p>
      <w:pPr>
        <w:pStyle w:val="TextBody"/>
        <w:spacing w:before="0" w:after="0"/>
        <w:rPr/>
      </w:pPr>
      <w:r>
        <w:rPr/>
      </w:r>
    </w:p>
    <w:p>
      <w:pPr>
        <w:pStyle w:val="TextBody"/>
        <w:spacing w:before="10" w:after="283"/>
        <w:rPr/>
      </w:pPr>
      <w:r>
        <w:rPr/>
      </w:r>
    </w:p>
    <w:tbl>
      <w:tblPr>
        <w:tblW w:w="10003" w:type="dxa"/>
        <w:jc w:val="left"/>
        <w:tblInd w:w="0" w:type="dxa"/>
        <w:tblCellMar>
          <w:top w:w="28" w:type="dxa"/>
          <w:left w:w="28" w:type="dxa"/>
          <w:bottom w:w="28" w:type="dxa"/>
          <w:right w:w="28" w:type="dxa"/>
        </w:tblCellMar>
      </w:tblPr>
      <w:tblGrid>
        <w:gridCol w:w="1579"/>
        <w:gridCol w:w="1391"/>
        <w:gridCol w:w="1395"/>
        <w:gridCol w:w="655"/>
        <w:gridCol w:w="655"/>
        <w:gridCol w:w="481"/>
        <w:gridCol w:w="109"/>
        <w:gridCol w:w="109"/>
        <w:gridCol w:w="109"/>
        <w:gridCol w:w="334"/>
        <w:gridCol w:w="1308"/>
        <w:gridCol w:w="172"/>
        <w:gridCol w:w="109"/>
        <w:gridCol w:w="109"/>
        <w:gridCol w:w="109"/>
        <w:gridCol w:w="244"/>
        <w:gridCol w:w="957"/>
        <w:gridCol w:w="178"/>
      </w:tblGrid>
      <w:tr>
        <w:trPr/>
        <w:tc>
          <w:tcPr>
            <w:tcW w:w="1579"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Contract/Notional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76" w:before="153" w:after="283"/>
              <w:jc w:val="center"/>
              <w:rPr>
                <w:rFonts w:ascii="Times New Roman;sans-serif" w:hAnsi="Times New Roman;sans-serif"/>
                <w:b/>
                <w:color w:val="000000"/>
                <w:sz w:val="16"/>
              </w:rPr>
            </w:pPr>
            <w:r>
              <w:rPr>
                <w:rFonts w:ascii="Times New Roman;sans-serif" w:hAnsi="Times New Roman;sans-serif"/>
                <w:b/>
                <w:color w:val="000000"/>
                <w:sz w:val="16"/>
              </w:rPr>
              <w:t>Gross Derivative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Derivative</w:t>
              <w:br/>
              <w:t>Liabilities</w:t>
            </w:r>
          </w:p>
        </w:tc>
      </w:tr>
      <w:tr>
        <w:trPr/>
        <w:tc>
          <w:tcPr>
            <w:tcW w:w="4365"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791"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(12.52969919)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513,660 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306,689 </w:t>
            </w:r>
          </w:p>
        </w:tc>
        <w:tc>
          <w:tcPr>
            <w:tcW w:w="1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1791"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(258.2660)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491,532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182,935</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(20,950,960,382)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166,959</w:t>
            </w:r>
          </w:p>
        </w:tc>
      </w:tr>
      <w:tr>
        <w:trPr/>
        <w:tc>
          <w:tcPr>
            <w:tcW w:w="436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Fantom</w:t>
            </w:r>
          </w:p>
        </w:tc>
        <w:tc>
          <w:tcPr>
            <w:tcW w:w="1791"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(1,059.480102)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205,895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206,060</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407,747.2084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194,899</w:t>
            </w:r>
          </w:p>
        </w:tc>
      </w:tr>
      <w:tr>
        <w:trPr/>
        <w:tc>
          <w:tcPr>
            <w:tcW w:w="436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1791"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(79,995.10818)</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120,464</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101,065</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(3,037.778864)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80,675</w:t>
            </w:r>
          </w:p>
        </w:tc>
      </w:tr>
      <w:tr>
        <w:trPr/>
        <w:tc>
          <w:tcPr>
            <w:tcW w:w="4365"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1791"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(521.423247)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31,067</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coins</w:t>
            </w:r>
          </w:p>
        </w:tc>
        <w:tc>
          <w:tcPr>
            <w:tcW w:w="179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(562,389.34569597)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216,951</w:t>
            </w:r>
          </w:p>
        </w:tc>
      </w:tr>
      <w:tr>
        <w:trPr/>
        <w:tc>
          <w:tcPr>
            <w:tcW w:w="4365"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color w:val="000000"/>
                <w:sz w:val="20"/>
              </w:rPr>
            </w:pPr>
            <w:r>
              <w:rPr>
                <w:rFonts w:ascii="Times New Roman;sans-serif" w:hAnsi="Times New Roman;sans-serif"/>
                <w:b/>
                <w:color w:val="000000"/>
                <w:sz w:val="20"/>
              </w:rPr>
              <w:t>Gross Derivative Assets/Liabilities</w:t>
            </w:r>
          </w:p>
        </w:tc>
        <w:tc>
          <w:tcPr>
            <w:tcW w:w="1791"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2,225,212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1,487,300</w:t>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Legally enforceable master netting agreements</w:t>
            </w:r>
          </w:p>
        </w:tc>
        <w:tc>
          <w:tcPr>
            <w:tcW w:w="1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1,425,690</w:t>
            </w:r>
          </w:p>
        </w:tc>
      </w:tr>
      <w:tr>
        <w:trPr/>
        <w:tc>
          <w:tcPr>
            <w:tcW w:w="4365" w:type="dxa"/>
            <w:gridSpan w:val="3"/>
            <w:tcBorders/>
            <w:shd w:fill="CCEDFF" w:val="clear"/>
            <w:tcMar>
              <w:top w:w="0" w:type="dxa"/>
              <w:left w:w="0" w:type="dxa"/>
              <w:bottom w:w="0" w:type="dxa"/>
              <w:right w:w="0" w:type="dxa"/>
            </w:tcMar>
            <w:vAlign w:val="center"/>
          </w:tcPr>
          <w:p>
            <w:pPr>
              <w:pStyle w:val="TableContents"/>
              <w:spacing w:lineRule="auto" w:line="228" w:before="15" w:after="283"/>
              <w:jc w:val="left"/>
              <w:rPr>
                <w:rFonts w:ascii="Times New Roman;sans-serif" w:hAnsi="Times New Roman;sans-serif"/>
                <w:b/>
                <w:color w:val="000000"/>
                <w:sz w:val="20"/>
              </w:rPr>
            </w:pPr>
            <w:r>
              <w:rPr>
                <w:rFonts w:ascii="Times New Roman;sans-serif" w:hAnsi="Times New Roman;sans-serif"/>
                <w:b/>
                <w:color w:val="000000"/>
                <w:sz w:val="20"/>
              </w:rPr>
              <w:t>Total derivative assets/liabilities</w:t>
            </w:r>
          </w:p>
        </w:tc>
        <w:tc>
          <w:tcPr>
            <w:tcW w:w="1791"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799,522 </w:t>
            </w:r>
          </w:p>
        </w:tc>
        <w:tc>
          <w:tcPr>
            <w:tcW w:w="17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61,610 </w:t>
            </w:r>
          </w:p>
        </w:tc>
        <w:tc>
          <w:tcPr>
            <w:tcW w:w="17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53110"/>
                <wp:effectExtent l="0" t="0" r="0" b="0"/>
                <wp:wrapNone/>
                <wp:docPr id="22" name="Frame20"/>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0" w:after="0"/>
        <w:rPr/>
      </w:pPr>
      <w:r>
        <w:rPr/>
      </w:r>
    </w:p>
    <w:p>
      <w:pPr>
        <w:pStyle w:val="TextBody"/>
        <w:spacing w:before="1" w:after="283"/>
        <w:rPr/>
      </w:pPr>
      <w:r>
        <w:rPr/>
      </w:r>
    </w:p>
    <w:tbl>
      <w:tblPr>
        <w:tblW w:w="10205" w:type="dxa"/>
        <w:jc w:val="left"/>
        <w:tblInd w:w="0" w:type="dxa"/>
        <w:tblCellMar>
          <w:top w:w="28" w:type="dxa"/>
          <w:left w:w="28" w:type="dxa"/>
          <w:bottom w:w="28" w:type="dxa"/>
          <w:right w:w="28" w:type="dxa"/>
        </w:tblCellMar>
      </w:tblPr>
      <w:tblGrid>
        <w:gridCol w:w="1496"/>
        <w:gridCol w:w="1302"/>
        <w:gridCol w:w="1305"/>
        <w:gridCol w:w="900"/>
        <w:gridCol w:w="901"/>
        <w:gridCol w:w="463"/>
        <w:gridCol w:w="288"/>
        <w:gridCol w:w="1334"/>
        <w:gridCol w:w="148"/>
        <w:gridCol w:w="324"/>
        <w:gridCol w:w="1502"/>
        <w:gridCol w:w="242"/>
      </w:tblGrid>
      <w:tr>
        <w:trPr/>
        <w:tc>
          <w:tcPr>
            <w:tcW w:w="1496"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Contract/Notional</w:t>
            </w:r>
          </w:p>
        </w:tc>
        <w:tc>
          <w:tcPr>
            <w:tcW w:w="1770" w:type="dxa"/>
            <w:gridSpan w:val="3"/>
            <w:tcBorders/>
            <w:shd w:fill="auto" w:val="clear"/>
            <w:tcMar>
              <w:top w:w="0" w:type="dxa"/>
              <w:left w:w="0" w:type="dxa"/>
              <w:bottom w:w="0" w:type="dxa"/>
              <w:right w:w="0" w:type="dxa"/>
            </w:tcMar>
            <w:vAlign w:val="center"/>
          </w:tcPr>
          <w:p>
            <w:pPr>
              <w:pStyle w:val="TableContents"/>
              <w:spacing w:lineRule="auto" w:line="276" w:before="153" w:after="283"/>
              <w:jc w:val="center"/>
              <w:rPr>
                <w:rFonts w:ascii="Times New Roman;sans-serif" w:hAnsi="Times New Roman;sans-serif"/>
                <w:b/>
                <w:color w:val="000000"/>
                <w:sz w:val="16"/>
              </w:rPr>
            </w:pPr>
            <w:r>
              <w:rPr>
                <w:rFonts w:ascii="Times New Roman;sans-serif" w:hAnsi="Times New Roman;sans-serif"/>
                <w:b/>
                <w:color w:val="000000"/>
                <w:sz w:val="16"/>
              </w:rPr>
              <w:t>Gross Derivative Assets</w:t>
            </w:r>
          </w:p>
        </w:tc>
        <w:tc>
          <w:tcPr>
            <w:tcW w:w="2068" w:type="dxa"/>
            <w:gridSpan w:val="3"/>
            <w:tcBorders/>
            <w:shd w:fill="auto" w:val="clear"/>
            <w:tcMar>
              <w:top w:w="0" w:type="dxa"/>
              <w:left w:w="0" w:type="dxa"/>
              <w:bottom w:w="0" w:type="dxa"/>
              <w:right w:w="0" w:type="dxa"/>
            </w:tcMar>
            <w:vAlign w:val="center"/>
          </w:tcPr>
          <w:p>
            <w:pPr>
              <w:pStyle w:val="TableContents"/>
              <w:spacing w:lineRule="auto" w:line="242" w:before="12" w:after="283"/>
              <w:ind w:left="0" w:right="0" w:hanging="234"/>
              <w:jc w:val="center"/>
              <w:rPr>
                <w:rFonts w:ascii="Times New Roman;sans-serif" w:hAnsi="Times New Roman;sans-serif"/>
                <w:b/>
                <w:color w:val="000000"/>
                <w:sz w:val="16"/>
              </w:rPr>
            </w:pPr>
            <w:r>
              <w:rPr>
                <w:rFonts w:ascii="Times New Roman;sans-serif" w:hAnsi="Times New Roman;sans-serif"/>
                <w:b/>
                <w:color w:val="000000"/>
                <w:sz w:val="16"/>
              </w:rPr>
              <w:t>Gross Derivative Liabilities</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2264"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2068"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6,097,246,902.8206 </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1,723,008 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1,934,933 </w:t>
            </w:r>
          </w:p>
        </w:tc>
        <w:tc>
          <w:tcPr>
            <w:tcW w:w="2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180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9.6502 </w:t>
            </w:r>
          </w:p>
        </w:tc>
        <w:tc>
          <w:tcPr>
            <w:tcW w:w="463"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1,434,359</w:t>
            </w:r>
          </w:p>
        </w:tc>
        <w:tc>
          <w:tcPr>
            <w:tcW w:w="2068"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1,880,028</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196.0329 </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1,394,809</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2,112,844</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180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(227,269.2356)</w:t>
            </w:r>
          </w:p>
        </w:tc>
        <w:tc>
          <w:tcPr>
            <w:tcW w:w="463"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966,908</w:t>
            </w:r>
          </w:p>
        </w:tc>
        <w:tc>
          <w:tcPr>
            <w:tcW w:w="2068"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662,496</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(215,502.6802)</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753,369</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715,031</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180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(350.7514)</w:t>
            </w:r>
          </w:p>
        </w:tc>
        <w:tc>
          <w:tcPr>
            <w:tcW w:w="463"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185,858</w:t>
            </w:r>
          </w:p>
        </w:tc>
        <w:tc>
          <w:tcPr>
            <w:tcW w:w="2068"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133,178</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Avalanche</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(140.1790)</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178,617</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162,066</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180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1,128.5521 </w:t>
            </w:r>
          </w:p>
        </w:tc>
        <w:tc>
          <w:tcPr>
            <w:tcW w:w="463"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171,935</w:t>
            </w:r>
          </w:p>
        </w:tc>
        <w:tc>
          <w:tcPr>
            <w:tcW w:w="2068"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365,918</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Fantom</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283.6922 </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156,804</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155,232</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Polygon</w:t>
            </w:r>
          </w:p>
        </w:tc>
        <w:tc>
          <w:tcPr>
            <w:tcW w:w="180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46,433.4910 </w:t>
            </w:r>
          </w:p>
        </w:tc>
        <w:tc>
          <w:tcPr>
            <w:tcW w:w="463"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127,382</w:t>
            </w:r>
          </w:p>
        </w:tc>
        <w:tc>
          <w:tcPr>
            <w:tcW w:w="2068"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243,422</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Stellar</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91,446.7419 </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101,257</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125,185</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Terra</w:t>
            </w:r>
          </w:p>
        </w:tc>
        <w:tc>
          <w:tcPr>
            <w:tcW w:w="180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1,111.9845 </w:t>
            </w:r>
          </w:p>
        </w:tc>
        <w:tc>
          <w:tcPr>
            <w:tcW w:w="463"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75,148</w:t>
            </w:r>
          </w:p>
        </w:tc>
        <w:tc>
          <w:tcPr>
            <w:tcW w:w="2068"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171,932</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Decentraland</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51,393.9867 </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239,758</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SushiSwap</w:t>
            </w:r>
          </w:p>
        </w:tc>
        <w:tc>
          <w:tcPr>
            <w:tcW w:w="180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12,224.9181 </w:t>
            </w:r>
          </w:p>
        </w:tc>
        <w:tc>
          <w:tcPr>
            <w:tcW w:w="463" w:type="dxa"/>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66,347</w:t>
            </w:r>
          </w:p>
        </w:tc>
        <w:tc>
          <w:tcPr>
            <w:tcW w:w="2068"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183,698</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coins</w:t>
            </w:r>
          </w:p>
        </w:tc>
        <w:tc>
          <w:tcPr>
            <w:tcW w:w="180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96,332.7592 </w:t>
            </w:r>
          </w:p>
        </w:tc>
        <w:tc>
          <w:tcPr>
            <w:tcW w:w="4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555,162</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658,506</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color w:val="000000"/>
                <w:sz w:val="20"/>
              </w:rPr>
            </w:pPr>
            <w:r>
              <w:rPr>
                <w:rFonts w:ascii="Times New Roman;sans-serif" w:hAnsi="Times New Roman;sans-serif"/>
                <w:b/>
                <w:color w:val="000000"/>
                <w:sz w:val="20"/>
              </w:rPr>
              <w:t>Gross Derivative Assets/Liabilities</w:t>
            </w:r>
          </w:p>
        </w:tc>
        <w:tc>
          <w:tcPr>
            <w:tcW w:w="2264"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7,962,508</w:t>
            </w:r>
          </w:p>
        </w:tc>
        <w:tc>
          <w:tcPr>
            <w:tcW w:w="2068"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9,744,227</w:t>
            </w:r>
          </w:p>
        </w:tc>
      </w:tr>
      <w:tr>
        <w:trPr/>
        <w:tc>
          <w:tcPr>
            <w:tcW w:w="4103" w:type="dxa"/>
            <w:gridSpan w:val="3"/>
            <w:tcBorders/>
            <w:shd w:fill="auto"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Legally enforceable master netting agreements</w:t>
            </w:r>
          </w:p>
        </w:tc>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7,810,039</w:t>
            </w:r>
          </w:p>
        </w:tc>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7,810,039</w:t>
            </w:r>
          </w:p>
        </w:tc>
      </w:tr>
      <w:tr>
        <w:trPr/>
        <w:tc>
          <w:tcPr>
            <w:tcW w:w="4103" w:type="dxa"/>
            <w:gridSpan w:val="3"/>
            <w:tcBorders/>
            <w:shd w:fill="CCEDFF" w:val="clear"/>
            <w:tcMar>
              <w:top w:w="0" w:type="dxa"/>
              <w:left w:w="0" w:type="dxa"/>
              <w:bottom w:w="0" w:type="dxa"/>
              <w:right w:w="0" w:type="dxa"/>
            </w:tcMar>
            <w:vAlign w:val="center"/>
          </w:tcPr>
          <w:p>
            <w:pPr>
              <w:pStyle w:val="TableContents"/>
              <w:spacing w:lineRule="auto" w:line="228" w:before="45" w:after="283"/>
              <w:jc w:val="left"/>
              <w:rPr>
                <w:rFonts w:ascii="Times New Roman;sans-serif" w:hAnsi="Times New Roman;sans-serif"/>
                <w:b/>
                <w:color w:val="000000"/>
                <w:sz w:val="20"/>
              </w:rPr>
            </w:pPr>
            <w:r>
              <w:rPr>
                <w:rFonts w:ascii="Times New Roman;sans-serif" w:hAnsi="Times New Roman;sans-serif"/>
                <w:b/>
                <w:color w:val="000000"/>
                <w:sz w:val="20"/>
              </w:rPr>
              <w:t>Total derivative assets/liabilities</w:t>
            </w:r>
          </w:p>
        </w:tc>
        <w:tc>
          <w:tcPr>
            <w:tcW w:w="2264"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152,469 </w:t>
            </w:r>
          </w:p>
        </w:tc>
        <w:tc>
          <w:tcPr>
            <w:tcW w:w="14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0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1,934,188 </w:t>
            </w:r>
          </w:p>
        </w:tc>
        <w:tc>
          <w:tcPr>
            <w:tcW w:w="24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7" w:after="283"/>
        <w:rPr/>
      </w:pPr>
      <w:r>
        <w:rPr/>
      </w:r>
    </w:p>
    <w:p>
      <w:pPr>
        <w:pStyle w:val="TextBody"/>
        <w:spacing w:lineRule="auto" w:line="288" w:before="92"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on the gross fair values of derivative assets and liabilities, the balance sheet netting adjustments and the resulting net fair value amount recorded on the Company’s Statements of Financial Condition. The Company executes all of its derivative transactions under master netting arrangements and reflects all derivative balances and related cash collateral subject to enforceable master netting arrangements on a net basis within the Statements of Financial Condition.</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balance sheet netting adjustments based on the terms specified within each master netting arrangement. The Company discloses the balance sheet netting amounts within the column titled “Gross amounts offset in Statements of Financial Condition.” Balance sheet netting adjustments are determined at the counterparty level for which there may be multiple coin types. As a result, the net amounts disclosed by contract type may not represent the actual exposure upon settlement of the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53110"/>
                <wp:effectExtent l="0" t="0" r="0" b="0"/>
                <wp:wrapNone/>
                <wp:docPr id="23" name="Frame21"/>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rPr>
          <w:rFonts w:ascii="Times New Roman;sans-serif" w:hAnsi="Times New Roman;sans-serif"/>
          <w:b w:val="false"/>
          <w:color w:val="000000"/>
          <w:sz w:val="20"/>
        </w:rPr>
      </w:pPr>
      <w:r>
        <w:rPr>
          <w:rFonts w:ascii="Times New Roman;sans-serif" w:hAnsi="Times New Roman;sans-serif"/>
          <w:b w:val="false"/>
          <w:color w:val="000000"/>
          <w:sz w:val="20"/>
        </w:rPr>
        <w:t>The “Net amounts in Statements of Financial Condition” column within the table below represents the aggregate of the Company’s net exposure to each counterparty after considering the adjustments on the Statements of Financial Condition.</w:t>
      </w:r>
    </w:p>
    <w:p>
      <w:pPr>
        <w:pStyle w:val="TextBody"/>
        <w:spacing w:before="8" w:after="283"/>
        <w:rPr/>
      </w:pPr>
      <w:r>
        <w:rPr/>
      </w:r>
    </w:p>
    <w:tbl>
      <w:tblPr>
        <w:tblW w:w="10205" w:type="dxa"/>
        <w:jc w:val="left"/>
        <w:tblInd w:w="0" w:type="dxa"/>
        <w:tblCellMar>
          <w:top w:w="28" w:type="dxa"/>
          <w:left w:w="28" w:type="dxa"/>
          <w:bottom w:w="28" w:type="dxa"/>
          <w:right w:w="28" w:type="dxa"/>
        </w:tblCellMar>
      </w:tblPr>
      <w:tblGrid>
        <w:gridCol w:w="706"/>
        <w:gridCol w:w="591"/>
        <w:gridCol w:w="593"/>
        <w:gridCol w:w="279"/>
        <w:gridCol w:w="1314"/>
        <w:gridCol w:w="144"/>
        <w:gridCol w:w="109"/>
        <w:gridCol w:w="109"/>
        <w:gridCol w:w="109"/>
        <w:gridCol w:w="508"/>
        <w:gridCol w:w="2389"/>
        <w:gridCol w:w="262"/>
        <w:gridCol w:w="109"/>
        <w:gridCol w:w="109"/>
        <w:gridCol w:w="109"/>
        <w:gridCol w:w="1160"/>
        <w:gridCol w:w="748"/>
        <w:gridCol w:w="857"/>
      </w:tblGrid>
      <w:tr>
        <w:trPr/>
        <w:tc>
          <w:tcPr>
            <w:tcW w:w="70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76" w:before="106" w:after="283"/>
              <w:jc w:val="center"/>
              <w:rPr>
                <w:rFonts w:ascii="Times New Roman;sans-serif" w:hAnsi="Times New Roman;sans-serif"/>
                <w:b/>
                <w:color w:val="000000"/>
                <w:sz w:val="16"/>
              </w:rPr>
            </w:pPr>
            <w:r>
              <w:rPr>
                <w:rFonts w:ascii="Times New Roman;sans-serif" w:hAnsi="Times New Roman;sans-serif"/>
                <w:b/>
                <w:color w:val="000000"/>
                <w:sz w:val="16"/>
              </w:rPr>
              <w:t>Gross amounts 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2" w:before="12"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Statements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2" w:before="0" w:after="0"/>
              <w:ind w:left="0" w:right="0" w:hanging="149"/>
              <w:jc w:val="center"/>
              <w:rPr>
                <w:rFonts w:ascii="Times New Roman;sans-serif" w:hAnsi="Times New Roman;sans-serif"/>
                <w:b/>
                <w:color w:val="000000"/>
                <w:sz w:val="16"/>
              </w:rPr>
            </w:pPr>
            <w:r>
              <w:rPr>
                <w:rFonts w:ascii="Times New Roman;sans-serif" w:hAnsi="Times New Roman;sans-serif"/>
                <w:b/>
                <w:color w:val="000000"/>
                <w:sz w:val="16"/>
              </w:rPr>
              <w:t>Net amounts in Statements of Financial Condition</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737"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27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513,660 </w:t>
            </w:r>
          </w:p>
        </w:tc>
        <w:tc>
          <w:tcPr>
            <w:tcW w:w="1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8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306,689 </w:t>
            </w:r>
          </w:p>
        </w:tc>
        <w:tc>
          <w:tcPr>
            <w:tcW w:w="2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206,971</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491,532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180,018</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311,514</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142,256</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Fantom</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205,895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205,541</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120,464</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19,574</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52,071</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44,343</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76"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coins</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30,673</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28" w:before="45" w:after="283"/>
              <w:jc w:val="left"/>
              <w:rPr>
                <w:rFonts w:ascii="Times New Roman;sans-serif" w:hAnsi="Times New Roman;sans-serif"/>
                <w:b/>
                <w:color w:val="000000"/>
                <w:sz w:val="20"/>
              </w:rPr>
            </w:pPr>
            <w:r>
              <w:rPr>
                <w:rFonts w:ascii="Times New Roman;sans-serif" w:hAnsi="Times New Roman;sans-serif"/>
                <w:b/>
                <w:color w:val="000000"/>
                <w:sz w:val="20"/>
              </w:rPr>
              <w:t>Total derivatives assets</w:t>
            </w:r>
          </w:p>
        </w:tc>
        <w:tc>
          <w:tcPr>
            <w:tcW w:w="279"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1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76" w:before="0" w:after="283"/>
              <w:jc w:val="right"/>
              <w:rPr/>
            </w:pPr>
            <w:r>
              <w:rPr>
                <w:rFonts w:ascii="Times New Roman;sans-serif" w:hAnsi="Times New Roman;sans-serif"/>
                <w:b/>
                <w:color w:val="000000"/>
                <w:sz w:val="20"/>
              </w:rPr>
              <w:t>2,225,212</w:t>
            </w:r>
            <w:r>
              <w:rPr>
                <w:color w:val="000000"/>
              </w:rPr>
              <w:t> </w:t>
            </w:r>
          </w:p>
        </w:tc>
        <w:tc>
          <w:tcPr>
            <w:tcW w:w="14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89"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1,425,690</w:t>
            </w:r>
            <w:r>
              <w:rPr>
                <w:color w:val="000000"/>
              </w:rPr>
              <w:t> </w:t>
            </w:r>
          </w:p>
        </w:tc>
        <w:tc>
          <w:tcPr>
            <w:tcW w:w="262"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5"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28" w:before="0" w:after="283"/>
              <w:jc w:val="right"/>
              <w:rPr>
                <w:rFonts w:ascii="Times New Roman;sans-serif" w:hAnsi="Times New Roman;sans-serif"/>
                <w:b/>
                <w:color w:val="000000"/>
                <w:sz w:val="20"/>
              </w:rPr>
            </w:pPr>
            <w:r>
              <w:rPr>
                <w:rFonts w:ascii="Times New Roman;sans-serif" w:hAnsi="Times New Roman;sans-serif"/>
                <w:b/>
                <w:color w:val="000000"/>
                <w:sz w:val="20"/>
              </w:rPr>
              <w:t>799,522</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279"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4"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306,689 </w:t>
            </w:r>
          </w:p>
        </w:tc>
        <w:tc>
          <w:tcPr>
            <w:tcW w:w="144"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89"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306,689 </w:t>
            </w:r>
          </w:p>
        </w:tc>
        <w:tc>
          <w:tcPr>
            <w:tcW w:w="262" w:type="dxa"/>
            <w:tcBorders>
              <w:top w:val="doub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5"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182,935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180,018</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166,959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(25,934)</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Fantom</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206,060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205,541</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194,899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20,270</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101,065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100,890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22,953</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173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23,209</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w:t>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76"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coins</w:t>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184,099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32,852</w:t>
            </w:r>
          </w:p>
        </w:tc>
      </w:tr>
      <w:tr>
        <w:trPr/>
        <w:tc>
          <w:tcPr>
            <w:tcW w:w="1890" w:type="dxa"/>
            <w:gridSpan w:val="3"/>
            <w:tcBorders/>
            <w:shd w:fill="CCEDFF" w:val="clear"/>
            <w:tcMar>
              <w:top w:w="0" w:type="dxa"/>
              <w:left w:w="0" w:type="dxa"/>
              <w:bottom w:w="0" w:type="dxa"/>
              <w:right w:w="0" w:type="dxa"/>
            </w:tcMar>
            <w:vAlign w:val="center"/>
          </w:tcPr>
          <w:p>
            <w:pPr>
              <w:pStyle w:val="TableContents"/>
              <w:spacing w:lineRule="auto" w:line="228" w:before="45" w:after="283"/>
              <w:jc w:val="left"/>
              <w:rPr>
                <w:rFonts w:ascii="Times New Roman;sans-serif" w:hAnsi="Times New Roman;sans-serif"/>
                <w:b/>
                <w:color w:val="000000"/>
                <w:sz w:val="20"/>
              </w:rPr>
            </w:pPr>
            <w:r>
              <w:rPr>
                <w:rFonts w:ascii="Times New Roman;sans-serif" w:hAnsi="Times New Roman;sans-serif"/>
                <w:b/>
                <w:color w:val="000000"/>
                <w:sz w:val="20"/>
              </w:rPr>
              <w:t>Total derivatives liabilities</w:t>
            </w:r>
          </w:p>
        </w:tc>
        <w:tc>
          <w:tcPr>
            <w:tcW w:w="27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1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76" w:before="0" w:after="283"/>
              <w:jc w:val="right"/>
              <w:rPr/>
            </w:pPr>
            <w:r>
              <w:rPr>
                <w:rFonts w:ascii="Times New Roman;sans-serif" w:hAnsi="Times New Roman;sans-serif"/>
                <w:b/>
                <w:color w:val="000000"/>
                <w:sz w:val="20"/>
              </w:rPr>
              <w:t>1,487,300</w:t>
            </w:r>
            <w:r>
              <w:rPr>
                <w:color w:val="000000"/>
              </w:rPr>
              <w:t> </w:t>
            </w:r>
          </w:p>
        </w:tc>
        <w:tc>
          <w:tcPr>
            <w:tcW w:w="14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8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pPr>
            <w:r>
              <w:rPr>
                <w:rFonts w:ascii="Times New Roman;sans-serif" w:hAnsi="Times New Roman;sans-serif"/>
                <w:b/>
                <w:color w:val="000000"/>
                <w:sz w:val="20"/>
              </w:rPr>
              <w:t>1,425,690</w:t>
            </w:r>
            <w:r>
              <w:rPr>
                <w:color w:val="000000"/>
              </w:rPr>
              <w:t> </w:t>
            </w:r>
          </w:p>
        </w:tc>
        <w:tc>
          <w:tcPr>
            <w:tcW w:w="2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05" w:type="dxa"/>
            <w:gridSpan w:val="2"/>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0" w:after="283"/>
              <w:jc w:val="right"/>
              <w:rPr>
                <w:rFonts w:ascii="Times New Roman;sans-serif" w:hAnsi="Times New Roman;sans-serif"/>
                <w:b/>
                <w:color w:val="000000"/>
                <w:sz w:val="20"/>
              </w:rPr>
            </w:pPr>
            <w:r>
              <w:rPr>
                <w:rFonts w:ascii="Times New Roman;sans-serif" w:hAnsi="Times New Roman;sans-serif"/>
                <w:b/>
                <w:color w:val="000000"/>
                <w:sz w:val="20"/>
              </w:rPr>
              <w:t>61,610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53110"/>
                <wp:effectExtent l="0" t="0" r="0" b="0"/>
                <wp:wrapNone/>
                <wp:docPr id="24" name="Frame22"/>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754"/>
        <w:gridCol w:w="584"/>
        <w:gridCol w:w="586"/>
        <w:gridCol w:w="277"/>
        <w:gridCol w:w="1306"/>
        <w:gridCol w:w="143"/>
        <w:gridCol w:w="109"/>
        <w:gridCol w:w="109"/>
        <w:gridCol w:w="109"/>
        <w:gridCol w:w="501"/>
        <w:gridCol w:w="2355"/>
        <w:gridCol w:w="258"/>
        <w:gridCol w:w="109"/>
        <w:gridCol w:w="109"/>
        <w:gridCol w:w="109"/>
        <w:gridCol w:w="1140"/>
        <w:gridCol w:w="804"/>
        <w:gridCol w:w="843"/>
      </w:tblGrid>
      <w:tr>
        <w:trPr/>
        <w:tc>
          <w:tcPr>
            <w:tcW w:w="75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235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172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106" w:after="283"/>
              <w:jc w:val="center"/>
              <w:rPr>
                <w:rFonts w:ascii="Times New Roman;sans-serif" w:hAnsi="Times New Roman;sans-serif"/>
                <w:b/>
                <w:color w:val="000000"/>
                <w:sz w:val="16"/>
              </w:rPr>
            </w:pPr>
            <w:r>
              <w:rPr>
                <w:rFonts w:ascii="Times New Roman;sans-serif" w:hAnsi="Times New Roman;sans-serif"/>
                <w:b/>
                <w:color w:val="000000"/>
                <w:sz w:val="16"/>
              </w:rPr>
              <w:t>Gross amounts recognized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2" w:before="12" w:after="283"/>
              <w:jc w:val="center"/>
              <w:rPr>
                <w:rFonts w:ascii="Times New Roman;sans-serif" w:hAnsi="Times New Roman;sans-serif"/>
                <w:b/>
                <w:color w:val="000000"/>
                <w:sz w:val="16"/>
              </w:rPr>
            </w:pPr>
            <w:r>
              <w:rPr>
                <w:rFonts w:ascii="Times New Roman;sans-serif" w:hAnsi="Times New Roman;sans-serif"/>
                <w:b/>
                <w:color w:val="000000"/>
                <w:sz w:val="16"/>
              </w:rPr>
              <w:t>Gross amounts offset in Statements of Financial Condition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2" w:before="0" w:after="0"/>
              <w:ind w:left="0" w:right="0" w:hanging="149"/>
              <w:jc w:val="center"/>
              <w:rPr>
                <w:rFonts w:ascii="Times New Roman;sans-serif" w:hAnsi="Times New Roman;sans-serif"/>
                <w:b/>
                <w:color w:val="000000"/>
                <w:sz w:val="16"/>
              </w:rPr>
            </w:pPr>
            <w:r>
              <w:rPr>
                <w:rFonts w:ascii="Times New Roman;sans-serif" w:hAnsi="Times New Roman;sans-serif"/>
                <w:b/>
                <w:color w:val="000000"/>
                <w:sz w:val="16"/>
              </w:rPr>
              <w:t>Net amounts in Statements of Financial Condition</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277"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1,723,008 </w:t>
            </w:r>
          </w:p>
        </w:tc>
        <w:tc>
          <w:tcPr>
            <w:tcW w:w="143"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55"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1,314,188 </w:t>
            </w:r>
          </w:p>
        </w:tc>
        <w:tc>
          <w:tcPr>
            <w:tcW w:w="258"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408,820</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1,434,359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312,509</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1,394,809</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1,984,517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(589,708)</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471,784</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753,369</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752,852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56,378</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Avalanche</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178,617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168,672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Fantom</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156,804</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156,804</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Polygon</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(125,671)</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Stellar</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Terra</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Decentraland</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(184,412)</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SushiSwap</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(132,362)</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76"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coins</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555,162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639,573</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(84,411)</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76" w:before="45" w:after="283"/>
              <w:jc w:val="left"/>
              <w:rPr>
                <w:rFonts w:ascii="Times New Roman;sans-serif" w:hAnsi="Times New Roman;sans-serif"/>
                <w:b/>
                <w:color w:val="000000"/>
                <w:sz w:val="20"/>
              </w:rPr>
            </w:pPr>
            <w:r>
              <w:rPr>
                <w:rFonts w:ascii="Times New Roman;sans-serif" w:hAnsi="Times New Roman;sans-serif"/>
                <w:b/>
                <w:color w:val="000000"/>
                <w:sz w:val="20"/>
              </w:rPr>
              <w:t>Total derivatives assets</w:t>
            </w:r>
          </w:p>
        </w:tc>
        <w:tc>
          <w:tcPr>
            <w:tcW w:w="2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Times New Roman;sans-serif" w:hAnsi="Times New Roman;sans-serif"/>
                <w:b/>
                <w:color w:val="000000"/>
                <w:sz w:val="20"/>
              </w:rPr>
              <w:t>7,962,508</w:t>
            </w:r>
            <w:r>
              <w:rPr>
                <w:color w:val="000000"/>
              </w:rPr>
              <w:t> </w:t>
            </w:r>
          </w:p>
        </w:tc>
        <w:tc>
          <w:tcPr>
            <w:tcW w:w="1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pPr>
            <w:r>
              <w:rPr>
                <w:rFonts w:ascii="Times New Roman;sans-serif" w:hAnsi="Times New Roman;sans-serif"/>
                <w:b/>
                <w:color w:val="000000"/>
                <w:sz w:val="20"/>
              </w:rPr>
              <w:t>7,810,039</w:t>
            </w:r>
            <w:r>
              <w:rPr>
                <w:color w:val="000000"/>
              </w:rPr>
              <w:t> </w:t>
            </w:r>
          </w:p>
        </w:tc>
        <w:tc>
          <w:tcPr>
            <w:tcW w:w="25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4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Times New Roman;sans-serif" w:hAnsi="Times New Roman;sans-serif"/>
                <w:b/>
                <w:color w:val="000000"/>
                <w:sz w:val="20"/>
              </w:rPr>
            </w:pPr>
            <w:r>
              <w:rPr>
                <w:rFonts w:ascii="Times New Roman;sans-serif" w:hAnsi="Times New Roman;sans-serif"/>
                <w:b/>
                <w:color w:val="000000"/>
                <w:sz w:val="20"/>
              </w:rPr>
              <w:t>152,469</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277" w:type="dxa"/>
            <w:tcBorders>
              <w:top w:val="doub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doub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1,934,933 </w:t>
            </w:r>
          </w:p>
        </w:tc>
        <w:tc>
          <w:tcPr>
            <w:tcW w:w="143" w:type="dxa"/>
            <w:tcBorders>
              <w:top w:val="doub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doub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55" w:type="dxa"/>
            <w:tcBorders>
              <w:top w:val="doub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1,314,188 </w:t>
            </w:r>
          </w:p>
        </w:tc>
        <w:tc>
          <w:tcPr>
            <w:tcW w:w="258" w:type="dxa"/>
            <w:tcBorders>
              <w:top w:val="doub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tcBorders>
              <w:top w:val="doub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gridSpan w:val="2"/>
            <w:tcBorders>
              <w:top w:val="doub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620,745</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758,178</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2,112,844</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1,984,517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128,327</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662,496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495,124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167,372</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715,031</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752,852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(37,821)</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129,480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Avalanche</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162,066</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168,672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193,983</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Fantom</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155,232</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156,804</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Polygon</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253,053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Stellar</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125,185</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92,177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33,008</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Terra</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96,784</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Decentraland</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239,758</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255,957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SushiSwap</w:t>
            </w:r>
          </w:p>
        </w:tc>
        <w:tc>
          <w:tcPr>
            <w:tcW w:w="172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(15,011)</w:t>
            </w:r>
          </w:p>
        </w:tc>
      </w:tr>
      <w:tr>
        <w:trPr/>
        <w:tc>
          <w:tcPr>
            <w:tcW w:w="1924" w:type="dxa"/>
            <w:gridSpan w:val="3"/>
            <w:tcBorders/>
            <w:shd w:fill="CCEDFF" w:val="clear"/>
            <w:tcMar>
              <w:top w:w="0" w:type="dxa"/>
              <w:left w:w="0" w:type="dxa"/>
              <w:bottom w:w="0" w:type="dxa"/>
              <w:right w:w="0" w:type="dxa"/>
            </w:tcMar>
            <w:vAlign w:val="center"/>
          </w:tcPr>
          <w:p>
            <w:pPr>
              <w:pStyle w:val="TableContents"/>
              <w:spacing w:lineRule="auto" w:line="276"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coins</w:t>
            </w:r>
          </w:p>
        </w:tc>
        <w:tc>
          <w:tcPr>
            <w:tcW w:w="172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658,506</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639,573</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18,933</w:t>
            </w:r>
          </w:p>
        </w:tc>
      </w:tr>
      <w:tr>
        <w:trPr/>
        <w:tc>
          <w:tcPr>
            <w:tcW w:w="1924" w:type="dxa"/>
            <w:gridSpan w:val="3"/>
            <w:tcBorders/>
            <w:shd w:fill="auto" w:val="clear"/>
            <w:tcMar>
              <w:top w:w="0" w:type="dxa"/>
              <w:left w:w="0" w:type="dxa"/>
              <w:bottom w:w="0" w:type="dxa"/>
              <w:right w:w="0" w:type="dxa"/>
            </w:tcMar>
            <w:vAlign w:val="center"/>
          </w:tcPr>
          <w:p>
            <w:pPr>
              <w:pStyle w:val="TableContents"/>
              <w:spacing w:lineRule="auto" w:line="252" w:before="45" w:after="283"/>
              <w:jc w:val="left"/>
              <w:rPr>
                <w:rFonts w:ascii="Times New Roman;sans-serif" w:hAnsi="Times New Roman;sans-serif"/>
                <w:b/>
                <w:color w:val="000000"/>
                <w:sz w:val="20"/>
              </w:rPr>
            </w:pPr>
            <w:r>
              <w:rPr>
                <w:rFonts w:ascii="Times New Roman;sans-serif" w:hAnsi="Times New Roman;sans-serif"/>
                <w:b/>
                <w:color w:val="000000"/>
                <w:sz w:val="20"/>
              </w:rPr>
              <w:t>Total derivatives liabilities</w:t>
            </w:r>
          </w:p>
        </w:tc>
        <w:tc>
          <w:tcPr>
            <w:tcW w:w="27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52" w:before="0" w:after="283"/>
              <w:jc w:val="right"/>
              <w:rPr/>
            </w:pPr>
            <w:r>
              <w:rPr>
                <w:rFonts w:ascii="Times New Roman;sans-serif" w:hAnsi="Times New Roman;sans-serif"/>
                <w:b/>
                <w:color w:val="000000"/>
                <w:sz w:val="20"/>
              </w:rPr>
              <w:t>9,744,227</w:t>
            </w:r>
            <w:r>
              <w:rPr>
                <w:color w:val="000000"/>
              </w:rPr>
              <w:t> </w:t>
            </w:r>
          </w:p>
        </w:tc>
        <w:tc>
          <w:tcPr>
            <w:tcW w:w="1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5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52" w:before="0" w:after="283"/>
              <w:jc w:val="right"/>
              <w:rPr/>
            </w:pPr>
            <w:r>
              <w:rPr>
                <w:rFonts w:ascii="Times New Roman;sans-serif" w:hAnsi="Times New Roman;sans-serif"/>
                <w:b/>
                <w:color w:val="000000"/>
                <w:sz w:val="20"/>
              </w:rPr>
              <w:t>7,810,039</w:t>
            </w:r>
            <w:r>
              <w:rPr>
                <w:color w:val="000000"/>
              </w:rPr>
              <w:t> </w:t>
            </w:r>
          </w:p>
        </w:tc>
        <w:tc>
          <w:tcPr>
            <w:tcW w:w="25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52"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64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52" w:before="0" w:after="283"/>
              <w:jc w:val="right"/>
              <w:rPr>
                <w:rFonts w:ascii="Times New Roman;sans-serif" w:hAnsi="Times New Roman;sans-serif"/>
                <w:b/>
                <w:color w:val="000000"/>
                <w:sz w:val="20"/>
              </w:rPr>
            </w:pPr>
            <w:r>
              <w:rPr>
                <w:rFonts w:ascii="Times New Roman;sans-serif" w:hAnsi="Times New Roman;sans-serif"/>
                <w:b/>
                <w:color w:val="000000"/>
                <w:sz w:val="20"/>
              </w:rPr>
              <w:t>1,934,188</w:t>
            </w:r>
          </w:p>
        </w:tc>
      </w:tr>
    </w:tbl>
    <w:p>
      <w:pPr>
        <w:pStyle w:val="TextBody"/>
        <w:spacing w:before="0" w:after="0"/>
        <w:rPr/>
      </w:pPr>
      <w:r>
        <w:rPr/>
      </w:r>
    </w:p>
    <w:p>
      <w:pPr>
        <w:pStyle w:val="TextBody"/>
        <w:spacing w:lineRule="auto" w:line="240" w:before="92" w:after="283"/>
        <w:ind w:left="0" w:right="0" w:hanging="720"/>
        <w:rPr>
          <w:rFonts w:ascii="Times New Roman;sans-serif" w:hAnsi="Times New Roman;sans-serif"/>
          <w:b/>
          <w:color w:val="000000"/>
          <w:sz w:val="20"/>
        </w:rPr>
      </w:pPr>
      <w:r>
        <w:rPr>
          <w:rFonts w:ascii="Times New Roman;sans-serif" w:hAnsi="Times New Roman;sans-serif"/>
          <w:b/>
          <w:color w:val="000000"/>
          <w:sz w:val="20"/>
        </w:rPr>
        <w:t>8.CRYPTOCURRENCIES SAFEGUARDING OBLIGATION</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cryptocurrencies safeguarding liability to reflect the Company’s obligation to safeguard the cryptocurrencies held for the benefit of customers, which is recorded in Cryptocurrencies safeguarding liabilities on the Statements of Financial Condition upon the adoption of SAB 121. The Company also recognize a corresponding safeguarding asset which is recorded in Cryptocurrencies safeguarding asset on Statements of Financial Condition.</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cryptocurrencies purchased by customers are placed in omnibus digital wallets hosted by the Company or third party custodians. The Company maintains the internal recordkeeping of the Company’s customers’ crypto assets, including the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53110"/>
                <wp:effectExtent l="0" t="0" r="0" b="0"/>
                <wp:wrapNone/>
                <wp:docPr id="25" name="Frame23"/>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 and type of crypto assets owned by each of the Company’s customers in the custodial accounts. The Company and its third party sub-custodians safeguard crypto assets and related cryptographic keys for customers and accordingly are obligated to safeguard the customers’ crypto assets from wastage, conversion or misappropriation. The Company currently utilizes three custodians. Therefore, we have concentration risk in the event the third-party custodians are not able to perform in accordance with our agreements.</w:t>
      </w:r>
    </w:p>
    <w:p>
      <w:pPr>
        <w:pStyle w:val="TextBody"/>
        <w:spacing w:before="3"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significant cryptocurrencies we hold for the benefit of our customers and the digital asset safeguarding liability and corresponding safeguarding asset:</w:t>
      </w:r>
    </w:p>
    <w:p>
      <w:pPr>
        <w:pStyle w:val="TextBody"/>
        <w:spacing w:before="1" w:after="283"/>
        <w:rPr/>
      </w:pPr>
      <w:r>
        <w:rPr/>
      </w:r>
    </w:p>
    <w:p>
      <w:pPr>
        <w:pStyle w:val="TextBody"/>
        <w:spacing w:before="94" w:after="283"/>
        <w:jc w:val="right"/>
        <w:rPr/>
      </w:pPr>
      <w:r>
        <w:rPr/>
      </w:r>
    </w:p>
    <w:tbl>
      <w:tblPr>
        <w:tblW w:w="5510" w:type="dxa"/>
        <w:jc w:val="left"/>
        <w:tblInd w:w="0" w:type="dxa"/>
        <w:tblCellMar>
          <w:top w:w="28" w:type="dxa"/>
          <w:left w:w="28" w:type="dxa"/>
          <w:bottom w:w="28" w:type="dxa"/>
          <w:right w:w="28" w:type="dxa"/>
        </w:tblCellMar>
      </w:tblPr>
      <w:tblGrid>
        <w:gridCol w:w="1425"/>
        <w:gridCol w:w="1251"/>
        <w:gridCol w:w="1268"/>
        <w:gridCol w:w="211"/>
        <w:gridCol w:w="1201"/>
        <w:gridCol w:w="154"/>
      </w:tblGrid>
      <w:tr>
        <w:trPr/>
        <w:tc>
          <w:tcPr>
            <w:tcW w:w="1425"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9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4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Ethereum</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118,031,222 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38"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Shiba Inu</w:t>
            </w:r>
          </w:p>
        </w:tc>
        <w:tc>
          <w:tcPr>
            <w:tcW w:w="15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117,351,175</w:t>
            </w:r>
          </w:p>
        </w:tc>
      </w:tr>
      <w:tr>
        <w:trPr/>
        <w:tc>
          <w:tcPr>
            <w:tcW w:w="394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Bitcoin</w:t>
            </w:r>
          </w:p>
        </w:tc>
        <w:tc>
          <w:tcPr>
            <w:tcW w:w="156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110,517,180</w:t>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Dogecoin</w:t>
            </w:r>
          </w:p>
        </w:tc>
        <w:tc>
          <w:tcPr>
            <w:tcW w:w="15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64,097,847</w:t>
            </w:r>
          </w:p>
        </w:tc>
      </w:tr>
      <w:tr>
        <w:trPr/>
        <w:tc>
          <w:tcPr>
            <w:tcW w:w="394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Cardano</w:t>
            </w:r>
          </w:p>
        </w:tc>
        <w:tc>
          <w:tcPr>
            <w:tcW w:w="156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19,545,541</w:t>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Litecoin</w:t>
            </w:r>
          </w:p>
        </w:tc>
        <w:tc>
          <w:tcPr>
            <w:tcW w:w="15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10,033,931</w:t>
            </w:r>
          </w:p>
        </w:tc>
      </w:tr>
      <w:tr>
        <w:trPr/>
        <w:tc>
          <w:tcPr>
            <w:tcW w:w="394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Solana</w:t>
            </w:r>
          </w:p>
        </w:tc>
        <w:tc>
          <w:tcPr>
            <w:tcW w:w="156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3,916,679</w:t>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Fantom</w:t>
            </w:r>
          </w:p>
        </w:tc>
        <w:tc>
          <w:tcPr>
            <w:tcW w:w="15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1,257,553</w:t>
            </w:r>
          </w:p>
        </w:tc>
      </w:tr>
      <w:tr>
        <w:trPr/>
        <w:tc>
          <w:tcPr>
            <w:tcW w:w="3944" w:type="dxa"/>
            <w:gridSpan w:val="3"/>
            <w:tcBorders/>
            <w:shd w:fill="CCEDFF" w:val="clear"/>
            <w:tcMar>
              <w:top w:w="0" w:type="dxa"/>
              <w:left w:w="0" w:type="dxa"/>
              <w:bottom w:w="0" w:type="dxa"/>
              <w:right w:w="0" w:type="dxa"/>
            </w:tcMar>
            <w:vAlign w:val="center"/>
          </w:tcPr>
          <w:p>
            <w:pPr>
              <w:pStyle w:val="TableContents"/>
              <w:spacing w:lineRule="auto" w:line="240" w:before="38"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coins</w:t>
            </w:r>
          </w:p>
        </w:tc>
        <w:tc>
          <w:tcPr>
            <w:tcW w:w="156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35,866,897</w:t>
            </w:r>
          </w:p>
        </w:tc>
      </w:tr>
      <w:tr>
        <w:trPr/>
        <w:tc>
          <w:tcPr>
            <w:tcW w:w="3944" w:type="dxa"/>
            <w:gridSpan w:val="3"/>
            <w:tcBorders/>
            <w:shd w:fill="auto" w:val="clear"/>
            <w:tcMar>
              <w:top w:w="0" w:type="dxa"/>
              <w:left w:w="0" w:type="dxa"/>
              <w:bottom w:w="0" w:type="dxa"/>
              <w:right w:w="0" w:type="dxa"/>
            </w:tcMar>
            <w:vAlign w:val="center"/>
          </w:tcPr>
          <w:p>
            <w:pPr>
              <w:pStyle w:val="TableContents"/>
              <w:spacing w:lineRule="auto" w:line="240" w:before="28" w:after="283"/>
              <w:jc w:val="left"/>
              <w:rPr>
                <w:rFonts w:ascii="Times New Roman;sans-serif" w:hAnsi="Times New Roman;sans-serif"/>
                <w:b/>
                <w:color w:val="000000"/>
                <w:sz w:val="20"/>
              </w:rPr>
            </w:pPr>
            <w:r>
              <w:rPr>
                <w:rFonts w:ascii="Times New Roman;sans-serif" w:hAnsi="Times New Roman;sans-serif"/>
                <w:b/>
                <w:color w:val="000000"/>
                <w:sz w:val="20"/>
              </w:rPr>
              <w:t>Total cryptocurrencies safeguarding liability</w:t>
            </w:r>
          </w:p>
        </w:tc>
        <w:tc>
          <w:tcPr>
            <w:tcW w:w="15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480,618,025</w:t>
            </w:r>
          </w:p>
        </w:tc>
      </w:tr>
      <w:tr>
        <w:trPr/>
        <w:tc>
          <w:tcPr>
            <w:tcW w:w="3944" w:type="dxa"/>
            <w:gridSpan w:val="3"/>
            <w:tcBorders/>
            <w:shd w:fill="CCEDFF" w:val="clear"/>
            <w:tcMar>
              <w:top w:w="0" w:type="dxa"/>
              <w:left w:w="0" w:type="dxa"/>
              <w:bottom w:w="0" w:type="dxa"/>
              <w:right w:w="0" w:type="dxa"/>
            </w:tcMar>
            <w:vAlign w:val="center"/>
          </w:tcPr>
          <w:p>
            <w:pPr>
              <w:pStyle w:val="TableContents"/>
              <w:spacing w:lineRule="auto" w:line="235" w:before="0" w:after="0"/>
              <w:jc w:val="left"/>
              <w:rPr>
                <w:rFonts w:ascii="Times New Roman;sans-serif" w:hAnsi="Times New Roman;sans-serif"/>
                <w:b/>
                <w:color w:val="000000"/>
                <w:sz w:val="20"/>
              </w:rPr>
            </w:pPr>
            <w:r>
              <w:rPr>
                <w:rFonts w:ascii="Times New Roman;sans-serif" w:hAnsi="Times New Roman;sans-serif"/>
                <w:b/>
                <w:color w:val="000000"/>
                <w:sz w:val="20"/>
              </w:rPr>
              <w:t>Total cryptocurrencies safeguarding asset</w:t>
            </w:r>
          </w:p>
        </w:tc>
        <w:tc>
          <w:tcPr>
            <w:tcW w:w="211"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35"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01"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35" w:before="0" w:after="283"/>
              <w:jc w:val="right"/>
              <w:rPr/>
            </w:pPr>
            <w:r>
              <w:rPr>
                <w:rFonts w:ascii="Times New Roman;sans-serif" w:hAnsi="Times New Roman;sans-serif"/>
                <w:b/>
                <w:color w:val="000000"/>
                <w:sz w:val="20"/>
              </w:rPr>
              <w:t>480,618,025</w:t>
            </w:r>
            <w:r>
              <w:rPr>
                <w:color w:val="000000"/>
              </w:rPr>
              <w:t> </w:t>
            </w:r>
          </w:p>
        </w:tc>
        <w:tc>
          <w:tcPr>
            <w:tcW w:w="154" w:type="dxa"/>
            <w:tcBorders>
              <w:top w:val="double" w:sz="8" w:space="0" w:color="000000"/>
              <w:bottom w:val="double" w:sz="8" w:space="0" w:color="000000"/>
            </w:tcBorders>
            <w:shd w:fill="CCED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Accrued expenses and other liabilities includes $1,119,869 and $1,498,103 payable to customers for in-transit transactions.</w:t>
      </w:r>
    </w:p>
    <w:p>
      <w:pPr>
        <w:pStyle w:val="TextBody"/>
        <w:spacing w:before="2" w:after="283"/>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9.COMMITMENTS, CONTINGENCIES AND GUARANTEES</w:t>
      </w:r>
    </w:p>
    <w:p>
      <w:pPr>
        <w:pStyle w:val="TextBody"/>
        <w:spacing w:lineRule="auto" w:line="288" w:before="130" w:after="283"/>
        <w:rPr>
          <w:rFonts w:ascii="Times New Roman;sans-serif" w:hAnsi="Times New Roman;sans-serif"/>
          <w:b/>
          <w:i/>
          <w:color w:val="000000"/>
          <w:sz w:val="20"/>
        </w:rPr>
      </w:pPr>
      <w:r>
        <w:rPr>
          <w:rFonts w:ascii="Times New Roman;sans-serif" w:hAnsi="Times New Roman;sans-serif"/>
          <w:b/>
          <w:i/>
          <w:color w:val="000000"/>
          <w:sz w:val="20"/>
        </w:rPr>
        <w:t>General Contingencies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enters into contracts that contain a variety of representations and warranties that provide indemnifications to the counterparties under certain circumstances. The Company’s maximum exposure under these arrangements is unknown, as this would involve future claims that may be made against the Company that have not yet occurred. The Company expects the risk of loss to be remote.</w:t>
      </w:r>
    </w:p>
    <w:p>
      <w:pPr>
        <w:pStyle w:val="TextBody"/>
        <w:spacing w:before="10"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Commitment to Purchase Customer Cryptocurrencies under Custody</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customer user agreements which provides a commitment of the Company to buy the cryptocurrencies of the customer upon their request to sell at prevailing market rates as determined by the Company. This commitment is limited to the amount of customer cryptocurrencies under custody.</w:t>
      </w:r>
    </w:p>
    <w:p>
      <w:pPr>
        <w:pStyle w:val="TextBody"/>
        <w:spacing w:before="3" w:after="283"/>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10.SHARE-BASED COMPENSATION</w:t>
      </w:r>
    </w:p>
    <w:p>
      <w:pPr>
        <w:pStyle w:val="TextBody"/>
        <w:spacing w:lineRule="auto" w:line="288" w:before="133" w:after="283"/>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included as a component of employee compensation and benefits was as follows:</w:t>
      </w:r>
    </w:p>
    <w:p>
      <w:pPr>
        <w:pStyle w:val="TextBody"/>
        <w:spacing w:before="7" w:after="283"/>
        <w:rPr/>
      </w:pPr>
      <w:r>
        <w:rPr/>
      </w:r>
    </w:p>
    <w:p>
      <w:pPr>
        <w:pStyle w:val="TextBody"/>
        <w:spacing w:before="113" w:after="35"/>
        <w:ind w:left="0" w:right="0" w:hanging="497"/>
        <w:rPr/>
      </w:pPr>
      <w:r>
        <w:rPr/>
      </w:r>
    </w:p>
    <w:tbl>
      <w:tblPr>
        <w:tblW w:w="4859" w:type="dxa"/>
        <w:jc w:val="left"/>
        <w:tblInd w:w="0" w:type="dxa"/>
        <w:tblCellMar>
          <w:top w:w="28" w:type="dxa"/>
          <w:left w:w="28" w:type="dxa"/>
          <w:bottom w:w="28" w:type="dxa"/>
          <w:right w:w="28" w:type="dxa"/>
        </w:tblCellMar>
      </w:tblPr>
      <w:tblGrid>
        <w:gridCol w:w="1117"/>
        <w:gridCol w:w="982"/>
        <w:gridCol w:w="990"/>
        <w:gridCol w:w="275"/>
        <w:gridCol w:w="1294"/>
        <w:gridCol w:w="201"/>
      </w:tblGrid>
      <w:tr>
        <w:trPr/>
        <w:tc>
          <w:tcPr>
            <w:tcW w:w="1117"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w:t>
              <w:br/>
              <w:t>31, 2022</w:t>
            </w:r>
          </w:p>
        </w:tc>
      </w:tr>
      <w:tr>
        <w:trPr/>
        <w:tc>
          <w:tcPr>
            <w:tcW w:w="3089" w:type="dxa"/>
            <w:gridSpan w:val="3"/>
            <w:tcBorders/>
            <w:shd w:fill="CCEDFF"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awards</w:t>
            </w:r>
          </w:p>
        </w:tc>
        <w:tc>
          <w:tcPr>
            <w:tcW w:w="275"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4"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712,828 </w:t>
            </w:r>
          </w:p>
        </w:tc>
        <w:tc>
          <w:tcPr>
            <w:tcW w:w="201" w:type="dxa"/>
            <w:tcBorders>
              <w:top w:val="single" w:sz="8" w:space="0" w:color="000000"/>
            </w:tcBorders>
            <w:shd w:fill="CCED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275,483</w:t>
            </w:r>
          </w:p>
        </w:tc>
      </w:tr>
      <w:tr>
        <w:trPr/>
        <w:tc>
          <w:tcPr>
            <w:tcW w:w="3089" w:type="dxa"/>
            <w:gridSpan w:val="3"/>
            <w:tcBorders/>
            <w:shd w:fill="CCEDFF" w:val="clear"/>
            <w:tcMar>
              <w:top w:w="0" w:type="dxa"/>
              <w:left w:w="0" w:type="dxa"/>
              <w:bottom w:w="0" w:type="dxa"/>
              <w:right w:w="0" w:type="dxa"/>
            </w:tcMar>
            <w:vAlign w:val="center"/>
          </w:tcPr>
          <w:p>
            <w:pPr>
              <w:pStyle w:val="TableContents"/>
              <w:spacing w:lineRule="auto" w:line="276" w:before="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Allocated share-based compensation</w:t>
            </w:r>
          </w:p>
        </w:tc>
        <w:tc>
          <w:tcPr>
            <w:tcW w:w="1770"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1,029,424</w:t>
            </w:r>
          </w:p>
        </w:tc>
      </w:tr>
      <w:tr>
        <w:trPr/>
        <w:tc>
          <w:tcPr>
            <w:tcW w:w="3089" w:type="dxa"/>
            <w:gridSpan w:val="3"/>
            <w:tcBorders/>
            <w:shd w:fill="auto" w:val="clear"/>
            <w:tcMar>
              <w:top w:w="0" w:type="dxa"/>
              <w:left w:w="0" w:type="dxa"/>
              <w:bottom w:w="0" w:type="dxa"/>
              <w:right w:w="0" w:type="dxa"/>
            </w:tcMar>
            <w:vAlign w:val="center"/>
          </w:tcPr>
          <w:p>
            <w:pPr>
              <w:pStyle w:val="TableContents"/>
              <w:spacing w:lineRule="auto" w:line="240" w:before="15" w:after="283"/>
              <w:jc w:val="left"/>
              <w:rPr>
                <w:rFonts w:ascii="Times New Roman;sans-serif" w:hAnsi="Times New Roman;sans-serif"/>
                <w:b/>
                <w:color w:val="000000"/>
                <w:sz w:val="20"/>
              </w:rPr>
            </w:pPr>
            <w:r>
              <w:rPr>
                <w:rFonts w:ascii="Times New Roman;sans-serif" w:hAnsi="Times New Roman;sans-serif"/>
                <w:b/>
                <w:color w:val="000000"/>
                <w:sz w:val="20"/>
              </w:rPr>
              <w:t>Total share-based compensation</w:t>
            </w:r>
          </w:p>
        </w:tc>
        <w:tc>
          <w:tcPr>
            <w:tcW w:w="27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2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2,017,735</w:t>
            </w:r>
            <w:r>
              <w:rPr>
                <w:color w:val="000000"/>
              </w:rPr>
              <w:t> </w:t>
            </w:r>
          </w:p>
        </w:tc>
        <w:tc>
          <w:tcPr>
            <w:tcW w:w="2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53110"/>
                <wp:effectExtent l="0" t="0" r="0" b="0"/>
                <wp:wrapNone/>
                <wp:docPr id="26" name="Frame24"/>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jc w:val="both"/>
        <w:rPr/>
      </w:pPr>
      <w:r>
        <w:rPr>
          <w:rFonts w:ascii="Times New Roman;sans-serif" w:hAnsi="Times New Roman;sans-serif"/>
          <w:b w:val="false"/>
          <w:color w:val="000000"/>
          <w:sz w:val="20"/>
        </w:rPr>
        <w:t>On February 28, 2022 the Board of Directors of Apex Fintech adopted the Apex Fintech Solutions, Inc. Equity Incentive Plan (“AFS Equity Plan”) which authorized the granting of up to 47,000,000 shares of Apex Fintech’s common stock as share-based compensation to eligible participants, as options to purchase shares of common stock in the form of incentive stock options or nonqualified stock options; stock appreciation rights (“SARs”) in the form of tandem SARs or free</w:t>
      </w:r>
      <w:r>
        <w:rPr>
          <w:rFonts w:ascii="Arial;sans-serif" w:hAnsi="Arial;sans-serif"/>
          <w:b w:val="false"/>
          <w:color w:val="000000"/>
          <w:sz w:val="20"/>
        </w:rPr>
        <w:t>-</w:t>
      </w:r>
      <w:r>
        <w:rPr>
          <w:rFonts w:ascii="Times New Roman;sans-serif" w:hAnsi="Times New Roman;sans-serif"/>
          <w:b w:val="false"/>
          <w:color w:val="000000"/>
          <w:sz w:val="20"/>
        </w:rPr>
        <w:t>standing SARs; stock awards in the form of restricted stock awards (“RS Awards”), restricted stock unit awards (“RSUs”) or other stock awards; and performance awards. Shares granted under the AFS Equity Plan will be issued from authorized but unissued shares.</w:t>
      </w:r>
    </w:p>
    <w:p>
      <w:pPr>
        <w:pStyle w:val="TextBody"/>
        <w:spacing w:before="3"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AFS Equity Plan is administered by the Compensation Committee of Apex Fintech’s Board of Directors. The Compensation Committee has discretionary authority to determine the eligibility to participate in the AFS Equity Plan and establishes the terms and conditions of the awards, including the number of awards granted to each participant and all other terms and conditions applicable to such awards in individual grant agreements</w:t>
      </w:r>
    </w:p>
    <w:p>
      <w:pPr>
        <w:pStyle w:val="TextBody"/>
        <w:spacing w:lineRule="auto" w:line="288" w:before="3" w:after="283"/>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spacing w:lineRule="auto" w:line="288" w:before="1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the Company recorded share-based compensation expenses of $1,029,424 related to expenses allocate to the Company by Apex Fintech for time spent by employees of Apex Fintech on the management of the Company, with a corresponding credit recorded as a deemed capital contribution by Apex Fintech.</w:t>
      </w:r>
    </w:p>
    <w:p>
      <w:pPr>
        <w:pStyle w:val="TextBody"/>
        <w:spacing w:before="9" w:after="283"/>
        <w:rPr/>
      </w:pPr>
      <w:r>
        <w:rPr/>
      </w:r>
    </w:p>
    <w:p>
      <w:pPr>
        <w:pStyle w:val="TextBody"/>
        <w:spacing w:lineRule="auto" w:line="288" w:before="1" w:after="283"/>
        <w:rPr>
          <w:rFonts w:ascii="Times New Roman;sans-serif" w:hAnsi="Times New Roman;sans-serif"/>
          <w:b/>
          <w:i/>
          <w:color w:val="000000"/>
          <w:sz w:val="20"/>
        </w:rPr>
      </w:pPr>
      <w:r>
        <w:rPr>
          <w:rFonts w:ascii="Times New Roman;sans-serif" w:hAnsi="Times New Roman;sans-serif"/>
          <w:b/>
          <w:i/>
          <w:color w:val="000000"/>
          <w:sz w:val="20"/>
        </w:rPr>
        <w:t>Restricted Stock Unit Awards</w:t>
      </w:r>
    </w:p>
    <w:p>
      <w:pPr>
        <w:pStyle w:val="TextBody"/>
        <w:spacing w:lineRule="auto" w:line="288" w:before="133" w:after="283"/>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RSUs awarded to the Company’s employees for the year ended December 31, 2022:</w:t>
      </w:r>
    </w:p>
    <w:p>
      <w:pPr>
        <w:pStyle w:val="TextBody"/>
        <w:spacing w:before="3" w:after="283"/>
        <w:rPr/>
      </w:pPr>
      <w:r>
        <w:rPr/>
      </w:r>
    </w:p>
    <w:tbl>
      <w:tblPr>
        <w:tblW w:w="7551" w:type="dxa"/>
        <w:jc w:val="left"/>
        <w:tblInd w:w="0" w:type="dxa"/>
        <w:tblCellMar>
          <w:top w:w="28" w:type="dxa"/>
          <w:left w:w="28" w:type="dxa"/>
          <w:bottom w:w="28" w:type="dxa"/>
          <w:right w:w="28" w:type="dxa"/>
        </w:tblCellMar>
      </w:tblPr>
      <w:tblGrid>
        <w:gridCol w:w="998"/>
        <w:gridCol w:w="879"/>
        <w:gridCol w:w="882"/>
        <w:gridCol w:w="439"/>
        <w:gridCol w:w="439"/>
        <w:gridCol w:w="441"/>
        <w:gridCol w:w="109"/>
        <w:gridCol w:w="109"/>
        <w:gridCol w:w="109"/>
        <w:gridCol w:w="1399"/>
        <w:gridCol w:w="722"/>
        <w:gridCol w:w="1025"/>
      </w:tblGrid>
      <w:tr>
        <w:trPr/>
        <w:tc>
          <w:tcPr>
            <w:tcW w:w="99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76" w:before="153" w:after="283"/>
              <w:jc w:val="center"/>
              <w:rPr>
                <w:rFonts w:ascii="Times New Roman;sans-serif" w:hAnsi="Times New Roman;sans-serif"/>
                <w:b/>
                <w:color w:val="000000"/>
                <w:sz w:val="16"/>
              </w:rPr>
            </w:pPr>
            <w:r>
              <w:rPr>
                <w:rFonts w:ascii="Times New Roman;sans-serif" w:hAnsi="Times New Roman;sans-serif"/>
                <w:b/>
                <w:color w:val="000000"/>
                <w:sz w:val="16"/>
              </w:rPr>
              <w:t>Number of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6" w:type="dxa"/>
            <w:gridSpan w:val="3"/>
            <w:tcBorders/>
            <w:shd w:fill="auto" w:val="clear"/>
            <w:tcMar>
              <w:top w:w="0" w:type="dxa"/>
              <w:left w:w="0" w:type="dxa"/>
              <w:bottom w:w="0" w:type="dxa"/>
              <w:right w:w="0" w:type="dxa"/>
            </w:tcMar>
            <w:vAlign w:val="center"/>
          </w:tcPr>
          <w:p>
            <w:pPr>
              <w:pStyle w:val="TableContents"/>
              <w:spacing w:lineRule="auto" w:line="242" w:before="12" w:after="283"/>
              <w:ind w:left="0" w:right="0" w:firstLine="57"/>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759"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2021</w:t>
            </w:r>
          </w:p>
        </w:tc>
        <w:tc>
          <w:tcPr>
            <w:tcW w:w="131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4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6"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$ 0.00</w:t>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175,667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w:t>
            </w:r>
          </w:p>
        </w:tc>
      </w:tr>
      <w:tr>
        <w:trPr/>
        <w:tc>
          <w:tcPr>
            <w:tcW w:w="2759"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319"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(89,167)</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319" w:type="dxa"/>
            <w:gridSpan w:val="3"/>
            <w:tcBorders/>
            <w:shd w:fill="auto" w:val="clear"/>
            <w:tcMar>
              <w:top w:w="0" w:type="dxa"/>
              <w:left w:w="0" w:type="dxa"/>
              <w:bottom w:w="0" w:type="dxa"/>
              <w:right w:w="0" w:type="dxa"/>
            </w:tcMar>
            <w:vAlign w:val="center"/>
          </w:tcPr>
          <w:p>
            <w:pPr>
              <w:pStyle w:val="TableContents"/>
              <w:spacing w:lineRule="auto" w:line="276"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r>
      <w:tr>
        <w:trPr/>
        <w:tc>
          <w:tcPr>
            <w:tcW w:w="2759"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color w:val="000000"/>
                <w:sz w:val="20"/>
              </w:rPr>
            </w:pPr>
            <w:r>
              <w:rPr>
                <w:rFonts w:ascii="Times New Roman;sans-serif" w:hAnsi="Times New Roman;sans-serif"/>
                <w:b/>
                <w:color w:val="000000"/>
                <w:sz w:val="20"/>
              </w:rPr>
              <w:t>Unvested at December 31, 2022</w:t>
            </w:r>
          </w:p>
        </w:tc>
        <w:tc>
          <w:tcPr>
            <w:tcW w:w="1319"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4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9"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7"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r>
    </w:tbl>
    <w:p>
      <w:pPr>
        <w:pStyle w:val="TextBody"/>
        <w:spacing w:before="5"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RSUs represent the right to receive one share of the Apex Fintech’s common stock upon vesting. RSUs granted to the Company’s employees under the AFS Equity Plan for the year ended December 31, 2022 were 175,667, of which 100,000 RSUs have a time-based graded-vesting term of four years that vest on June 30 of each year, and 75,667 RSUs cliff-vest on December 31, 2022.</w:t>
      </w:r>
    </w:p>
    <w:p>
      <w:pPr>
        <w:pStyle w:val="TextBody"/>
        <w:spacing w:before="2"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December 31, 2022, unrecognized compensation costs related to unvested RSUs issued to employees were $465,750 and will be recognized over a weighted-average period of 3.00 years.</w:t>
      </w:r>
    </w:p>
    <w:p>
      <w:pPr>
        <w:pStyle w:val="TextBody"/>
        <w:spacing w:before="8"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1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 2022, the Apex Fintech granted 1,129,600 stock options to certain of the Company’s employees that vest over a 4- year period. Options are expensed on a straight-line basis over the required service period, based on the estimated fair value of the award on the date of grant. These options are subject to graded vesting, beginning on the first anniversary of the grant date, so long as the employee remains continuously employed by the Company. The maximum term of these stock options is ten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53110"/>
                <wp:effectExtent l="0" t="0" r="0" b="0"/>
                <wp:wrapNone/>
                <wp:docPr id="27" name="Frame25"/>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granted during the year ended December 31, 2022 was estimated on the grant date using the Black-Scholes option-pricing model with the following assumptions:</w:t>
      </w:r>
    </w:p>
    <w:p>
      <w:pPr>
        <w:pStyle w:val="TextBody"/>
        <w:spacing w:before="8" w:after="283"/>
        <w:rPr/>
      </w:pPr>
      <w:r>
        <w:rPr/>
      </w:r>
    </w:p>
    <w:tbl>
      <w:tblPr>
        <w:tblW w:w="4635" w:type="dxa"/>
        <w:jc w:val="left"/>
        <w:tblInd w:w="0" w:type="dxa"/>
        <w:tblCellMar>
          <w:top w:w="28" w:type="dxa"/>
          <w:left w:w="28" w:type="dxa"/>
          <w:bottom w:w="28" w:type="dxa"/>
          <w:right w:w="28" w:type="dxa"/>
        </w:tblCellMar>
      </w:tblPr>
      <w:tblGrid>
        <w:gridCol w:w="1386"/>
        <w:gridCol w:w="1215"/>
        <w:gridCol w:w="1223"/>
        <w:gridCol w:w="300"/>
        <w:gridCol w:w="210"/>
        <w:gridCol w:w="301"/>
      </w:tblGrid>
      <w:tr>
        <w:trPr/>
        <w:tc>
          <w:tcPr>
            <w:tcW w:w="1386"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811"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824" w:type="dxa"/>
            <w:gridSpan w:val="3"/>
            <w:tcBorders/>
            <w:shd w:fill="CCEDFF"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811"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3824"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stock options (in years)</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6.25 </w:t>
            </w:r>
          </w:p>
        </w:tc>
      </w:tr>
      <w:tr>
        <w:trPr/>
        <w:tc>
          <w:tcPr>
            <w:tcW w:w="3824" w:type="dxa"/>
            <w:gridSpan w:val="3"/>
            <w:tcBorders/>
            <w:shd w:fill="CCEDFF"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stock options granted (per share)</w:t>
            </w:r>
          </w:p>
        </w:tc>
        <w:tc>
          <w:tcPr>
            <w:tcW w:w="300"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r>
    </w:tbl>
    <w:p>
      <w:pPr>
        <w:pStyle w:val="TextBody"/>
        <w:spacing w:before="5" w:after="283"/>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life of options represents the weighted average period of time that the equity awards are expected to be outstanding. The risk-free interest rate assumptions was based on pricing and yields on United States Treasuries with a maturity equal to the expected life of the stock options, and if unavailable, the rate was interpolated using the nearest two known time period. The expected stock price volatility assumption was based on an analysis of the observed implied volatility of a set of guideline companies.</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activity for stock options awarded to the Company’s employees for the year ended December 31, 2022:</w:t>
      </w:r>
    </w:p>
    <w:p>
      <w:pPr>
        <w:pStyle w:val="TextBody"/>
        <w:spacing w:before="1" w:after="283"/>
        <w:rPr/>
      </w:pPr>
      <w:r>
        <w:rPr/>
      </w:r>
    </w:p>
    <w:tbl>
      <w:tblPr>
        <w:tblW w:w="10205" w:type="dxa"/>
        <w:jc w:val="left"/>
        <w:tblInd w:w="0" w:type="dxa"/>
        <w:tblCellMar>
          <w:top w:w="28" w:type="dxa"/>
          <w:left w:w="28" w:type="dxa"/>
          <w:bottom w:w="28" w:type="dxa"/>
          <w:right w:w="28" w:type="dxa"/>
        </w:tblCellMar>
      </w:tblPr>
      <w:tblGrid>
        <w:gridCol w:w="676"/>
        <w:gridCol w:w="593"/>
        <w:gridCol w:w="595"/>
        <w:gridCol w:w="474"/>
        <w:gridCol w:w="315"/>
        <w:gridCol w:w="317"/>
        <w:gridCol w:w="109"/>
        <w:gridCol w:w="109"/>
        <w:gridCol w:w="109"/>
        <w:gridCol w:w="849"/>
        <w:gridCol w:w="438"/>
        <w:gridCol w:w="440"/>
        <w:gridCol w:w="109"/>
        <w:gridCol w:w="109"/>
        <w:gridCol w:w="109"/>
        <w:gridCol w:w="809"/>
        <w:gridCol w:w="809"/>
        <w:gridCol w:w="809"/>
        <w:gridCol w:w="109"/>
        <w:gridCol w:w="109"/>
        <w:gridCol w:w="109"/>
        <w:gridCol w:w="930"/>
        <w:gridCol w:w="480"/>
        <w:gridCol w:w="690"/>
      </w:tblGrid>
      <w:tr>
        <w:trPr/>
        <w:tc>
          <w:tcPr>
            <w:tcW w:w="67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r>
      <w:tr>
        <w:trPr/>
        <w:tc>
          <w:tcPr>
            <w:tcW w:w="1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before="1" w:after="283"/>
              <w:jc w:val="center"/>
              <w:rPr/>
            </w:pPr>
            <w:r>
              <w:rPr/>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7"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2" w:before="125" w:after="283"/>
              <w:ind w:left="0" w:right="0" w:hanging="154"/>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7" w:type="dxa"/>
            <w:gridSpan w:val="3"/>
            <w:tcBorders/>
            <w:shd w:fill="auto" w:val="clear"/>
            <w:tcMar>
              <w:top w:w="0" w:type="dxa"/>
              <w:left w:w="0" w:type="dxa"/>
              <w:bottom w:w="0" w:type="dxa"/>
              <w:right w:w="0" w:type="dxa"/>
            </w:tcMar>
            <w:vAlign w:val="center"/>
          </w:tcPr>
          <w:p>
            <w:pPr>
              <w:pStyle w:val="TableContents"/>
              <w:spacing w:lineRule="auto" w:line="242" w:before="12" w:after="283"/>
              <w:ind w:left="0" w:right="0" w:hanging="1"/>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Terms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2"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r>
      <w:tr>
        <w:trPr/>
        <w:tc>
          <w:tcPr>
            <w:tcW w:w="1864"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2021</w:t>
            </w:r>
          </w:p>
        </w:tc>
        <w:tc>
          <w:tcPr>
            <w:tcW w:w="1106"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7"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gridSpan w:val="2"/>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0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r>
      <w:tr>
        <w:trPr/>
        <w:tc>
          <w:tcPr>
            <w:tcW w:w="1864" w:type="dxa"/>
            <w:gridSpan w:val="3"/>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06"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1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0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r>
      <w:tr>
        <w:trPr/>
        <w:tc>
          <w:tcPr>
            <w:tcW w:w="1864"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2022</w:t>
            </w:r>
          </w:p>
        </w:tc>
        <w:tc>
          <w:tcPr>
            <w:tcW w:w="1106"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989,100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7" w:type="dxa"/>
            <w:gridSpan w:val="3"/>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w:t>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tcBorders/>
            <w:shd w:fill="CCED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0" w:type="dxa"/>
            <w:gridSpan w:val="2"/>
            <w:tcBorders/>
            <w:shd w:fill="CCED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r>
    </w:tbl>
    <w:p>
      <w:pPr>
        <w:pStyle w:val="TextBody"/>
        <w:spacing w:before="5"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unrecognized compensation expenses at December 31, 2022 was $1,910,428, which will be recognized over a weighted-average period of 3.50 years.</w:t>
      </w:r>
    </w:p>
    <w:p>
      <w:pPr>
        <w:pStyle w:val="TextBody"/>
        <w:spacing w:before="2" w:after="283"/>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11.INCOME TAXES</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12, 2021, Apex Fintech entered into the Apex Crypto Option with PEAK6 Investments LLC whereby Apex Fintech acquired 100% of the equity of the Company. As a result, for the period January 1, 2021 through February 12, 2021, the Company is treated as a single-member limited liability company owned by PEAK6 Investments LLC, a multi-member limited liability company subject to U.S. taxation as a partnership. Accordingly, the Company’s income during the January 1, 2021 through February 12, 2021 is reported in the Statements of Operations but there is no related U.S. income tax expense as it is the obligation of the individual partners.</w:t>
      </w:r>
    </w:p>
    <w:p>
      <w:pPr>
        <w:pStyle w:val="TextBody"/>
        <w:spacing w:before="4"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Company had income taxes receivable of $1,435,057 and $592,086, respectively, and income taxes payable of $0 and $185,434, respectively, which are included in Other assets and, Accrued expenses and other liabilities, respectively, in the Statements of Financial Condition. The net deferred tax asset of $26,006 and net deferred tax liability $331,688 as of December 31, 2022 and 2021, respectively, is included in Other assets and Accrued expenses and other liabilities, respectively, in the Statements of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53110"/>
                <wp:effectExtent l="0" t="0" r="0" b="0"/>
                <wp:wrapNone/>
                <wp:docPr id="28" name="Frame26"/>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rPr>
          <w:rFonts w:ascii="Times New Roman;sans-serif" w:hAnsi="Times New Roman;sans-serif"/>
          <w:b w:val="false"/>
          <w:color w:val="000000"/>
          <w:sz w:val="20"/>
        </w:rPr>
      </w:pPr>
      <w:r>
        <w:rPr>
          <w:rFonts w:ascii="Times New Roman;sans-serif" w:hAnsi="Times New Roman;sans-serif"/>
          <w:b w:val="false"/>
          <w:color w:val="000000"/>
          <w:sz w:val="20"/>
        </w:rPr>
        <w:t>The reconciliation between the Company’s effective tax rate on income from continuing operations and the statutory tax rate is as follows:</w:t>
      </w:r>
    </w:p>
    <w:p>
      <w:pPr>
        <w:pStyle w:val="TextBody"/>
        <w:spacing w:before="6" w:after="283"/>
        <w:rPr/>
      </w:pPr>
      <w:r>
        <w:rPr/>
      </w:r>
    </w:p>
    <w:tbl>
      <w:tblPr>
        <w:tblW w:w="5342" w:type="dxa"/>
        <w:jc w:val="left"/>
        <w:tblInd w:w="0" w:type="dxa"/>
        <w:tblCellMar>
          <w:top w:w="28" w:type="dxa"/>
          <w:left w:w="28" w:type="dxa"/>
          <w:bottom w:w="28" w:type="dxa"/>
          <w:right w:w="28" w:type="dxa"/>
        </w:tblCellMar>
      </w:tblPr>
      <w:tblGrid>
        <w:gridCol w:w="1173"/>
        <w:gridCol w:w="1029"/>
        <w:gridCol w:w="1038"/>
        <w:gridCol w:w="235"/>
        <w:gridCol w:w="235"/>
        <w:gridCol w:w="235"/>
        <w:gridCol w:w="216"/>
        <w:gridCol w:w="216"/>
        <w:gridCol w:w="216"/>
        <w:gridCol w:w="219"/>
        <w:gridCol w:w="219"/>
        <w:gridCol w:w="311"/>
      </w:tblGrid>
      <w:tr>
        <w:trPr/>
        <w:tc>
          <w:tcPr>
            <w:tcW w:w="1173"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6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40"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tax rate</w:t>
            </w:r>
          </w:p>
        </w:tc>
        <w:tc>
          <w:tcPr>
            <w:tcW w:w="705"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4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64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tcBorders>
            <w:shd w:fill="CCEDFF" w:val="clear"/>
            <w:tcMar>
              <w:top w:w="30" w:type="dxa"/>
              <w:left w:w="0" w:type="dxa"/>
              <w:bottom w:w="0" w:type="dxa"/>
              <w:right w:w="0" w:type="dxa"/>
            </w:tcMar>
            <w:vAlign w:val="center"/>
          </w:tcPr>
          <w:p>
            <w:pPr>
              <w:pStyle w:val="TableContents"/>
              <w:spacing w:lineRule="auto" w:line="240" w:before="4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 deduction</w:t>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r>
      <w:tr>
        <w:trPr/>
        <w:tc>
          <w:tcPr>
            <w:tcW w:w="3240" w:type="dxa"/>
            <w:gridSpan w:val="3"/>
            <w:tcBorders/>
            <w:shd w:fill="CCEDFF"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w:t>
            </w:r>
          </w:p>
        </w:tc>
        <w:tc>
          <w:tcPr>
            <w:tcW w:w="705"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4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705" w:type="dxa"/>
            <w:gridSpan w:val="3"/>
            <w:tcBorders/>
            <w:shd w:fill="auto"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55" w:after="283"/>
              <w:jc w:val="right"/>
              <w:rPr>
                <w:color w:val="000000"/>
              </w:rPr>
            </w:pPr>
            <w:r>
              <w:rPr>
                <w:color w:val="000000"/>
              </w:rPr>
              <w:t xml:space="preserve">— </w:t>
            </w:r>
            <w:r>
              <w:rPr>
                <w:rFonts w:ascii="Times New Roman;sans-serif" w:hAnsi="Times New Roman;sans-serif"/>
                <w:b w:val="false"/>
                <w:color w:val="000000"/>
                <w:sz w:val="20"/>
              </w:rPr>
              <w:t>%</w:t>
            </w:r>
          </w:p>
        </w:tc>
      </w:tr>
      <w:tr>
        <w:trPr/>
        <w:tc>
          <w:tcPr>
            <w:tcW w:w="3240" w:type="dxa"/>
            <w:gridSpan w:val="3"/>
            <w:tcBorders/>
            <w:shd w:fill="CCEDFF"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subject to partnership taxation</w:t>
            </w:r>
          </w:p>
        </w:tc>
        <w:tc>
          <w:tcPr>
            <w:tcW w:w="705"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color w:val="000000"/>
              </w:rPr>
            </w:pPr>
            <w:r>
              <w:rPr>
                <w:color w:val="000000"/>
              </w:rPr>
              <w:t xml:space="preserve">— </w:t>
            </w:r>
            <w:r>
              <w:rPr>
                <w:rFonts w:ascii="Times New Roman;sans-serif" w:hAnsi="Times New Roman;sans-serif"/>
                <w:b w:val="false"/>
                <w:color w:val="000000"/>
                <w:sz w:val="20"/>
              </w:rPr>
              <w:t>%</w:t>
            </w:r>
          </w:p>
        </w:tc>
        <w:tc>
          <w:tcPr>
            <w:tcW w:w="64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CCEDFF" w:val="clear"/>
            <w:tcMar>
              <w:top w:w="0" w:type="dxa"/>
              <w:left w:w="0" w:type="dxa"/>
              <w:bottom w:w="0" w:type="dxa"/>
              <w:right w:w="0" w:type="dxa"/>
            </w:tcMar>
            <w:vAlign w:val="center"/>
          </w:tcPr>
          <w:p>
            <w:pPr>
              <w:pStyle w:val="TableContents"/>
              <w:spacing w:lineRule="auto" w:line="240"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r>
      <w:tr>
        <w:trPr/>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05" w:type="dxa"/>
            <w:gridSpan w:val="3"/>
            <w:tcBorders/>
            <w:shd w:fill="auto" w:val="clear"/>
            <w:tcMar>
              <w:top w:w="0" w:type="dxa"/>
              <w:left w:w="0" w:type="dxa"/>
              <w:bottom w:w="0" w:type="dxa"/>
              <w:right w:w="0" w:type="dxa"/>
            </w:tcMar>
            <w:vAlign w:val="center"/>
          </w:tcPr>
          <w:p>
            <w:pPr>
              <w:pStyle w:val="TableContents"/>
              <w:spacing w:lineRule="auto" w:line="276"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76" w:before="55"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r>
      <w:tr>
        <w:trPr/>
        <w:tc>
          <w:tcPr>
            <w:tcW w:w="3240" w:type="dxa"/>
            <w:gridSpan w:val="3"/>
            <w:tcBorders/>
            <w:shd w:fill="CCEDFF" w:val="clear"/>
            <w:tcMar>
              <w:top w:w="0" w:type="dxa"/>
              <w:left w:w="0" w:type="dxa"/>
              <w:bottom w:w="0" w:type="dxa"/>
              <w:right w:w="0" w:type="dxa"/>
            </w:tcMar>
            <w:vAlign w:val="center"/>
          </w:tcPr>
          <w:p>
            <w:pPr>
              <w:pStyle w:val="TableContents"/>
              <w:spacing w:lineRule="auto" w:line="228" w:before="45" w:after="283"/>
              <w:jc w:val="left"/>
              <w:rPr>
                <w:rFonts w:ascii="Times New Roman;sans-serif" w:hAnsi="Times New Roman;sans-serif"/>
                <w:b/>
                <w:color w:val="000000"/>
                <w:sz w:val="20"/>
              </w:rPr>
            </w:pPr>
            <w:r>
              <w:rPr>
                <w:rFonts w:ascii="Times New Roman;sans-serif" w:hAnsi="Times New Roman;sans-serif"/>
                <w:b/>
                <w:color w:val="000000"/>
                <w:sz w:val="20"/>
              </w:rPr>
              <w:t>Effective tax rate</w:t>
            </w:r>
          </w:p>
        </w:tc>
        <w:tc>
          <w:tcPr>
            <w:tcW w:w="705"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45" w:after="283"/>
              <w:jc w:val="right"/>
              <w:rPr>
                <w:rFonts w:ascii="Times New Roman;sans-serif" w:hAnsi="Times New Roman;sans-serif"/>
                <w:b/>
                <w:color w:val="000000"/>
                <w:sz w:val="20"/>
              </w:rPr>
            </w:pPr>
            <w:r>
              <w:rPr>
                <w:rFonts w:ascii="Times New Roman;sans-serif" w:hAnsi="Times New Roman;sans-serif"/>
                <w:b/>
                <w:color w:val="000000"/>
                <w:sz w:val="20"/>
              </w:rPr>
              <w:t>32.0 %</w:t>
            </w:r>
          </w:p>
        </w:tc>
        <w:tc>
          <w:tcPr>
            <w:tcW w:w="648"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spacing w:lineRule="auto" w:line="228" w:before="45" w:after="283"/>
              <w:jc w:val="right"/>
              <w:rPr>
                <w:rFonts w:ascii="Times New Roman;sans-serif" w:hAnsi="Times New Roman;sans-serif"/>
                <w:b/>
                <w:color w:val="000000"/>
                <w:sz w:val="20"/>
              </w:rPr>
            </w:pPr>
            <w:r>
              <w:rPr>
                <w:rFonts w:ascii="Times New Roman;sans-serif" w:hAnsi="Times New Roman;sans-serif"/>
                <w:b/>
                <w:color w:val="000000"/>
                <w:sz w:val="20"/>
              </w:rPr>
              <w:t>28.2 %</w:t>
            </w:r>
          </w:p>
        </w:tc>
      </w:tr>
    </w:tbl>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deferred tax assets and liabilities are as follows:</w:t>
      </w:r>
    </w:p>
    <w:p>
      <w:pPr>
        <w:pStyle w:val="TextBody"/>
        <w:spacing w:before="0" w:after="0"/>
        <w:rPr/>
      </w:pPr>
      <w:r>
        <w:rPr/>
      </w:r>
    </w:p>
    <w:p>
      <w:pPr>
        <w:pStyle w:val="TextBody"/>
        <w:spacing w:before="0" w:after="0"/>
        <w:rPr/>
      </w:pPr>
      <w:r>
        <w:rPr/>
      </w:r>
    </w:p>
    <w:tbl>
      <w:tblPr>
        <w:tblW w:w="6084" w:type="dxa"/>
        <w:jc w:val="left"/>
        <w:tblInd w:w="0" w:type="dxa"/>
        <w:tblCellMar>
          <w:top w:w="28" w:type="dxa"/>
          <w:left w:w="28" w:type="dxa"/>
          <w:bottom w:w="28" w:type="dxa"/>
          <w:right w:w="28" w:type="dxa"/>
        </w:tblCellMar>
      </w:tblPr>
      <w:tblGrid>
        <w:gridCol w:w="1209"/>
        <w:gridCol w:w="1064"/>
        <w:gridCol w:w="1072"/>
        <w:gridCol w:w="211"/>
        <w:gridCol w:w="826"/>
        <w:gridCol w:w="109"/>
        <w:gridCol w:w="109"/>
        <w:gridCol w:w="109"/>
        <w:gridCol w:w="109"/>
        <w:gridCol w:w="211"/>
        <w:gridCol w:w="901"/>
        <w:gridCol w:w="154"/>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45" w:type="dxa"/>
            <w:gridSpan w:val="3"/>
            <w:tcBorders/>
            <w:shd w:fill="CCEDFF" w:val="clear"/>
            <w:tcMar>
              <w:top w:w="0" w:type="dxa"/>
              <w:left w:w="0" w:type="dxa"/>
              <w:bottom w:w="0" w:type="dxa"/>
              <w:right w:w="0" w:type="dxa"/>
            </w:tcMar>
            <w:vAlign w:val="center"/>
          </w:tcPr>
          <w:p>
            <w:pPr>
              <w:pStyle w:val="TableContents"/>
              <w:spacing w:lineRule="auto" w:line="240" w:before="45" w:after="283"/>
              <w:jc w:val="left"/>
              <w:rPr>
                <w:rFonts w:ascii="Times New Roman;sans-serif" w:hAnsi="Times New Roman;sans-serif"/>
                <w:b/>
                <w:color w:val="000000"/>
                <w:sz w:val="20"/>
              </w:rPr>
            </w:pPr>
            <w:r>
              <w:rPr>
                <w:rFonts w:ascii="Times New Roman;sans-serif" w:hAnsi="Times New Roman;sans-serif"/>
                <w:b/>
                <w:color w:val="000000"/>
                <w:sz w:val="20"/>
              </w:rPr>
              <w:t>Deferred Income Tax Assets:</w:t>
            </w:r>
          </w:p>
        </w:tc>
        <w:tc>
          <w:tcPr>
            <w:tcW w:w="114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D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color w:val="000000"/>
                <w:sz w:val="20"/>
              </w:rPr>
            </w:pPr>
            <w:r>
              <w:rPr>
                <w:rFonts w:ascii="Times New Roman;sans-serif" w:hAnsi="Times New Roman;sans-serif"/>
                <w:b/>
                <w:color w:val="000000"/>
                <w:sz w:val="20"/>
              </w:rPr>
              <w:t>Total deferred tax assets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353,007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40" w:before="55" w:after="283"/>
              <w:jc w:val="left"/>
              <w:rPr>
                <w:rFonts w:ascii="Times New Roman;sans-serif" w:hAnsi="Times New Roman;sans-serif"/>
                <w:b/>
                <w:color w:val="000000"/>
                <w:sz w:val="20"/>
              </w:rPr>
            </w:pPr>
            <w:r>
              <w:rPr>
                <w:rFonts w:ascii="Times New Roman;sans-serif" w:hAnsi="Times New Roman;sans-serif"/>
                <w:b/>
                <w:color w:val="000000"/>
                <w:sz w:val="20"/>
              </w:rPr>
              <w:t>Deferred Income Tax Liabilities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use software development costs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331,688 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28" w:before="45" w:after="283"/>
              <w:jc w:val="left"/>
              <w:rPr>
                <w:rFonts w:ascii="Times New Roman;sans-serif" w:hAnsi="Times New Roman;sans-serif"/>
                <w:b/>
                <w:color w:val="000000"/>
                <w:sz w:val="20"/>
              </w:rPr>
            </w:pPr>
            <w:r>
              <w:rPr>
                <w:rFonts w:ascii="Times New Roman;sans-serif" w:hAnsi="Times New Roman;sans-serif"/>
                <w:b/>
                <w:color w:val="000000"/>
                <w:sz w:val="20"/>
              </w:rPr>
              <w:t>Total deferred tax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327,001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331,688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28" w:before="0" w:after="283"/>
              <w:jc w:val="left"/>
              <w:rPr>
                <w:rFonts w:ascii="Times New Roman;sans-serif" w:hAnsi="Times New Roman;sans-serif"/>
                <w:b/>
                <w:color w:val="000000"/>
                <w:sz w:val="20"/>
              </w:rPr>
            </w:pPr>
            <w:r>
              <w:rPr>
                <w:rFonts w:ascii="Times New Roman;sans-serif" w:hAnsi="Times New Roman;sans-serif"/>
                <w:b/>
                <w:color w:val="000000"/>
                <w:sz w:val="20"/>
              </w:rPr>
              <w:t>Net deferred tax assets (liability)</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(331,688)</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10"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and measures its unrecognized tax benefits and assesses the likelihood, based on their technical merit, that tax positions will be sustained upon examination based on the facts, circumstances, and information available at the end of each period. The measurement of unrecognized tax benefits is adjusted when new information is available or when an event occurs that requires a change.</w:t>
      </w:r>
    </w:p>
    <w:p>
      <w:pPr>
        <w:pStyle w:val="TextBody"/>
        <w:spacing w:before="2"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material uncertain tax positions. As of December 31, 2022, generally the past three years remain subject to examination by various tax jurisdictions under the statute of limitations. In addition, management does not expect a significant change in uncertain tax positions during the twelve months subsequent to December 31, 2022.</w:t>
      </w:r>
    </w:p>
    <w:p>
      <w:pPr>
        <w:pStyle w:val="TextBody"/>
        <w:spacing w:before="3"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12.EMPLOYEE BENEFIT PLAN</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employees participate in Apex Fintech’s defined contribution 401(k) employee benefit plan (the “Plan”) that covers substantially all employees. Under the Plan, the Company may make a discretionary match contribution. All employees are eligible to participate in the Plan, based on meeting certain age and term of employment requirements. The total discretionary match contribution for the years ended December 31, 2022 and 2021 was $127,649 and $38,040, respectively, before forfeitures and is included in Employee compensation and benefits in the Statements of Operations.</w:t>
      </w:r>
    </w:p>
    <w:p>
      <w:pPr>
        <w:pStyle w:val="TextBody"/>
        <w:spacing w:before="4" w:after="283"/>
        <w:rPr/>
      </w:pPr>
      <w:r>
        <w:rPr/>
      </w:r>
    </w:p>
    <w:p>
      <w:pPr>
        <w:pStyle w:val="TextBody"/>
        <w:spacing w:lineRule="auto" w:line="240"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13.RELATED PARTIES TRANSACTIONS</w:t>
      </w:r>
    </w:p>
    <w:p>
      <w:pPr>
        <w:pStyle w:val="TextBody"/>
        <w:spacing w:lineRule="auto" w:line="288" w:before="1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PEAK6 Group LLC are parties to an intercompany expense-sharing agreement that outlines the allocation of direct and indirect costs between the entities which is at management’s discretion. For the years ended December 31, 2022 and 2021, the Company recorded expenses of $4,497,539 and $5,790,685, respectively, attributable to compensation and benefits, and consulting services related to technology, compliance, legal, marketing, and insurance fees that are included in the Statements of Operations. As of December 31, 2022 and 2021, the Company had a payable to PEAK6 Group LLC of $316,477</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53110"/>
                <wp:effectExtent l="0" t="0" r="0" b="0"/>
                <wp:wrapNone/>
                <wp:docPr id="29" name="Frame27"/>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$1,249,592, respectively, that is included in Payables to affiliates in the Statements of Financial Condition. As of December 31, 2022, the Company has a received due from PEAK6 Group LLC of $2,084,853, that is included in Receivables from affiliates in the Statements of Financial Condition.</w:t>
      </w:r>
    </w:p>
    <w:p>
      <w:pPr>
        <w:pStyle w:val="TextBody"/>
        <w:spacing w:before="10"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Apex Clearing Corporation</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ACC have entered into a expense sharing services agreement (“Service Agreement”) that outlines the allocation of direct and indirect costs between the two entities. Under the terms of the Service Agreement, ACC provides various support and other services to the Company and is entitled to fees and other payouts. For the years ended December 31, 2022 and 2021, ACC charged the Company $6,621,771 and $116,764, respectively, under the Service Agreement that are included in various accounts within the Statements of Operations. As of December 31, 2022 and 2021, the Company had a payable to ACC of $100,554 and $32,409, respectively, that is included in Payables to affiliates in the Statements of Financial Condition.</w:t>
      </w:r>
    </w:p>
    <w:p>
      <w:pPr>
        <w:pStyle w:val="TextBody"/>
        <w:spacing w:before="4"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Company has a clearing receivable of $877,077 and $3,645,716, respectively, due from ACC that is included in Receivables from brokers, dealers, correspondents and clearing organizations in the Statements of Financial Condition.</w:t>
      </w:r>
    </w:p>
    <w:p>
      <w:pPr>
        <w:pStyle w:val="TextBody"/>
        <w:spacing w:before="9"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Apex Fintech Solutions Inc.</w:t>
      </w:r>
    </w:p>
    <w:p>
      <w:pPr>
        <w:pStyle w:val="TextBody"/>
        <w:spacing w:lineRule="auto" w:line="288" w:before="1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and 2021, the Company had a payable to Apex Fintech of $100,054 and $4,603, respectively, recorded in the Statements of Financial Condition as Payables to affiliates. The Company recorded $643,295 of expenses in the Statement of Operations, attributable to technology expenses and employee related expenses allocated to the Company.</w:t>
      </w:r>
    </w:p>
    <w:p>
      <w:pPr>
        <w:pStyle w:val="TextBody"/>
        <w:spacing w:before="2" w:after="283"/>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14.CUSTOMER CONCENTRATION</w:t>
      </w:r>
    </w:p>
    <w:p>
      <w:pPr>
        <w:pStyle w:val="TextBody"/>
        <w:spacing w:lineRule="auto" w:line="288" w:before="134" w:after="283"/>
        <w:rPr>
          <w:rFonts w:ascii="Times New Roman;sans-serif" w:hAnsi="Times New Roman;sans-serif"/>
          <w:b/>
          <w:i/>
          <w:color w:val="000000"/>
          <w:sz w:val="20"/>
        </w:rPr>
      </w:pPr>
      <w:r>
        <w:rPr>
          <w:rFonts w:ascii="Times New Roman;sans-serif" w:hAnsi="Times New Roman;sans-serif"/>
          <w:b/>
          <w:i/>
          <w:color w:val="000000"/>
          <w:sz w:val="20"/>
        </w:rPr>
        <w:t>Concentration of Business</w:t>
      </w:r>
    </w:p>
    <w:p>
      <w:pPr>
        <w:pStyle w:val="TextBody"/>
        <w:spacing w:lineRule="auto" w:line="288" w:before="130" w:after="283"/>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2022, one client accounted for approximately 82.9% of the Company’s business in aggregate.</w:t>
      </w:r>
    </w:p>
    <w:p>
      <w:pPr>
        <w:pStyle w:val="TextBody"/>
        <w:spacing w:before="8"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Concentration of Receivables</w:t>
      </w:r>
    </w:p>
    <w:p>
      <w:pPr>
        <w:pStyle w:val="TextBody"/>
        <w:spacing w:lineRule="auto" w:line="288" w:before="130" w:after="283"/>
        <w:rPr>
          <w:rFonts w:ascii="Times New Roman;sans-serif" w:hAnsi="Times New Roman;sans-serif"/>
          <w:b w:val="false"/>
          <w:color w:val="000000"/>
          <w:sz w:val="20"/>
        </w:rPr>
      </w:pPr>
      <w:r>
        <w:rPr>
          <w:rFonts w:ascii="Times New Roman;sans-serif" w:hAnsi="Times New Roman;sans-serif"/>
          <w:b w:val="false"/>
          <w:color w:val="000000"/>
          <w:sz w:val="20"/>
        </w:rPr>
        <w:t>As of December 31, 2022, no client accounted for more than 10% of receivables.</w:t>
      </w:r>
    </w:p>
    <w:p>
      <w:pPr>
        <w:pStyle w:val="TextBody"/>
        <w:spacing w:before="10" w:after="283"/>
        <w:rPr/>
      </w:pPr>
      <w:r>
        <w:rPr/>
      </w:r>
    </w:p>
    <w:p>
      <w:pPr>
        <w:pStyle w:val="TextBody"/>
        <w:spacing w:lineRule="auto" w:line="288" w:before="1" w:after="283"/>
        <w:ind w:left="0" w:right="0" w:hanging="720"/>
        <w:rPr>
          <w:rFonts w:ascii="Times New Roman;sans-serif" w:hAnsi="Times New Roman;sans-serif"/>
          <w:b/>
          <w:color w:val="000000"/>
          <w:sz w:val="20"/>
        </w:rPr>
      </w:pPr>
      <w:r>
        <w:rPr>
          <w:rFonts w:ascii="Times New Roman;sans-serif" w:hAnsi="Times New Roman;sans-serif"/>
          <w:b/>
          <w:color w:val="000000"/>
          <w:sz w:val="20"/>
        </w:rPr>
        <w:t>15.FINANCIAL INSTRUMENTS WITH OFF-BALANCE SHEET RISK</w:t>
      </w:r>
    </w:p>
    <w:p>
      <w:pPr>
        <w:pStyle w:val="TextBody"/>
        <w:spacing w:lineRule="auto" w:line="288" w:before="130" w:after="283"/>
        <w:rPr>
          <w:rFonts w:ascii="Times New Roman;sans-serif" w:hAnsi="Times New Roman;sans-serif"/>
          <w:b/>
          <w:i/>
          <w:color w:val="000000"/>
          <w:sz w:val="20"/>
        </w:rPr>
      </w:pPr>
      <w:r>
        <w:rPr>
          <w:rFonts w:ascii="Times New Roman;sans-serif" w:hAnsi="Times New Roman;sans-serif"/>
          <w:b/>
          <w:i/>
          <w:color w:val="000000"/>
          <w:sz w:val="20"/>
        </w:rPr>
        <w:t>Cryptocurrencies Risk</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risks including market risk, liquidity risk and other risks related to its digital asset holdings. Digital asset prices have been volatile and subject to influence by many factors including the level of liquidity and the Company may experience losses.</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a risk that some, or all, of the Company’s and customers’ cryptocurrencies could be lost or stolen. Further, digital asset movements are irrevocable and, if stolen or incorrectly transferred, cryptocurrencies may be irretrievable.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the private keys for digital asset addresses are lost, destroyed or otherwise compromised and no backup of private keys are accessible, the Company may be unable to access the digital currencies held in the associated address and the private key will not be capable of being restored by the digital asset networks. The processes by which digital asset transactions are settled is subject to operational risk. Third party service providers may be vulnerable to hacking or other malicious activities.</w:t>
      </w:r>
    </w:p>
    <w:p>
      <w:pPr>
        <w:pStyle w:val="TextBody"/>
        <w:spacing w:before="2"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above factors contribute to the uncertainty with respect to the future viability and value of cryptocurrencies.</w:t>
      </w:r>
    </w:p>
    <w:p>
      <w:pPr>
        <w:pStyle w:val="TextBody"/>
        <w:spacing w:before="5"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Credit Risk and Concentration of Credit Risk</w:t>
      </w:r>
    </w:p>
    <w:p>
      <w:pPr>
        <w:pStyle w:val="TextBody"/>
        <w:spacing w:lineRule="auto" w:line="288" w:before="133"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risk arises from the potential inability of counterparties to perform in accordance with the terms of the contract. The Company's exposure to credit risk associated with counterparty nonperformance is limited to the current cost to replace all contracts.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192" w:before="0" w:after="0"/>
        <w:jc w:val="center"/>
        <w:rPr>
          <w:rFonts w:ascii="Times New Roman;sans-serif" w:hAnsi="Times New Roman;sans-serif"/>
          <w:b/>
          <w:color w:val="000000"/>
          <w:sz w:val="20"/>
        </w:rPr>
      </w:pPr>
      <w:r>
        <w:rPr>
          <w:rFonts w:ascii="Times New Roman;sans-serif" w:hAnsi="Times New Roman;sans-serif"/>
          <w:b/>
          <w:color w:val="000000"/>
          <w:sz w:val="20"/>
        </w:rPr>
        <w:t>A</w:t>
      </w:r>
      <w:r>
        <w:rPr>
          <w:rFonts w:ascii="Times New Roman;sans-serif" w:hAnsi="Times New Roman;sans-serif"/>
          <w:b/>
          <w:color w:val="000000"/>
          <w:sz w:val="20"/>
        </w:rPr>
        <w:t>PEX CRYPTO LLC</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53110"/>
                <wp:effectExtent l="0" t="0" r="0" b="0"/>
                <wp:wrapNone/>
                <wp:docPr id="30" name="Frame28"/>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179.35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spacing w:before="0" w:after="283"/>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spacing w:before="5" w:after="283"/>
        <w:rPr/>
      </w:pPr>
      <w:r>
        <w:rPr/>
      </w:r>
    </w:p>
    <w:p>
      <w:pPr>
        <w:pStyle w:val="TextBody"/>
        <w:spacing w:lineRule="auto" w:line="288" w:before="91"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various transactions with corresponding brokers and over the counter trading counterparties. In the event these counterparties do not fulfill their obligations, the Company may be exposed to risk. It is the Company's policy to monitor the creditworthiness of each party with which it conducts business.</w:t>
      </w:r>
    </w:p>
    <w:p>
      <w:pPr>
        <w:pStyle w:val="TextBody"/>
        <w:spacing w:before="1" w:after="283"/>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cash in bank deposit accounts. The Company has not experienced any losses in such accounts. Management believes that the Company is not exposed to any significant credit risk on cash deposits.</w:t>
      </w:r>
    </w:p>
    <w:p>
      <w:pPr>
        <w:pStyle w:val="TextBody"/>
        <w:spacing w:before="2" w:after="283"/>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16.SUBSEQUENT EVENTS</w:t>
      </w:r>
    </w:p>
    <w:p>
      <w:pPr>
        <w:pStyle w:val="TextBody"/>
        <w:spacing w:lineRule="auto" w:line="288" w:before="134"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subsequent events through the date on which the financial statements were issued. Other than the below items, there have been no material subsequent events that occurred during this period that could require an adjustment to these financial statements.</w:t>
      </w:r>
    </w:p>
    <w:p>
      <w:pPr>
        <w:pStyle w:val="TextBody"/>
        <w:spacing w:before="0" w:after="0"/>
        <w:rPr/>
      </w:pPr>
      <w:r>
        <w:rPr/>
      </w:r>
    </w:p>
    <w:p>
      <w:pPr>
        <w:pStyle w:val="TextBody"/>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 2022, Apex Fintech entered into a definitive agreement to sell the Company to Bakkt Holdings, Inc. The transaction closed on April 1, 2023.</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53110"/>
                <wp:effectExtent l="0" t="0" r="0" b="0"/>
                <wp:wrapNone/>
                <wp:docPr id="31" name="Frame29"/>
                <a:graphic xmlns:a="http://schemas.openxmlformats.org/drawingml/2006/main">
                  <a:graphicData uri="http://schemas.microsoft.com/office/word/2010/wordprocessingShape">
                    <wps:wsp>
                      <wps:cNvSpPr txBox="1"/>
                      <wps:spPr>
                        <a:xfrm>
                          <a:off x="0" y="0"/>
                          <a:ext cx="6480175" cy="753110"/>
                        </a:xfrm>
                        <a:prstGeom prst="rect"/>
                      </wps:spPr>
                      <wps:txb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spacing w:lineRule="auto" w:line="240" w:before="11"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spacing w:before="0" w:after="283"/>
                        <w:rPr/>
                      </w:pPr>
                      <w:r>
                        <w:rPr/>
                      </w:r>
                    </w:p>
                  </w:txbxContent>
                </v:textbox>
              </v:rect>
            </w:pict>
          </mc:Fallback>
        </mc:AlternateContent>
      </w:r>
    </w:p>
    <w:p>
      <w:pPr>
        <w:pStyle w:val="TextBody"/>
        <w:spacing w:lineRule="auto" w:line="268" w:before="0" w:after="0"/>
        <w:jc w:val="right"/>
        <w:rPr>
          <w:rFonts w:ascii="Times New Roman;sans-serif" w:hAnsi="Times New Roman;sans-serif"/>
          <w:b/>
          <w:color w:val="000000"/>
          <w:sz w:val="18"/>
        </w:rPr>
      </w:pPr>
      <w:r>
        <w:rPr>
          <w:rFonts w:ascii="Times New Roman;sans-serif" w:hAnsi="Times New Roman;sans-serif"/>
          <w:b/>
          <w:color w:val="000000"/>
          <w:sz w:val="18"/>
        </w:rPr>
        <w:t>Exhibit 99.2</w:t>
      </w:r>
    </w:p>
    <w:p>
      <w:pPr>
        <w:pStyle w:val="TextBody"/>
        <w:spacing w:before="0" w:after="0"/>
        <w:jc w:val="right"/>
        <w:rPr/>
      </w:pPr>
      <w:r>
        <w:rPr/>
      </w:r>
    </w:p>
    <w:p>
      <w:pPr>
        <w:pStyle w:val="TextBody"/>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UNAUDITED PRO FORMA CONDENSED COMBINED FINANCIAL INFORMATION</w:t>
      </w:r>
    </w:p>
    <w:p>
      <w:pPr>
        <w:pStyle w:val="TextBody"/>
        <w:spacing w:lineRule="auto" w:line="268" w:before="120" w:after="283"/>
        <w:rPr>
          <w:rFonts w:ascii="Times New Roman;sans-serif" w:hAnsi="Times New Roman;sans-serif"/>
          <w:b/>
          <w:color w:val="000000"/>
          <w:sz w:val="18"/>
        </w:rPr>
      </w:pPr>
      <w:r>
        <w:rPr>
          <w:rFonts w:ascii="Times New Roman;sans-serif" w:hAnsi="Times New Roman;sans-serif"/>
          <w:b/>
          <w:color w:val="000000"/>
          <w:sz w:val="18"/>
        </w:rPr>
        <w:t>Introduction: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unaudited pro forma condensed combined financial information is prepared in accordance with Article 11 of Regulation S-X. The unaudited pro forma condensed combined financial information presents the pro forma effects of the acquisition of Apex Crypto LLC (“Apex”) by Bakkt Holdings, Inc. (the “Company”) on April 1, 2023 (the “Acquisition”). Apex is a financial technology company with an integrated crypto trading platform that was wholly owned by Apex Fintech Solutions, Inc. (“AFS”).</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unaudited pro forma condensed combined financial information is based upon, and should be read in conjunction with, the historical financial statements and related notes of the Company and Apex. The pro forma financial statements have been presented for information purposes only and are not necessarily indicative of what the Company’s balance sheet or statement of operations actually would have been had the Acquisition been completed as of the dates indicated, nor do they purport to project the future financial position or operating results of the Company.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Acquisition.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unaudited pro forma condensed combined balance sheet combines Apex’s audited historical consolidated balance sheet as of December 31, 2022 and the Company’s audited historical consolidated balance sheet as of December 31, 2022, giving effect to the Acquisition as if it had been consummated on December 31, 2022. The unaudited pro forma condensed combined statements of operations for the year ended December 31, 2022 give pro forma effect of the Acquisition as if it had been consummated on January 1, 2022. We refer to the unaudited pro forma condensed combined balance sheet and the unaudited pro forma condensed combined statement of operations as the “pro forma financial statements.”</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pro forma financial statements were prepared using the acquisition method of accounting under the provisions of ASC 805 (“ASC 805”) on the basis of the Company as the accounting acquirer and Apex as the accounting acquiree. Under the acquisition method of accounting, the purchase price is allocated to the tangible and identifiable intangible assets acquired and liabilities assumed of Apex, based on their estimated acquisition-date fair values. These estimates are determined through established and generally accepted valuation techniques. Estimated transaction costs incurred are expensed in the pro forma condensed combined statements of operation as if the Closing occurred on January 1, 2022.</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unaudited pro forma condensed combined balance sheet as of December 31, 2022 and the unaudited pro forma condensed combined statement of operations for the year ended December 31, 2022 are based on the historical financial statements of the Company and Apex, each as filed with the Securities and Exchange Commission (the “SEC”).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120" w:after="283"/>
        <w:jc w:val="center"/>
        <w:rPr>
          <w:rFonts w:ascii="Times New Roman;sans-serif" w:hAnsi="Times New Roman;sans-serif"/>
          <w:b/>
          <w:color w:val="000000"/>
          <w:sz w:val="18"/>
        </w:rPr>
      </w:pPr>
      <w:r>
        <w:rPr>
          <w:rFonts w:ascii="Times New Roman;sans-serif" w:hAnsi="Times New Roman;sans-serif"/>
          <w:b/>
          <w:color w:val="000000"/>
          <w:sz w:val="18"/>
        </w:rPr>
        <w:t>Unaudited Pro Forma Condensed Combined Balance Sheet as of December 31, 2022</w:t>
      </w:r>
    </w:p>
    <w:tbl>
      <w:tblPr>
        <w:tblW w:w="10205" w:type="dxa"/>
        <w:jc w:val="center"/>
        <w:tblInd w:w="0" w:type="dxa"/>
        <w:tblCellMar>
          <w:top w:w="28" w:type="dxa"/>
          <w:left w:w="28" w:type="dxa"/>
          <w:bottom w:w="28" w:type="dxa"/>
          <w:right w:w="28" w:type="dxa"/>
        </w:tblCellMar>
      </w:tblPr>
      <w:tblGrid>
        <w:gridCol w:w="901"/>
        <w:gridCol w:w="715"/>
        <w:gridCol w:w="601"/>
        <w:gridCol w:w="409"/>
        <w:gridCol w:w="1167"/>
        <w:gridCol w:w="230"/>
        <w:gridCol w:w="109"/>
        <w:gridCol w:w="109"/>
        <w:gridCol w:w="109"/>
        <w:gridCol w:w="403"/>
        <w:gridCol w:w="1147"/>
        <w:gridCol w:w="226"/>
        <w:gridCol w:w="109"/>
        <w:gridCol w:w="109"/>
        <w:gridCol w:w="109"/>
        <w:gridCol w:w="478"/>
        <w:gridCol w:w="1178"/>
        <w:gridCol w:w="270"/>
        <w:gridCol w:w="161"/>
        <w:gridCol w:w="161"/>
        <w:gridCol w:w="161"/>
        <w:gridCol w:w="289"/>
        <w:gridCol w:w="820"/>
        <w:gridCol w:w="234"/>
      </w:tblGrid>
      <w:tr>
        <w:trPr/>
        <w:tc>
          <w:tcPr>
            <w:tcW w:w="90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17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 Financials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w:t>
            </w:r>
          </w:p>
        </w:tc>
        <w:tc>
          <w:tcPr>
            <w:tcW w:w="18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Bakkt (Historical as of 12/31/2022)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Apex (Historical as of 12/31/2022)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Transaction Accounting Adjustments</w:t>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 Combined</w:t>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8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4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98.3 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 B, D</w:t>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Available-for-sale securities</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insurance</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Safeguarding asset for crypto</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480.6 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496.4 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(78.0)</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software, net</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w:t>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w:t>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 C</w:t>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with clearinghouse</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w:t>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80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8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4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 E</w:t>
            </w:r>
          </w:p>
        </w:tc>
        <w:tc>
          <w:tcPr>
            <w:tcW w:w="28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funds payable</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current</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party</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w:t>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Safeguarding obligation for crypto</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480.6 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496.4 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5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92.2 </w:t>
            </w:r>
          </w:p>
        </w:tc>
        <w:tc>
          <w:tcPr>
            <w:tcW w:w="23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487.0 </w:t>
            </w:r>
          </w:p>
        </w:tc>
        <w:tc>
          <w:tcPr>
            <w:tcW w:w="2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27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575.6 </w:t>
            </w:r>
          </w:p>
        </w:tc>
        <w:tc>
          <w:tcPr>
            <w:tcW w:w="2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noncurrent</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 liability</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liabilities, net</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noncurrent liabilities</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487.0 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V common stock</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Member’s equity</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w:t>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773.0 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w:t>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782.1 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5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(676.4)</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w:t>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(683.6)</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w:t>
            </w:r>
          </w:p>
        </w:tc>
        <w:tc>
          <w:tcPr>
            <w:tcW w:w="15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239.8 </w:t>
            </w:r>
          </w:p>
        </w:tc>
        <w:tc>
          <w:tcPr>
            <w:tcW w:w="23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239.8 </w:t>
            </w:r>
          </w:p>
        </w:tc>
        <w:tc>
          <w:tcPr>
            <w:tcW w:w="2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equity</w:t>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4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455.6 </w:t>
            </w:r>
          </w:p>
        </w:tc>
        <w:tc>
          <w:tcPr>
            <w:tcW w:w="2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519.9 </w:t>
            </w:r>
          </w:p>
        </w:tc>
        <w:tc>
          <w:tcPr>
            <w:tcW w:w="2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7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w:t>
            </w:r>
          </w:p>
        </w:tc>
        <w:tc>
          <w:tcPr>
            <w:tcW w:w="27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940.9 </w:t>
            </w:r>
          </w:p>
        </w:tc>
        <w:tc>
          <w:tcPr>
            <w:tcW w:w="2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lineRule="auto" w:line="268" w:before="120" w:after="283"/>
        <w:ind w:left="0" w:right="0" w:firstLine="72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Notes to Unaudited Pro Forma Condensed Combined Financial Statements.</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12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Unaudited Pro Forma Condensed Combined Statement of Operations for the Year Ended December 31, 2022</w:t>
      </w:r>
    </w:p>
    <w:tbl>
      <w:tblPr>
        <w:tblW w:w="10205" w:type="dxa"/>
        <w:jc w:val="center"/>
        <w:tblInd w:w="0" w:type="dxa"/>
        <w:tblCellMar>
          <w:top w:w="28" w:type="dxa"/>
          <w:left w:w="28" w:type="dxa"/>
          <w:bottom w:w="28" w:type="dxa"/>
          <w:right w:w="28" w:type="dxa"/>
        </w:tblCellMar>
      </w:tblPr>
      <w:tblGrid>
        <w:gridCol w:w="1291"/>
        <w:gridCol w:w="718"/>
        <w:gridCol w:w="724"/>
        <w:gridCol w:w="478"/>
        <w:gridCol w:w="1118"/>
        <w:gridCol w:w="198"/>
        <w:gridCol w:w="109"/>
        <w:gridCol w:w="109"/>
        <w:gridCol w:w="109"/>
        <w:gridCol w:w="339"/>
        <w:gridCol w:w="1197"/>
        <w:gridCol w:w="188"/>
        <w:gridCol w:w="109"/>
        <w:gridCol w:w="109"/>
        <w:gridCol w:w="109"/>
        <w:gridCol w:w="445"/>
        <w:gridCol w:w="923"/>
        <w:gridCol w:w="249"/>
        <w:gridCol w:w="115"/>
        <w:gridCol w:w="115"/>
        <w:gridCol w:w="116"/>
        <w:gridCol w:w="289"/>
        <w:gridCol w:w="850"/>
        <w:gridCol w:w="198"/>
      </w:tblGrid>
      <w:tr>
        <w:trPr/>
        <w:tc>
          <w:tcPr>
            <w:tcW w:w="1291"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2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 Financials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 except share and per share data)</w:t>
            </w:r>
          </w:p>
        </w:tc>
        <w:tc>
          <w:tcPr>
            <w:tcW w:w="17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Bakkt (Historical Year Ended 12/31/2022)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Apex (Historical Year Ended 12/31/2022)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Transaction Accounting Adjustments</w:t>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 Combined</w:t>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revenues</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3,071.4 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3,126.0 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Cryptocurrencies costs</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3,062.8 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BB</w:t>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3,063.4 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Compensation and benefits</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AA</w:t>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Professional services</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Technology and communication</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Selling, general and administrative</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expenses</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CC</w:t>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DD</w:t>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Related party expenses</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 and intangible assets impairments</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1,822.1 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long-lived assets</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expenses</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expenses</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2,073.5 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3,080.3 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5,161.7 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loss</w:t>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(2,018.9)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(2,035.7)</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(expense), net</w:t>
            </w:r>
          </w:p>
        </w:tc>
        <w:tc>
          <w:tcPr>
            <w:tcW w:w="15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(loss) from change in fair value of warrant liability</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 net</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w:t>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(2,001.2)</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EE</w:t>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5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(1,989.9)</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(2,006.6)</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Net loss attributable to noncontrolling interest</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(1,411.8)</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FF</w:t>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(1,423.0)</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Bakkt Holdings, Inc.</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(578.1)</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Earnings per share</w:t>
            </w:r>
          </w:p>
        </w:tc>
        <w:tc>
          <w:tcPr>
            <w:tcW w:w="17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outstanding of Class A common shares (basic)</w:t>
            </w:r>
          </w:p>
        </w:tc>
        <w:tc>
          <w:tcPr>
            <w:tcW w:w="15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71,167,992 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77,308,519 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per share (basic)</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outstanding of Class A common shares (diluted)</w:t>
            </w:r>
          </w:p>
        </w:tc>
        <w:tc>
          <w:tcPr>
            <w:tcW w:w="15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71,167,992 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77,308,519 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per share (diluted)</w:t>
            </w:r>
          </w:p>
        </w:tc>
        <w:tc>
          <w:tcPr>
            <w:tcW w:w="47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before="120" w:after="283"/>
        <w:ind w:left="0" w:right="0" w:firstLine="720"/>
        <w:jc w:val="center"/>
        <w:rPr/>
      </w:pPr>
      <w:r>
        <w:rPr/>
      </w:r>
    </w:p>
    <w:p>
      <w:pPr>
        <w:pStyle w:val="TextBody"/>
        <w:spacing w:lineRule="auto" w:line="268" w:before="120" w:after="283"/>
        <w:ind w:left="0" w:right="0" w:firstLine="720"/>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Notes to Unaudited Pro Forma Condensed Combined Financial Statements.</w:t>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120" w:after="283"/>
        <w:ind w:left="0" w:right="0" w:firstLine="720"/>
        <w:jc w:val="center"/>
        <w:rPr>
          <w:rFonts w:ascii="Times New Roman;sans-serif" w:hAnsi="Times New Roman;sans-serif"/>
          <w:b/>
          <w:color w:val="000000"/>
          <w:sz w:val="18"/>
        </w:rPr>
      </w:pPr>
      <w:r>
        <w:rPr>
          <w:rFonts w:ascii="Times New Roman;sans-serif" w:hAnsi="Times New Roman;sans-serif"/>
          <w:b/>
          <w:color w:val="000000"/>
          <w:sz w:val="18"/>
        </w:rPr>
        <w:t>Notes to Unaudited Pro Forma Condensed Combined Financial Information</w:t>
      </w:r>
    </w:p>
    <w:p>
      <w:pPr>
        <w:pStyle w:val="TextBody"/>
        <w:spacing w:lineRule="auto" w:line="268" w:before="240" w:after="283"/>
        <w:ind w:left="0" w:right="0" w:hanging="180"/>
        <w:rPr>
          <w:rFonts w:ascii="Times New Roman;sans-serif" w:hAnsi="Times New Roman;sans-serif"/>
          <w:b/>
          <w:color w:val="000000"/>
          <w:sz w:val="18"/>
        </w:rPr>
      </w:pPr>
      <w:r>
        <w:rPr>
          <w:rFonts w:ascii="Times New Roman;sans-serif" w:hAnsi="Times New Roman;sans-serif"/>
          <w:b/>
          <w:color w:val="000000"/>
          <w:sz w:val="18"/>
        </w:rPr>
        <w:t>1.Basis of Pro Forma Presentation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unaudited pro forma condensed combined financial statements have been prepared using the acquisition method of accounting with the Company as the acquiring entity. Under the acquisition method of accounting, the Company’s assets and liabilities will retain their carrying values and the assets and liabilities associated with Apex are recorded at their fair values measured as of the acquisition date. The excess of the purchase price over the estimated fair values of the net assets acquired, if applicable, are recorded as goodwill. The acquisition method of accounting is based on ASC 805 and uses the fair value concepts defined in ASC Topic 820, Fair Value Measurements (“ASC 820”). In general, ASC 805 requires, among other things, that assets acquired and liabilities assumed be recognized at their fair values as of the acquisition date by the Company, who was determined to be the accounting acquirer.</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pro forma adjustments represent management’s estimates based on information available as of the date of the filing of the condensed combined financial statements and do not reflect possible adjustments related to restructuring or integration activities that have yet to be determined. Further, estimated one-time transaction-related expenses incurred in connection with the consummation of the Acquisition are presented in the unaudited pro forma condensed combined statement of operations as if it was consummated on January 1, 2022. The impact of such transaction expenses incurred prior to the Acquisition on April 1, 2023 are reflected in the unaudited pro forma condensed combined balance sheet as reductions to the accrued liabilities and a decrease to cash, whereas such transaction expenses incurred concurrently with the consummation of the Acquisition are reflected as an adjustment to retained earnings and a decrease to cash. Such transaction expenses incurred and paid by Apex prior to the Acquisition have been adjusted as part of the Apex equity close out adjustment.</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pro forma condensed combined financial statements were prepared using the acquisition method of accounting in accordance with ASC 805 and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Acquisition based on information available to management at this time and that the pro forma adjustments give appropriate effect to those assumptions and are properly applied in the unaudited pro forma condensed combined financial information.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The unaudited pro forma condensed combined balance sheet as of December 31, 2022 gives pro forma effect to the Acquisition as if it had been consummated on December 31, 2022. The unaudited pro forma condensed combined statement of operations for the year ended December 31, 2022 present the pro forma effect of the Acquisition as if it had been consummated on January 1, 2022. </w:t>
      </w:r>
    </w:p>
    <w:p>
      <w:pPr>
        <w:pStyle w:val="TextBody"/>
        <w:spacing w:lineRule="auto" w:line="268" w:before="240" w:after="283"/>
        <w:ind w:left="0" w:right="0" w:hanging="180"/>
        <w:jc w:val="both"/>
        <w:rPr>
          <w:rFonts w:ascii="Times New Roman;sans-serif" w:hAnsi="Times New Roman;sans-serif"/>
          <w:b/>
          <w:color w:val="000000"/>
          <w:sz w:val="18"/>
        </w:rPr>
      </w:pPr>
      <w:r>
        <w:rPr>
          <w:rFonts w:ascii="Times New Roman;sans-serif" w:hAnsi="Times New Roman;sans-serif"/>
          <w:b/>
          <w:color w:val="000000"/>
          <w:sz w:val="18"/>
        </w:rPr>
        <w:t>2.Description of the Acquisition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Pursuant to the Apex Crypto LLC Membership Interest Purchase Agreement dated November 2, 2022, the Company received all of the membership interests of Apex for consideration consisting of an initial purchase price of $55.0 million in cash, up to $45.0 million in shares of our Class A common stock that may be earned if Apex achieved certain profitability targets for the fourth quarter of 2022, and up to an additional $100.0 million in shares of our Class A common stock depending on Apex’s achievement of certain financial targets through 2025. The actual achievement of the fourth quarter 2022 profitability growth target resulted in $9.1 million Class A common stock issuable to AFS.</w:t>
      </w:r>
    </w:p>
    <w:p>
      <w:pPr>
        <w:pStyle w:val="TextBody"/>
        <w:spacing w:lineRule="auto" w:line="268" w:before="240" w:after="283"/>
        <w:ind w:left="0" w:right="0" w:hanging="180"/>
        <w:jc w:val="both"/>
        <w:rPr>
          <w:rFonts w:ascii="Times New Roman;sans-serif" w:hAnsi="Times New Roman;sans-serif"/>
          <w:b/>
          <w:color w:val="000000"/>
          <w:sz w:val="18"/>
        </w:rPr>
      </w:pPr>
      <w:r>
        <w:rPr>
          <w:rFonts w:ascii="Times New Roman;sans-serif" w:hAnsi="Times New Roman;sans-serif"/>
          <w:b/>
          <w:color w:val="000000"/>
          <w:sz w:val="18"/>
        </w:rPr>
        <w:t>3.Transaction Accounting Adjustments to Pro Forma Condensed Combined Balance Sheet</w:t>
      </w:r>
    </w:p>
    <w:p>
      <w:pPr>
        <w:pStyle w:val="TextBody"/>
        <w:spacing w:lineRule="auto" w:line="268" w:before="120" w:after="283"/>
        <w:rPr>
          <w:rFonts w:ascii="Times New Roman;sans-serif" w:hAnsi="Times New Roman;sans-serif"/>
          <w:b w:val="false"/>
          <w:color w:val="000000"/>
          <w:sz w:val="18"/>
        </w:rPr>
      </w:pPr>
      <w:r>
        <w:rPr>
          <w:rFonts w:ascii="Times New Roman;sans-serif" w:hAnsi="Times New Roman;sans-serif"/>
          <w:b w:val="false"/>
          <w:color w:val="000000"/>
          <w:sz w:val="18"/>
        </w:rPr>
        <w:t>Explanations of the transaction accounting adjustments to the pro forma balance sheet are as follows:</w:t>
      </w:r>
    </w:p>
    <w:p>
      <w:pPr>
        <w:pStyle w:val="TextBody"/>
        <w:spacing w:lineRule="auto" w:line="268" w:before="120" w:after="283"/>
        <w:rPr>
          <w:rFonts w:ascii="Times New Roman;sans-serif" w:hAnsi="Times New Roman;sans-serif"/>
          <w:b w:val="false"/>
          <w:color w:val="000000"/>
          <w:sz w:val="18"/>
        </w:rPr>
      </w:pPr>
      <w:r>
        <w:rPr>
          <w:rFonts w:ascii="Times New Roman;sans-serif" w:hAnsi="Times New Roman;sans-serif"/>
          <w:b w:val="false"/>
          <w:color w:val="000000"/>
          <w:sz w:val="18"/>
        </w:rPr>
        <w:t>(A) Represents adjustments to cash due to the following inflows and outflows as a result of the Acquisition.</w:t>
      </w:r>
    </w:p>
    <w:tbl>
      <w:tblPr>
        <w:tblW w:w="3392" w:type="dxa"/>
        <w:jc w:val="center"/>
        <w:tblInd w:w="0" w:type="dxa"/>
        <w:tblCellMar>
          <w:top w:w="28" w:type="dxa"/>
          <w:left w:w="28" w:type="dxa"/>
          <w:bottom w:w="28" w:type="dxa"/>
          <w:right w:w="28" w:type="dxa"/>
        </w:tblCellMar>
      </w:tblPr>
      <w:tblGrid>
        <w:gridCol w:w="788"/>
        <w:gridCol w:w="692"/>
        <w:gridCol w:w="694"/>
        <w:gridCol w:w="109"/>
        <w:gridCol w:w="109"/>
        <w:gridCol w:w="109"/>
        <w:gridCol w:w="196"/>
        <w:gridCol w:w="541"/>
        <w:gridCol w:w="154"/>
      </w:tblGrid>
      <w:tr>
        <w:trPr/>
        <w:tc>
          <w:tcPr>
            <w:tcW w:w="78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consideration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working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Buyer transaction costs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(78.0)</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Represents the Company’s transaction costs that were incurred with the Acquisition but not paid as of December, 31, 2022. </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(B) Represents the adjustment for the estimated preliminary purchase price allocation for the Apex business resulting from the Acquisition. The preliminary calculation of total consideration and allocation of the purchase price to the fair value of Apex’s assets acquired and liabilities assumed is presented below as if the Acquisition was consummated on December 31, 2022. The total consideration includes $55.0 million in cash, approximately $9.1 million in Class A common stock payable based on Apex’s performance in Q4 of 2022, and $12.2 million of cash paid for net working capital, which was predominantly cash held in banks. We may pay up to $100.0 million of our Class A common stock in additional consideration depending on Apex’s achievement of certain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financial targets through 2025, though as of the Acquisition date the Company does not anticipate issuing additional consideration and no material fair value was attributed to the contingent consideration. The Company’s evaluation of the fair value contingent consideration payable and of assets acquired and the liabilities assumed is preliminary and, accordingly, the adjustments to record the assets acquired and liabilities assumed at fair value reflect the best estimates of the Company based on the information currently available and are subject to change once additional analyses are completed. Potential differences may include, but are not limited to, changes in the composition of the balance sheet as of the Acquisition date which may change the allocation to intangible assets.</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The following is a preliminary estimate of the fair value of consideration transferred in the Acquisition.</w:t>
      </w:r>
    </w:p>
    <w:tbl>
      <w:tblPr>
        <w:tblW w:w="6356" w:type="dxa"/>
        <w:jc w:val="center"/>
        <w:tblInd w:w="0" w:type="dxa"/>
        <w:tblCellMar>
          <w:top w:w="28" w:type="dxa"/>
          <w:left w:w="28" w:type="dxa"/>
          <w:bottom w:w="28" w:type="dxa"/>
          <w:right w:w="28" w:type="dxa"/>
        </w:tblCellMar>
      </w:tblPr>
      <w:tblGrid>
        <w:gridCol w:w="1837"/>
        <w:gridCol w:w="1614"/>
        <w:gridCol w:w="1619"/>
        <w:gridCol w:w="109"/>
        <w:gridCol w:w="109"/>
        <w:gridCol w:w="109"/>
        <w:gridCol w:w="230"/>
        <w:gridCol w:w="548"/>
        <w:gridCol w:w="181"/>
      </w:tblGrid>
      <w:tr>
        <w:trPr/>
        <w:tc>
          <w:tcPr>
            <w:tcW w:w="1837"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consideration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working capital and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 at transaction close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Estimated fair value of Class A common stock contingent consideration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Safeguarding asset for crypto</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equipment and software,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 developed 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 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Safeguarding obligation for crypto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ind w:left="0" w:right="0" w:firstLine="720"/>
        <w:jc w:val="both"/>
        <w:rPr/>
      </w:pPr>
      <w:r>
        <w:rPr>
          <w:rFonts w:ascii="Times New Roman;sans-serif" w:hAnsi="Times New Roman;sans-serif"/>
          <w:b w:val="false"/>
          <w:i/>
          <w:color w:val="000000"/>
          <w:sz w:val="18"/>
        </w:rPr>
        <w:t>Intangible Assets:</w:t>
      </w:r>
      <w:r>
        <w:rPr>
          <w:color w:val="000000"/>
        </w:rPr>
        <w:t xml:space="preserve"> </w:t>
      </w:r>
      <w:r>
        <w:rPr>
          <w:rFonts w:ascii="Times New Roman;sans-serif" w:hAnsi="Times New Roman;sans-serif"/>
          <w:b w:val="false"/>
          <w:color w:val="000000"/>
          <w:sz w:val="18"/>
        </w:rPr>
        <w:t xml:space="preserve">The following describes intangible assets that met either the separability criterion or the contractual-legal criterion described in ASC 805, and the anticipated valuation approach. The estimated fair values of intangible assets are based on information available as of the date of this filing and may differ materially as new information is made available and purchase accounting is applied. The customer relationships intangible asset represents the existing customer relationships of Apex that was estimated by applying the multi-period excess earnings method. Approximately $4.2 million of internally-developed software was adjusted out Property, equipment and software, net and into intangible assets as developed technology. The developed technology intangible asset represents technology acquired or developed by Apex for the purpose of generating income for Apex, which was valued using the relief-from-royalty method. </w:t>
      </w:r>
    </w:p>
    <w:tbl>
      <w:tblPr>
        <w:tblW w:w="5513" w:type="dxa"/>
        <w:jc w:val="center"/>
        <w:tblInd w:w="0" w:type="dxa"/>
        <w:tblCellMar>
          <w:top w:w="28" w:type="dxa"/>
          <w:left w:w="28" w:type="dxa"/>
          <w:bottom w:w="28" w:type="dxa"/>
          <w:right w:w="28" w:type="dxa"/>
        </w:tblCellMar>
      </w:tblPr>
      <w:tblGrid>
        <w:gridCol w:w="636"/>
        <w:gridCol w:w="559"/>
        <w:gridCol w:w="560"/>
        <w:gridCol w:w="109"/>
        <w:gridCol w:w="109"/>
        <w:gridCol w:w="109"/>
        <w:gridCol w:w="724"/>
        <w:gridCol w:w="724"/>
        <w:gridCol w:w="727"/>
        <w:gridCol w:w="109"/>
        <w:gridCol w:w="109"/>
        <w:gridCol w:w="109"/>
        <w:gridCol w:w="219"/>
        <w:gridCol w:w="538"/>
        <w:gridCol w:w="172"/>
      </w:tblGrid>
      <w:tr>
        <w:trPr/>
        <w:tc>
          <w:tcPr>
            <w:tcW w:w="63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Useful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16.4</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ind w:left="0" w:right="0" w:firstLine="720"/>
        <w:jc w:val="both"/>
        <w:rPr/>
      </w:pPr>
      <w:r>
        <w:rPr>
          <w:rFonts w:ascii="Times New Roman;sans-serif" w:hAnsi="Times New Roman;sans-serif"/>
          <w:b w:val="false"/>
          <w:i/>
          <w:color w:val="000000"/>
          <w:sz w:val="18"/>
        </w:rPr>
        <w:t xml:space="preserve">Goodwill: </w:t>
      </w:r>
      <w:r>
        <w:rPr>
          <w:rFonts w:ascii="Times New Roman;sans-serif" w:hAnsi="Times New Roman;sans-serif"/>
          <w:b w:val="false"/>
          <w:color w:val="000000"/>
          <w:sz w:val="18"/>
        </w:rPr>
        <w:t>Approximately $31.1 million has been allocated to goodwill. Goodwill represents the excess of the gross consideration transferred over the estimated fair value of the underlying net tangible and identifiable intangible assets acquired. Qualitative factors that contribute to the recognition of goodwill include certain intangible assets that are not recognized as separate identifiable intangible assets. Goodwill represents future economic benefits arising from acquiring Apex primarily due to its strong market position and its assembled workforce that are not individually identified and separately recognized as intangible assets.</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In accordance with ASC Topic 350, Goodwill and Other Intangible Assets, goodwill and indefinite lived intangible assets related to certain acquired brands will not be amortized, but instead will be tested for impairment at least annually or more frequently if certain indicators are present. In the event management of the combined company determines that the value of goodwill and/or indefinite/finite lived intangible assets has become impaired, an accounting charge for impairment during the quarter in which the determination is made may be recognized.</w:t>
      </w:r>
    </w:p>
    <w:p>
      <w:pPr>
        <w:pStyle w:val="TextBody"/>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 Represents reclassification of crypto from Intangible Assets on Apex’s Balance Sheet to Other Assets to be consistent with the Company’s Balance Sheet presentation.</w:t>
      </w:r>
    </w:p>
    <w:p>
      <w:pPr>
        <w:pStyle w:val="TextBody"/>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 Represents $3.6 million of the Company’s transaction fees included in Accounts Payable and Accrued Liabilities as of December 31, 2022 as a reduction to cash (see Note (A)), and $7.2 million of the Company’s estimated transaction fees that had not been incurred as of December 31, 2022 which are reflected as an adjustment to retained earnings and a reduction to cash..</w:t>
      </w:r>
    </w:p>
    <w:p>
      <w:pPr>
        <w:pStyle w:val="TextBody"/>
        <w:spacing w:lineRule="auto" w:line="26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 Represents reclassification of Due to Related Party on Apex’s Balance Sheet to Accounts Payable and Accrued Liabilities as Apex’s previous related parties are not related parties with the Company.</w:t>
      </w:r>
    </w:p>
    <w:p>
      <w:pPr>
        <w:pStyle w:val="TextBody"/>
        <w:spacing w:lineRule="auto" w:line="268" w:before="240" w:after="283"/>
        <w:ind w:left="0" w:right="0" w:hanging="180"/>
        <w:jc w:val="both"/>
        <w:rPr>
          <w:rFonts w:ascii="Times New Roman;sans-serif" w:hAnsi="Times New Roman;sans-serif"/>
          <w:b/>
          <w:color w:val="000000"/>
          <w:sz w:val="18"/>
        </w:rPr>
      </w:pPr>
      <w:r>
        <w:rPr>
          <w:rFonts w:ascii="Times New Roman;sans-serif" w:hAnsi="Times New Roman;sans-serif"/>
          <w:b/>
          <w:color w:val="000000"/>
          <w:sz w:val="18"/>
        </w:rPr>
        <w:t>4.Transaction Accounting Adjustments to Pro Forma Condensed Combined Statement of Operations</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Explanations of the transaction accounting adjustments to the pro forma balance sheet are as follows:</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(AA) Represents post Acquisition pro forma expense adjustment associated with the Company and Apex’s non-cash compensation. We did not acquire all of the employees of Apex crypto and the individuals that were employees of Apex received restricted stock units upon consummation of the Acquisition resulting in a net decrease in stock compensation. The pro forma expense adjustment is based on the March 31, 2023 closing price of Class A common stock of $1.72 per share, which was the last trading day immediately prior to the Acquisition.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(BB) Represents the reclassification of the Company’s crypto costs for consistency of presentation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(CC) Reflects estimated transaction-related costs incurred by the Company related to the Acquisition as if it was consummated on January 1, 2022. These transaction-related costs are non-recurring. Pro forma transaction-related costs adjustment of $7.2 million excludes $4.0 million of transaction-related costs related to the Acquisition already expensed in the Company’s historical statements of operations for the fiscal year ended December 31, 2022.</w:t>
      </w:r>
    </w:p>
    <w:p>
      <w:pPr>
        <w:pStyle w:val="TextBody"/>
        <w:spacing w:lineRule="auto" w:line="268" w:before="120" w:after="283"/>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(DD) Represents adjustments to incorporate estimated additional tangible and intangible assets depreciation and amortization for the step-up basis from purchase price accounting at the closing of the Acquisition. This pro forma adjustment has been proposed assuming the Acquisition happened on January 1, 2022. The following table is a summary of information related to certain intangible assets acquired, including information used to calculate the pro forma change in amortization expenses:</w:t>
      </w:r>
    </w:p>
    <w:tbl>
      <w:tblPr>
        <w:tblW w:w="10205" w:type="dxa"/>
        <w:jc w:val="left"/>
        <w:tblInd w:w="0" w:type="dxa"/>
        <w:tblCellMar>
          <w:top w:w="28" w:type="dxa"/>
          <w:left w:w="28" w:type="dxa"/>
          <w:bottom w:w="28" w:type="dxa"/>
          <w:right w:w="28" w:type="dxa"/>
        </w:tblCellMar>
      </w:tblPr>
      <w:tblGrid>
        <w:gridCol w:w="1073"/>
        <w:gridCol w:w="935"/>
        <w:gridCol w:w="917"/>
        <w:gridCol w:w="109"/>
        <w:gridCol w:w="109"/>
        <w:gridCol w:w="109"/>
        <w:gridCol w:w="593"/>
        <w:gridCol w:w="593"/>
        <w:gridCol w:w="595"/>
        <w:gridCol w:w="109"/>
        <w:gridCol w:w="109"/>
        <w:gridCol w:w="109"/>
        <w:gridCol w:w="213"/>
        <w:gridCol w:w="525"/>
        <w:gridCol w:w="118"/>
        <w:gridCol w:w="109"/>
        <w:gridCol w:w="109"/>
        <w:gridCol w:w="109"/>
        <w:gridCol w:w="964"/>
        <w:gridCol w:w="1929"/>
        <w:gridCol w:w="769"/>
      </w:tblGrid>
      <w:tr>
        <w:trPr/>
        <w:tc>
          <w:tcPr>
            <w:tcW w:w="1073"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92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Useful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 for the Year Ended December 31, 2022</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Developed 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7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16.4</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2.2</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Historical amortization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w:t>
            </w:r>
          </w:p>
        </w:tc>
        <w:tc>
          <w:tcPr>
            <w:tcW w:w="7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 forma adjustments to amortization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9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w:t>
            </w:r>
            <w:r>
              <w:rPr>
                <w:color w:val="000000"/>
              </w:rPr>
              <w:t>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(EE) Reversal of Apex’s income tax expense to reflect the Company’s full valuation allowance.</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(FF) Represents the impact of the change in the Company’s non-controlling ownership percentage as if the expected issuance of 6,140,611 shares of Class A Common Stock, described below, had occurred on January 1, 2022, as well as the impact of Transaction Accounting Adjustments on Noncontrolling Interest.</w:t>
      </w:r>
    </w:p>
    <w:p>
      <w:pPr>
        <w:pStyle w:val="TextBody"/>
        <w:spacing w:lineRule="auto" w:line="268" w:before="240" w:after="283"/>
        <w:ind w:left="0" w:right="0" w:hanging="180"/>
        <w:jc w:val="both"/>
        <w:rPr>
          <w:rFonts w:ascii="Times New Roman;sans-serif" w:hAnsi="Times New Roman;sans-serif"/>
          <w:b/>
          <w:color w:val="000000"/>
          <w:sz w:val="18"/>
        </w:rPr>
      </w:pPr>
      <w:r>
        <w:rPr>
          <w:rFonts w:ascii="Times New Roman;sans-serif" w:hAnsi="Times New Roman;sans-serif"/>
          <w:b/>
          <w:color w:val="000000"/>
          <w:sz w:val="18"/>
        </w:rPr>
        <w:t>5.Pro Forma Earnings Per Share Information</w:t>
      </w:r>
    </w:p>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As a result of the Acquisition, both the pro forma basic and diluted weighted average shares outstanding are inclusive of an additional 6,140,611 shares of Class A Common Stock expected to be issued for Apex’s achievement of certain profitability targets for the fourth quarter of 2022. The per share calculation does not give effect to the issuance of additional contingent consideration shares as the future targets are currently not expected to be met.</w:t>
      </w:r>
    </w:p>
    <w:tbl>
      <w:tblPr>
        <w:tblW w:w="6100" w:type="dxa"/>
        <w:jc w:val="center"/>
        <w:tblInd w:w="0" w:type="dxa"/>
        <w:tblCellMar>
          <w:top w:w="28" w:type="dxa"/>
          <w:left w:w="28" w:type="dxa"/>
          <w:bottom w:w="28" w:type="dxa"/>
          <w:right w:w="28" w:type="dxa"/>
        </w:tblCellMar>
      </w:tblPr>
      <w:tblGrid>
        <w:gridCol w:w="1205"/>
        <w:gridCol w:w="1058"/>
        <w:gridCol w:w="1066"/>
        <w:gridCol w:w="109"/>
        <w:gridCol w:w="109"/>
        <w:gridCol w:w="109"/>
        <w:gridCol w:w="488"/>
        <w:gridCol w:w="1573"/>
        <w:gridCol w:w="383"/>
      </w:tblGrid>
      <w:tr>
        <w:trPr/>
        <w:tc>
          <w:tcPr>
            <w:tcW w:w="1205"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Bakkt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outstanding (basic)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77.3 </w:t>
            </w:r>
          </w:p>
        </w:tc>
        <w:tc>
          <w:tcPr>
            <w:tcW w:w="3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per share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shares outstanding (diluted)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77.3 </w:t>
            </w:r>
          </w:p>
        </w:tc>
        <w:tc>
          <w:tcPr>
            <w:tcW w:w="3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per share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5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(7.55)</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Earnings per share exclude potential common shares that would be anti-dilutive to pro forma EPS, including (i) 14.9 million restricted stock units and performance stock units, (ii) 7.1 million public warrants, (iii) 0.8 million private placement warrants, (iv) 2.2 Bakkt Holdings, LLC (“Opco”) incentive units, and (v) 181.2 million Opco common units that are exchangeable (together with the cancellation of an equal number of shares of voting, non-economic Class V Common Stock) into Class A Common Stock.</w:t>
      </w:r>
      <w:r>
        <w:br w:type="page"/>
      </w:r>
    </w:p>
    <w:p>
      <w:pPr>
        <w:pStyle w:val="TextBody"/>
        <w:spacing w:before="0" w:after="283"/>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33</Pages>
  <Words>13399</Words>
  <CharactersWithSpaces>89275</CharactersWithSpaces>
  <Paragraphs>1768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