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506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50634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VPC Impact Acquisition</w:t>
              </w:r>
            </w:hyperlink>
          </w:p>
        </w:tc>
        <w:tc>
          <w:tcPr>
            <w:tcW w:w="1560" w:type="dxa"/>
            <w:vAlign w:val="bottom"/>
          </w:tcPr>
          <w:p>
            <w:pPr>
              <w:ind w:left="20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9"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2360" w:type="dxa"/>
            <w:vAlign w:val="bottom"/>
            <w:tcBorders>
              <w:top w:val="single" w:sz="8" w:color="0000EE"/>
            </w:tcBorders>
          </w:tcPr>
          <w:p>
            <w:pPr>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Holdings Sponsor, LLC</w:t>
              </w:r>
            </w:hyperlink>
          </w:p>
        </w:tc>
        <w:tc>
          <w:tcPr>
            <w:tcW w:w="660" w:type="dxa"/>
            <w:vAlign w:val="bottom"/>
          </w:tcPr>
          <w:p>
            <w:pPr>
              <w:spacing w:after="0"/>
              <w:rPr>
                <w:sz w:val="24"/>
                <w:szCs w:val="24"/>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09/22/2020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VPC Impact Acquisition Holdings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VIH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504"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9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0"/>
          <w:szCs w:val="20"/>
          <w:color w:val="auto"/>
        </w:rPr>
      </w:pPr>
    </w:p>
    <w:p>
      <w:pPr>
        <w:ind w:left="140" w:right="1497"/>
        <w:spacing w:after="0" w:line="275" w:lineRule="auto"/>
        <w:rPr>
          <w:sz w:val="20"/>
          <w:szCs w:val="20"/>
          <w:color w:val="auto"/>
        </w:rPr>
      </w:pPr>
      <w:r>
        <w:rPr>
          <w:rFonts w:ascii="Times New Roman" w:cs="Times New Roman" w:eastAsia="Times New Roman" w:hAnsi="Times New Roman"/>
          <w:sz w:val="20"/>
          <w:szCs w:val="20"/>
          <w:color w:val="0000FF"/>
        </w:rPr>
        <w:t>C/O VICTORY PARK CAPITAL ADVISORS, LLC</w:t>
      </w:r>
    </w:p>
    <w:p>
      <w:pPr>
        <w:spacing w:after="0" w:line="13" w:lineRule="exact"/>
        <w:rPr>
          <w:sz w:val="20"/>
          <w:szCs w:val="20"/>
          <w:color w:val="auto"/>
        </w:rPr>
      </w:pPr>
    </w:p>
    <w:p>
      <w:pPr>
        <w:ind w:left="140" w:right="1337"/>
        <w:spacing w:after="0" w:line="275" w:lineRule="auto"/>
        <w:rPr>
          <w:sz w:val="20"/>
          <w:szCs w:val="20"/>
          <w:color w:val="auto"/>
        </w:rPr>
      </w:pPr>
      <w:r>
        <w:rPr>
          <w:rFonts w:ascii="Times New Roman" w:cs="Times New Roman" w:eastAsia="Times New Roman" w:hAnsi="Times New Roman"/>
          <w:sz w:val="20"/>
          <w:szCs w:val="20"/>
          <w:color w:val="0000FF"/>
        </w:rPr>
        <w:t>150 NORTH RIVERSIDE PLAZA, SUITE 5200</w:t>
      </w:r>
    </w:p>
    <w:p>
      <w:pPr>
        <w:spacing w:after="0" w:line="265"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60606</w:t>
            </w:r>
          </w:p>
        </w:tc>
      </w:tr>
    </w:tbl>
    <w:p>
      <w:pPr>
        <w:spacing w:after="0" w:line="20" w:lineRule="exact"/>
        <w:rPr>
          <w:sz w:val="20"/>
          <w:szCs w:val="20"/>
          <w:color w:val="auto"/>
        </w:rPr>
      </w:pPr>
      <w:r>
        <w:rPr>
          <w:sz w:val="20"/>
          <w:szCs w:val="20"/>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183"/>
        <w:spacing w:after="0"/>
        <w:tabs>
          <w:tab w:leader="none" w:pos="502" w:val="left"/>
          <w:tab w:leader="none" w:pos="172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jc w:val="right"/>
        <w:spacing w:after="0"/>
        <w:tabs>
          <w:tab w:leader="none" w:pos="1240" w:val="left"/>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Times New Roman" w:cs="Times New Roman" w:eastAsia="Times New Roman" w:hAnsi="Times New Roman"/>
          <w:sz w:val="29"/>
          <w:szCs w:val="29"/>
          <w:color w:val="0000FF"/>
          <w:vertAlign w:val="subscript"/>
        </w:rPr>
        <w:t>X</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0"/>
          <w:szCs w:val="20"/>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0"/>
          <w:szCs w:val="20"/>
          <w:color w:val="auto"/>
        </w:rPr>
      </w:pPr>
      <w:r>
        <w:rPr>
          <w:sz w:val="20"/>
          <w:szCs w:val="20"/>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22"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5" w:lineRule="auto"/>
        <w:rPr>
          <w:sz w:val="20"/>
          <w:szCs w:val="20"/>
          <w:color w:val="auto"/>
        </w:rPr>
      </w:pPr>
      <w:r>
        <w:rPr>
          <w:rFonts w:ascii="Arial" w:cs="Arial" w:eastAsia="Arial" w:hAnsi="Arial"/>
          <w:sz w:val="15"/>
          <w:szCs w:val="15"/>
          <w:color w:val="auto"/>
        </w:rPr>
        <w:t>Form filed by One Reporting Person</w:t>
      </w:r>
    </w:p>
    <w:p>
      <w:pPr>
        <w:spacing w:after="0" w:line="24" w:lineRule="exact"/>
        <w:rPr>
          <w:sz w:val="20"/>
          <w:szCs w:val="20"/>
          <w:color w:val="auto"/>
        </w:rPr>
      </w:pPr>
    </w:p>
    <w:p>
      <w:pPr>
        <w:ind w:left="451" w:right="32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510"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3"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3"/>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7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color w:val="008000"/>
              </w:rPr>
              <w:t>(1)</w:t>
            </w:r>
          </w:p>
        </w:tc>
        <w:tc>
          <w:tcPr>
            <w:tcW w:w="17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Class A Common</w:t>
            </w:r>
          </w:p>
        </w:tc>
        <w:tc>
          <w:tcPr>
            <w:tcW w:w="10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5,690,000</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72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0000FF"/>
              </w:rPr>
              <w:t>Stock</w:t>
            </w:r>
          </w:p>
        </w:tc>
        <w:tc>
          <w:tcPr>
            <w:tcW w:w="10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9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-427990</wp:posOffset>
            </wp:positionV>
            <wp:extent cx="6937375" cy="4364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37375" cy="4364355"/>
                    </a:xfrm>
                    <a:prstGeom prst="rect">
                      <a:avLst/>
                    </a:prstGeom>
                    <a:noFill/>
                  </pic:spPr>
                </pic:pic>
              </a:graphicData>
            </a:graphic>
          </wp:anchor>
        </w:drawing>
      </w:r>
    </w:p>
    <w:p>
      <w:pPr>
        <w:spacing w:after="0" w:line="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VPC Impact Acquisition Holdings</w:t>
        </w:r>
      </w:hyperlink>
    </w:p>
    <w:p>
      <w:pPr>
        <w:spacing w:after="0" w:line="1" w:lineRule="exact"/>
        <w:rPr>
          <w:sz w:val="20"/>
          <w:szCs w:val="20"/>
          <w:color w:val="auto"/>
        </w:rPr>
      </w:pP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Sponsor,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103505</wp:posOffset>
            </wp:positionV>
            <wp:extent cx="262064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19"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VICTORY PARK CAPITAL ADVISORS,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LLC</w:t>
      </w:r>
    </w:p>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150 NORTH RIVERSIDE PLAZA, SUITE 5200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121285</wp:posOffset>
            </wp:positionV>
            <wp:extent cx="262064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12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CHICAGO</w:t>
            </w:r>
          </w:p>
        </w:tc>
        <w:tc>
          <w:tcPr>
            <w:tcW w:w="118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IL</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60606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5"/>
                <w:szCs w:val="15"/>
                <w:color w:val="auto"/>
              </w:rPr>
              <w:t>(City)</w:t>
            </w:r>
          </w:p>
        </w:tc>
        <w:tc>
          <w:tcPr>
            <w:tcW w:w="1180" w:type="dxa"/>
            <w:vAlign w:val="bottom"/>
          </w:tcPr>
          <w:p>
            <w:pPr>
              <w:ind w:left="26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32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Levy Richard N</w:t>
              </w:r>
            </w:hyperlink>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5"/>
                <w:szCs w:val="15"/>
                <w:color w:val="auto"/>
              </w:rPr>
              <w:t>(Last)</w:t>
            </w:r>
          </w:p>
        </w:tc>
        <w:tc>
          <w:tcPr>
            <w:tcW w:w="1180" w:type="dxa"/>
            <w:vAlign w:val="bottom"/>
          </w:tcPr>
          <w:p>
            <w:pPr>
              <w:ind w:left="26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-1021080</wp:posOffset>
            </wp:positionV>
            <wp:extent cx="952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-1030605</wp:posOffset>
            </wp:positionV>
            <wp:extent cx="952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-715645</wp:posOffset>
            </wp:positionV>
            <wp:extent cx="9525" cy="1600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9525" cy="16008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-725170</wp:posOffset>
            </wp:positionV>
            <wp:extent cx="9525" cy="1610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25" cy="161036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-229870</wp:posOffset>
            </wp:positionV>
            <wp:extent cx="952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-239395</wp:posOffset>
            </wp:positionV>
            <wp:extent cx="952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VICTORY PARK CAPITAL ADVISORS,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LLC</w:t>
      </w:r>
    </w:p>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150 NORTH RIVERSIDE PLAZA, SUITE 5200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121285</wp:posOffset>
            </wp:positionV>
            <wp:extent cx="262064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type w:val="continuous"/>
        </w:sectPr>
      </w:pPr>
    </w:p>
    <w:p>
      <w:pPr>
        <w:spacing w:after="0" w:line="3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54"/>
        </w:trPr>
        <w:tc>
          <w:tcPr>
            <w:tcW w:w="114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CHICAGO</w:t>
            </w:r>
          </w:p>
        </w:tc>
        <w:tc>
          <w:tcPr>
            <w:tcW w:w="118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IL</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60606</w:t>
            </w:r>
          </w:p>
        </w:tc>
      </w:tr>
      <w:tr>
        <w:trPr>
          <w:trHeight w:val="177"/>
        </w:trPr>
        <w:tc>
          <w:tcPr>
            <w:tcW w:w="11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1140" w:type="dxa"/>
            <w:vAlign w:val="bottom"/>
          </w:tcPr>
          <w:p>
            <w:pPr>
              <w:ind w:left="20"/>
              <w:spacing w:after="0"/>
              <w:rPr>
                <w:sz w:val="20"/>
                <w:szCs w:val="20"/>
                <w:color w:val="auto"/>
              </w:rPr>
            </w:pPr>
            <w:r>
              <w:rPr>
                <w:rFonts w:ascii="Arial" w:cs="Arial" w:eastAsia="Arial" w:hAnsi="Arial"/>
                <w:sz w:val="15"/>
                <w:szCs w:val="15"/>
                <w:color w:val="auto"/>
              </w:rPr>
              <w:t>(City)</w:t>
            </w:r>
          </w:p>
        </w:tc>
        <w:tc>
          <w:tcPr>
            <w:tcW w:w="1180" w:type="dxa"/>
            <w:vAlign w:val="bottom"/>
          </w:tcPr>
          <w:p>
            <w:pPr>
              <w:ind w:left="2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-496570</wp:posOffset>
            </wp:positionV>
            <wp:extent cx="2773045" cy="571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773045" cy="57150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0"/>
          <w:szCs w:val="20"/>
          <w:color w:val="auto"/>
        </w:rPr>
      </w:pPr>
    </w:p>
    <w:p>
      <w:pPr>
        <w:ind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Class B common stock are convertible for shares of the Issuer's Class A common stock as described under the heading "Description of Securities" in the Issuer's Registration Statement on Form S-1 (File No. 333- 248619) (the "Registration Statement") and have no expiration date. The shares of Class B common stock beneficially owned by the Reporting Persons include up to 750,000 shares of Class B common stock subject to forfeiture to the Issuer depending on the extent to which the underwriters' over-allotment option is exercised in connection with the Issuer's initial public offering of units, as described in the Registration Statement.</w:t>
      </w:r>
    </w:p>
    <w:p>
      <w:pPr>
        <w:spacing w:after="0" w:line="33" w:lineRule="exact"/>
        <w:rPr>
          <w:rFonts w:ascii="Times New Roman" w:cs="Times New Roman" w:eastAsia="Times New Roman" w:hAnsi="Times New Roman"/>
          <w:sz w:val="15"/>
          <w:szCs w:val="15"/>
          <w:color w:val="008000"/>
        </w:rPr>
      </w:pPr>
    </w:p>
    <w:p>
      <w:pPr>
        <w:ind w:right="80"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VPC Impact Acquisition Holdings Sponsor, LLC is the record holder of the securities reported herein. Richard N. Levy, as Chief Executive Officer and Founder of Victory Park Capital Advisors, LLC, has voting and investment discretion with respect to the securities held of record by VPC Impact Acquisition Holdings Sponsor, LLC. Mr. Levy disclaims any beneficial ownership of the securities held by VPC Impact Acquisition Holdings Sponsor, LLC other than to the extent of any pecuniary interest he may have therein, directly or indirectly.</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5"/>
          <w:szCs w:val="15"/>
          <w:color w:val="008000"/>
        </w:rPr>
        <w:t>Director by Deputization See Exhibit 99.1 - Joint Filer Information, which is incorporated herein by reference and describes in further detail the relationships of the Reporting Persons to the Issuer. See Exhibits 24.1 and 24.2 - Powers of Attorney.</w:t>
      </w:r>
    </w:p>
    <w:p>
      <w:pPr>
        <w:sectPr>
          <w:pgSz w:w="11900" w:h="16838" w:orient="portrait"/>
          <w:cols w:equalWidth="0" w:num="1">
            <w:col w:w="10820"/>
          </w:cols>
          <w:pgMar w:left="520" w:top="124" w:right="559" w:bottom="1440" w:gutter="0" w:footer="0" w:header="0"/>
        </w:sectPr>
      </w:pPr>
    </w:p>
    <w:p>
      <w:pPr>
        <w:spacing w:after="0" w:line="4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Roxane Picard,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0487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90487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Attorney-in-Fact for VPC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7952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27952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Impact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Holdings Sponsor,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237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18237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Roxane Picard,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0487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90487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0774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10077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931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82931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22" w:lineRule="exact"/>
        <w:rPr>
          <w:sz w:val="20"/>
          <w:szCs w:val="20"/>
          <w:color w:val="auto"/>
        </w:rPr>
      </w:pPr>
    </w:p>
    <w:p>
      <w:pPr>
        <w:sectPr>
          <w:pgSz w:w="11900" w:h="16838" w:orient="portrait"/>
          <w:cols w:equalWidth="0" w:num="2">
            <w:col w:w="8540" w:space="180"/>
            <w:col w:w="2100"/>
          </w:cols>
          <w:pgMar w:left="520" w:top="124"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4" w:right="559" w:bottom="1440" w:gutter="0" w:footer="0" w:header="0"/>
          <w:type w:val="continuous"/>
        </w:sectPr>
      </w:pPr>
    </w:p>
    <w:bookmarkStart w:id="2" w:name="page3"/>
    <w:bookmarkEnd w:id="2"/>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739" w:firstLine="702"/>
        <w:spacing w:after="0" w:line="265" w:lineRule="auto"/>
        <w:rPr>
          <w:sz w:val="20"/>
          <w:szCs w:val="20"/>
          <w:color w:val="auto"/>
        </w:rPr>
      </w:pPr>
      <w:r>
        <w:rPr>
          <w:rFonts w:ascii="Courier New" w:cs="Courier New" w:eastAsia="Courier New" w:hAnsi="Courier New"/>
          <w:sz w:val="20"/>
          <w:szCs w:val="20"/>
          <w:color w:val="auto"/>
        </w:rPr>
        <w:t>The undersigned constitutes and appoints Elliott Smith, Bob Lehner, Roxane Picard, Samuel Chan, Brian Munsie and Amanda Karlsson, or any of them acting singly, as the undersigned's true and lawful attorneys-in-fact and agents, with full power of substitution and resubstitution, for the undersigned and in the undersigned's name, place and stead, to:</w:t>
      </w:r>
    </w:p>
    <w:p>
      <w:pPr>
        <w:spacing w:after="0" w:line="100" w:lineRule="exact"/>
        <w:rPr>
          <w:sz w:val="20"/>
          <w:szCs w:val="20"/>
          <w:color w:val="auto"/>
        </w:rPr>
      </w:pPr>
    </w:p>
    <w:p>
      <w:pPr>
        <w:ind w:right="619" w:firstLine="702"/>
        <w:spacing w:after="0" w:line="248" w:lineRule="auto"/>
        <w:tabs>
          <w:tab w:leader="none" w:pos="1522"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sign, and submit to the Securities and Exchange Commission (the "SEC") on its Electronic Data Gathering, Analysis, and Retrieval ("EDGAR")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117" w:lineRule="exact"/>
        <w:rPr>
          <w:rFonts w:ascii="Courier New" w:cs="Courier New" w:eastAsia="Courier New" w:hAnsi="Courier New"/>
          <w:sz w:val="20"/>
          <w:szCs w:val="20"/>
          <w:color w:val="auto"/>
        </w:rPr>
      </w:pPr>
    </w:p>
    <w:p>
      <w:pPr>
        <w:ind w:right="619" w:firstLine="702"/>
        <w:spacing w:after="0" w:line="247" w:lineRule="auto"/>
        <w:tabs>
          <w:tab w:leader="none" w:pos="1522"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sign any and all SEC statements of beneficial ownership of securities of VPC Impact Acquisition Holdings (the "Company")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120" w:lineRule="exact"/>
        <w:rPr>
          <w:sz w:val="20"/>
          <w:szCs w:val="20"/>
          <w:color w:val="auto"/>
        </w:rPr>
      </w:pPr>
    </w:p>
    <w:p>
      <w:pPr>
        <w:ind w:right="619" w:firstLine="702"/>
        <w:spacing w:after="0" w:line="275" w:lineRule="auto"/>
        <w:rPr>
          <w:sz w:val="20"/>
          <w:szCs w:val="20"/>
          <w:color w:val="auto"/>
        </w:rPr>
      </w:pPr>
      <w:r>
        <w:rPr>
          <w:rFonts w:ascii="Courier New" w:cs="Courier New" w:eastAsia="Courier New" w:hAnsi="Courier New"/>
          <w:sz w:val="20"/>
          <w:szCs w:val="20"/>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87" w:lineRule="exact"/>
        <w:rPr>
          <w:sz w:val="20"/>
          <w:szCs w:val="20"/>
          <w:color w:val="auto"/>
        </w:rPr>
      </w:pPr>
    </w:p>
    <w:p>
      <w:pPr>
        <w:ind w:right="739" w:firstLine="702"/>
        <w:spacing w:after="0" w:line="275" w:lineRule="auto"/>
        <w:rPr>
          <w:sz w:val="20"/>
          <w:szCs w:val="20"/>
          <w:color w:val="auto"/>
        </w:rPr>
      </w:pPr>
      <w:r>
        <w:rPr>
          <w:rFonts w:ascii="Courier New" w:cs="Courier New" w:eastAsia="Courier New" w:hAnsi="Courier New"/>
          <w:sz w:val="20"/>
          <w:szCs w:val="20"/>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Dated: September 16, 2020</w:t>
      </w:r>
    </w:p>
    <w:p>
      <w:pPr>
        <w:spacing w:after="0" w:line="224" w:lineRule="exact"/>
        <w:rPr>
          <w:sz w:val="20"/>
          <w:szCs w:val="20"/>
          <w:color w:val="auto"/>
        </w:rPr>
      </w:pPr>
    </w:p>
    <w:p>
      <w:pPr>
        <w:ind w:left="4560"/>
        <w:spacing w:after="0"/>
        <w:rPr>
          <w:sz w:val="20"/>
          <w:szCs w:val="20"/>
          <w:color w:val="auto"/>
        </w:rPr>
      </w:pPr>
      <w:r>
        <w:rPr>
          <w:rFonts w:ascii="Courier New" w:cs="Courier New" w:eastAsia="Courier New" w:hAnsi="Courier New"/>
          <w:sz w:val="18"/>
          <w:szCs w:val="18"/>
          <w:color w:val="auto"/>
        </w:rPr>
        <w:t>VPC IMPACT ACQUISITION HOLDINGS SPONSOR,</w:t>
      </w:r>
    </w:p>
    <w:p>
      <w:pPr>
        <w:spacing w:after="0" w:line="57" w:lineRule="exact"/>
        <w:rPr>
          <w:sz w:val="20"/>
          <w:szCs w:val="20"/>
          <w:color w:val="auto"/>
        </w:rPr>
      </w:pPr>
    </w:p>
    <w:p>
      <w:pPr>
        <w:ind w:left="4560"/>
        <w:spacing w:after="0"/>
        <w:rPr>
          <w:sz w:val="20"/>
          <w:szCs w:val="20"/>
          <w:color w:val="auto"/>
        </w:rPr>
      </w:pPr>
      <w:r>
        <w:rPr>
          <w:rFonts w:ascii="Courier New" w:cs="Courier New" w:eastAsia="Courier New" w:hAnsi="Courier New"/>
          <w:sz w:val="18"/>
          <w:szCs w:val="18"/>
          <w:color w:val="auto"/>
        </w:rPr>
        <w:t>LLC, a Delaware limited liability company</w:t>
      </w: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Courier New" w:cs="Courier New" w:eastAsia="Courier New" w:hAnsi="Courier New"/>
          <w:sz w:val="20"/>
          <w:szCs w:val="20"/>
          <w:color w:val="auto"/>
        </w:rPr>
        <w:t>/s/ Scott R. Zemnick</w:t>
      </w:r>
    </w:p>
    <w:p>
      <w:pPr>
        <w:spacing w:after="0" w:line="35" w:lineRule="exact"/>
        <w:rPr>
          <w:sz w:val="20"/>
          <w:szCs w:val="20"/>
          <w:color w:val="auto"/>
        </w:rPr>
      </w:pPr>
    </w:p>
    <w:p>
      <w:pPr>
        <w:ind w:left="456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p>
    <w:p>
      <w:pPr>
        <w:ind w:left="4560"/>
        <w:spacing w:after="0"/>
        <w:rPr>
          <w:sz w:val="20"/>
          <w:szCs w:val="20"/>
          <w:color w:val="auto"/>
        </w:rPr>
      </w:pPr>
      <w:r>
        <w:rPr>
          <w:rFonts w:ascii="Courier New" w:cs="Courier New" w:eastAsia="Courier New" w:hAnsi="Courier New"/>
          <w:sz w:val="20"/>
          <w:szCs w:val="20"/>
          <w:color w:val="auto"/>
        </w:rPr>
        <w:t>Name: Scott R. Zemnick, as Authorized</w:t>
      </w:r>
    </w:p>
    <w:p>
      <w:pPr>
        <w:ind w:left="4560"/>
        <w:spacing w:after="0" w:line="238" w:lineRule="auto"/>
        <w:rPr>
          <w:sz w:val="20"/>
          <w:szCs w:val="20"/>
          <w:color w:val="auto"/>
        </w:rPr>
      </w:pPr>
      <w:r>
        <w:rPr>
          <w:rFonts w:ascii="Courier New" w:cs="Courier New" w:eastAsia="Courier New" w:hAnsi="Courier New"/>
          <w:sz w:val="20"/>
          <w:szCs w:val="20"/>
          <w:color w:val="auto"/>
        </w:rPr>
        <w:t>Signatory of Victory Park Management,</w:t>
      </w:r>
    </w:p>
    <w:p>
      <w:pPr>
        <w:ind w:left="4560"/>
        <w:spacing w:after="0" w:line="238" w:lineRule="auto"/>
        <w:rPr>
          <w:sz w:val="20"/>
          <w:szCs w:val="20"/>
          <w:color w:val="auto"/>
        </w:rPr>
      </w:pPr>
      <w:r>
        <w:rPr>
          <w:rFonts w:ascii="Courier New" w:cs="Courier New" w:eastAsia="Courier New" w:hAnsi="Courier New"/>
          <w:sz w:val="20"/>
          <w:szCs w:val="20"/>
          <w:color w:val="auto"/>
        </w:rPr>
        <w:t>LLC, the manager of VPC Impact</w:t>
      </w:r>
    </w:p>
    <w:p>
      <w:pPr>
        <w:ind w:left="4560"/>
        <w:spacing w:after="0"/>
        <w:rPr>
          <w:sz w:val="20"/>
          <w:szCs w:val="20"/>
          <w:color w:val="auto"/>
        </w:rPr>
      </w:pPr>
      <w:r>
        <w:rPr>
          <w:rFonts w:ascii="Courier New" w:cs="Courier New" w:eastAsia="Courier New" w:hAnsi="Courier New"/>
          <w:sz w:val="20"/>
          <w:szCs w:val="20"/>
          <w:color w:val="auto"/>
        </w:rPr>
        <w:t>Acquisition Holdings Sponsor, LLC</w:t>
      </w:r>
    </w:p>
    <w:p>
      <w:pPr>
        <w:ind w:left="4560"/>
        <w:spacing w:after="0"/>
        <w:tabs>
          <w:tab w:leader="none" w:pos="5600" w:val="left"/>
        </w:tabs>
        <w:rPr>
          <w:sz w:val="20"/>
          <w:szCs w:val="20"/>
          <w:color w:val="auto"/>
        </w:rPr>
      </w:pPr>
      <w:r>
        <w:rPr>
          <w:rFonts w:ascii="Courier New" w:cs="Courier New" w:eastAsia="Courier New" w:hAnsi="Courier New"/>
          <w:sz w:val="20"/>
          <w:szCs w:val="20"/>
          <w:color w:val="auto"/>
        </w:rPr>
        <w:t>Title:</w:t>
      </w:r>
      <w:r>
        <w:rPr>
          <w:sz w:val="20"/>
          <w:szCs w:val="20"/>
          <w:color w:val="auto"/>
        </w:rPr>
        <w:tab/>
      </w:r>
      <w:r>
        <w:rPr>
          <w:rFonts w:ascii="Courier New" w:cs="Courier New" w:eastAsia="Courier New" w:hAnsi="Courier New"/>
          <w:sz w:val="20"/>
          <w:szCs w:val="20"/>
          <w:color w:val="auto"/>
        </w:rPr>
        <w:t>Manager</w:t>
      </w:r>
    </w:p>
    <w:p>
      <w:pPr>
        <w:sectPr>
          <w:pgSz w:w="11900" w:h="16838" w:orient="portrait"/>
          <w:cols w:equalWidth="0" w:num="1">
            <w:col w:w="9979"/>
          </w:cols>
          <w:pgMar w:left="480" w:top="106" w:right="1440" w:bottom="1440" w:gutter="0" w:footer="0" w:header="0"/>
        </w:sectPr>
      </w:pPr>
    </w:p>
    <w:bookmarkStart w:id="3" w:name="page4"/>
    <w:bookmarkEnd w:id="3"/>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739" w:firstLine="702"/>
        <w:spacing w:after="0" w:line="265" w:lineRule="auto"/>
        <w:rPr>
          <w:sz w:val="20"/>
          <w:szCs w:val="20"/>
          <w:color w:val="auto"/>
        </w:rPr>
      </w:pPr>
      <w:r>
        <w:rPr>
          <w:rFonts w:ascii="Courier New" w:cs="Courier New" w:eastAsia="Courier New" w:hAnsi="Courier New"/>
          <w:sz w:val="20"/>
          <w:szCs w:val="20"/>
          <w:color w:val="auto"/>
        </w:rPr>
        <w:t>The undersigned constitutes and appoints Elliott Smith, Bob Lehner, Roxane Picard, Samuel Chan, Brian Munsie and Amanda Karlsson, or any of them acting singly, as the undersigned's true and lawful attorneys-in-fact and agents, with full power of substitution and resubstitution, for the undersigned and in the undersigned's name, place and stead, to:</w:t>
      </w:r>
    </w:p>
    <w:p>
      <w:pPr>
        <w:spacing w:after="0" w:line="100" w:lineRule="exact"/>
        <w:rPr>
          <w:sz w:val="20"/>
          <w:szCs w:val="20"/>
          <w:color w:val="auto"/>
        </w:rPr>
      </w:pPr>
    </w:p>
    <w:p>
      <w:pPr>
        <w:ind w:right="619" w:firstLine="702"/>
        <w:spacing w:after="0" w:line="248" w:lineRule="auto"/>
        <w:tabs>
          <w:tab w:leader="none" w:pos="1522"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sign, and submit to the Securities and Exchange Commission (the "SEC") on its Electronic Data Gathering, Analysis, and Retrieval ("EDGAR")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117" w:lineRule="exact"/>
        <w:rPr>
          <w:rFonts w:ascii="Courier New" w:cs="Courier New" w:eastAsia="Courier New" w:hAnsi="Courier New"/>
          <w:sz w:val="20"/>
          <w:szCs w:val="20"/>
          <w:color w:val="auto"/>
        </w:rPr>
      </w:pPr>
    </w:p>
    <w:p>
      <w:pPr>
        <w:ind w:right="619" w:firstLine="702"/>
        <w:spacing w:after="0" w:line="247" w:lineRule="auto"/>
        <w:tabs>
          <w:tab w:leader="none" w:pos="1405"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sign any and all SEC statements of beneficial ownership of securities of VPC Impact Acquisition Holdings (the "Company")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120" w:lineRule="exact"/>
        <w:rPr>
          <w:sz w:val="20"/>
          <w:szCs w:val="20"/>
          <w:color w:val="auto"/>
        </w:rPr>
      </w:pPr>
    </w:p>
    <w:p>
      <w:pPr>
        <w:ind w:right="619" w:firstLine="702"/>
        <w:spacing w:after="0" w:line="275" w:lineRule="auto"/>
        <w:rPr>
          <w:sz w:val="20"/>
          <w:szCs w:val="20"/>
          <w:color w:val="auto"/>
        </w:rPr>
      </w:pPr>
      <w:r>
        <w:rPr>
          <w:rFonts w:ascii="Courier New" w:cs="Courier New" w:eastAsia="Courier New" w:hAnsi="Courier New"/>
          <w:sz w:val="20"/>
          <w:szCs w:val="20"/>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87" w:lineRule="exact"/>
        <w:rPr>
          <w:sz w:val="20"/>
          <w:szCs w:val="20"/>
          <w:color w:val="auto"/>
        </w:rPr>
      </w:pPr>
    </w:p>
    <w:p>
      <w:pPr>
        <w:ind w:right="739" w:firstLine="702"/>
        <w:spacing w:after="0" w:line="275" w:lineRule="auto"/>
        <w:rPr>
          <w:sz w:val="20"/>
          <w:szCs w:val="20"/>
          <w:color w:val="auto"/>
        </w:rPr>
      </w:pPr>
      <w:r>
        <w:rPr>
          <w:rFonts w:ascii="Courier New" w:cs="Courier New" w:eastAsia="Courier New" w:hAnsi="Courier New"/>
          <w:sz w:val="20"/>
          <w:szCs w:val="20"/>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Dated: September 16, 2020</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40"/>
        <w:spacing w:after="0"/>
        <w:rPr>
          <w:sz w:val="20"/>
          <w:szCs w:val="20"/>
          <w:color w:val="auto"/>
        </w:rPr>
      </w:pPr>
      <w:r>
        <w:rPr>
          <w:rFonts w:ascii="Courier New" w:cs="Courier New" w:eastAsia="Courier New" w:hAnsi="Courier New"/>
          <w:sz w:val="20"/>
          <w:szCs w:val="20"/>
          <w:color w:val="auto"/>
        </w:rPr>
        <w:t>By: /s/ Richard Levy</w:t>
      </w:r>
    </w:p>
    <w:p>
      <w:pPr>
        <w:spacing w:after="0" w:line="33"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w:t>
      </w:r>
    </w:p>
    <w:p>
      <w:pPr>
        <w:ind w:left="4920"/>
        <w:spacing w:after="0"/>
        <w:tabs>
          <w:tab w:leader="none" w:pos="57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18"/>
          <w:szCs w:val="18"/>
          <w:color w:val="auto"/>
        </w:rPr>
        <w:t>Richard Levy</w:t>
      </w:r>
    </w:p>
    <w:p>
      <w:pPr>
        <w:sectPr>
          <w:pgSz w:w="11900" w:h="16838" w:orient="portrait"/>
          <w:cols w:equalWidth="0" w:num="1">
            <w:col w:w="9979"/>
          </w:cols>
          <w:pgMar w:left="480" w:top="106" w:right="1440" w:bottom="1440" w:gutter="0" w:footer="0" w:header="0"/>
        </w:sectPr>
      </w:pPr>
    </w:p>
    <w:bookmarkStart w:id="4" w:name="page5"/>
    <w:bookmarkEnd w:id="4"/>
    <w:p>
      <w:pPr>
        <w:jc w:val="right"/>
        <w:ind w:right="959"/>
        <w:spacing w:after="0"/>
        <w:rPr>
          <w:sz w:val="20"/>
          <w:szCs w:val="20"/>
          <w:color w:val="auto"/>
        </w:rPr>
      </w:pPr>
      <w:r>
        <w:rPr>
          <w:rFonts w:ascii="Courier New" w:cs="Courier New" w:eastAsia="Courier New" w:hAnsi="Courier New"/>
          <w:sz w:val="20"/>
          <w:szCs w:val="20"/>
          <w:color w:val="auto"/>
        </w:rPr>
        <w:t>Exhibit 99.1</w:t>
      </w:r>
    </w:p>
    <w:p>
      <w:pPr>
        <w:spacing w:after="0" w:line="224" w:lineRule="exact"/>
        <w:rPr>
          <w:sz w:val="20"/>
          <w:szCs w:val="20"/>
          <w:color w:val="auto"/>
        </w:rPr>
      </w:pPr>
    </w:p>
    <w:p>
      <w:pPr>
        <w:ind w:left="2220"/>
        <w:spacing w:after="0"/>
        <w:rPr>
          <w:sz w:val="20"/>
          <w:szCs w:val="20"/>
          <w:color w:val="auto"/>
        </w:rPr>
      </w:pPr>
      <w:r>
        <w:rPr>
          <w:rFonts w:ascii="Courier New" w:cs="Courier New" w:eastAsia="Courier New" w:hAnsi="Courier New"/>
          <w:sz w:val="20"/>
          <w:szCs w:val="20"/>
          <w:color w:val="auto"/>
        </w:rPr>
        <w:t>Joint Filer Information</w:t>
      </w:r>
    </w:p>
    <w:p>
      <w:pPr>
        <w:sectPr>
          <w:pgSz w:w="11900" w:h="16838" w:orient="portrait"/>
          <w:cols w:equalWidth="0" w:num="1">
            <w:col w:w="9979"/>
          </w:cols>
          <w:pgMar w:left="480" w:top="106"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of Joint Filer: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Relationship of Joint Filer to Issuer:</w:t>
      </w:r>
    </w:p>
    <w:p>
      <w:pPr>
        <w:spacing w:after="0" w:line="200" w:lineRule="exact"/>
        <w:rPr>
          <w:sz w:val="20"/>
          <w:szCs w:val="20"/>
          <w:color w:val="auto"/>
        </w:rPr>
      </w:pPr>
    </w:p>
    <w:p>
      <w:pPr>
        <w:spacing w:after="0" w:line="271" w:lineRule="exact"/>
        <w:rPr>
          <w:sz w:val="20"/>
          <w:szCs w:val="20"/>
          <w:color w:val="auto"/>
        </w:rPr>
      </w:pPr>
    </w:p>
    <w:p>
      <w:pPr>
        <w:ind w:right="1860"/>
        <w:spacing w:after="0" w:line="397" w:lineRule="auto"/>
        <w:rPr>
          <w:sz w:val="20"/>
          <w:szCs w:val="20"/>
          <w:color w:val="auto"/>
        </w:rPr>
      </w:pPr>
      <w:r>
        <w:rPr>
          <w:rFonts w:ascii="Courier New" w:cs="Courier New" w:eastAsia="Courier New" w:hAnsi="Courier New"/>
          <w:sz w:val="18"/>
          <w:szCs w:val="18"/>
          <w:color w:val="auto"/>
        </w:rPr>
        <w:t>Issuer Name and Ticker or Trading Symbol: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of Event Requiring Statement:</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of Joint Filer: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Relationship of Joint Filer to Issuer:</w:t>
      </w:r>
    </w:p>
    <w:p>
      <w:pPr>
        <w:spacing w:after="0" w:line="200" w:lineRule="exact"/>
        <w:rPr>
          <w:sz w:val="20"/>
          <w:szCs w:val="20"/>
          <w:color w:val="auto"/>
        </w:rPr>
      </w:pPr>
    </w:p>
    <w:p>
      <w:pPr>
        <w:spacing w:after="0" w:line="271" w:lineRule="exact"/>
        <w:rPr>
          <w:sz w:val="20"/>
          <w:szCs w:val="20"/>
          <w:color w:val="auto"/>
        </w:rPr>
      </w:pPr>
    </w:p>
    <w:p>
      <w:pPr>
        <w:ind w:right="1860"/>
        <w:spacing w:after="0" w:line="413" w:lineRule="auto"/>
        <w:rPr>
          <w:sz w:val="20"/>
          <w:szCs w:val="20"/>
          <w:color w:val="auto"/>
        </w:rPr>
      </w:pPr>
      <w:r>
        <w:rPr>
          <w:rFonts w:ascii="Courier New" w:cs="Courier New" w:eastAsia="Courier New" w:hAnsi="Courier New"/>
          <w:sz w:val="18"/>
          <w:szCs w:val="18"/>
          <w:color w:val="auto"/>
        </w:rPr>
        <w:t>Issuer Name and Ticker or Trading Symbol:</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of Event Requiring Statement:</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(Month/Day/Year):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559"/>
        <w:spacing w:after="0" w:line="348" w:lineRule="auto"/>
        <w:rPr>
          <w:sz w:val="20"/>
          <w:szCs w:val="20"/>
          <w:color w:val="auto"/>
        </w:rPr>
      </w:pPr>
      <w:r>
        <w:rPr>
          <w:rFonts w:ascii="Courier New" w:cs="Courier New" w:eastAsia="Courier New" w:hAnsi="Courier New"/>
          <w:sz w:val="20"/>
          <w:szCs w:val="20"/>
          <w:color w:val="auto"/>
        </w:rPr>
        <w:t>VPC Impact Acquisition Holdings Sponsor, LLC</w:t>
      </w:r>
    </w:p>
    <w:p>
      <w:pPr>
        <w:spacing w:after="0" w:line="243" w:lineRule="exact"/>
        <w:rPr>
          <w:sz w:val="20"/>
          <w:szCs w:val="20"/>
          <w:color w:val="auto"/>
        </w:rPr>
      </w:pPr>
    </w:p>
    <w:p>
      <w:pPr>
        <w:jc w:val="both"/>
        <w:ind w:right="739"/>
        <w:spacing w:after="0" w:line="293" w:lineRule="auto"/>
        <w:rPr>
          <w:sz w:val="20"/>
          <w:szCs w:val="20"/>
          <w:color w:val="auto"/>
        </w:rPr>
      </w:pPr>
      <w:r>
        <w:rPr>
          <w:rFonts w:ascii="Courier New" w:cs="Courier New" w:eastAsia="Courier New" w:hAnsi="Courier New"/>
          <w:sz w:val="20"/>
          <w:szCs w:val="20"/>
          <w:color w:val="auto"/>
        </w:rPr>
        <w:t>c/o Victory Park Capital Advisors, LLC 150 North Riverside Plaza, Suite 5200 Chicago, Illinois 60606</w:t>
      </w: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10% Owner, Director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VPC Impact Acquisition Holdings [VIH]</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09/22/2020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Richard N. Levy</w:t>
      </w:r>
    </w:p>
    <w:p>
      <w:pPr>
        <w:spacing w:after="0" w:line="200" w:lineRule="exact"/>
        <w:rPr>
          <w:sz w:val="20"/>
          <w:szCs w:val="20"/>
          <w:color w:val="auto"/>
        </w:rPr>
      </w:pPr>
    </w:p>
    <w:p>
      <w:pPr>
        <w:spacing w:after="0" w:line="249" w:lineRule="exact"/>
        <w:rPr>
          <w:sz w:val="20"/>
          <w:szCs w:val="20"/>
          <w:color w:val="auto"/>
        </w:rPr>
      </w:pPr>
    </w:p>
    <w:p>
      <w:pPr>
        <w:jc w:val="both"/>
        <w:ind w:right="739"/>
        <w:spacing w:after="0" w:line="293" w:lineRule="auto"/>
        <w:rPr>
          <w:sz w:val="20"/>
          <w:szCs w:val="20"/>
          <w:color w:val="auto"/>
        </w:rPr>
      </w:pPr>
      <w:r>
        <w:rPr>
          <w:rFonts w:ascii="Courier New" w:cs="Courier New" w:eastAsia="Courier New" w:hAnsi="Courier New"/>
          <w:sz w:val="20"/>
          <w:szCs w:val="20"/>
          <w:color w:val="auto"/>
        </w:rPr>
        <w:t>c/o Victory Park Capital Advisors, LLC 150 North Riverside Plaza, Suite 5200 Chicago, Illinois 60606</w:t>
      </w: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10% Owner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VPC Impact Acquisition Holdings [VIH]</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09/22/2020</w:t>
      </w:r>
    </w:p>
    <w:sectPr>
      <w:pgSz w:w="11900" w:h="16838" w:orient="portrait"/>
      <w:cols w:equalWidth="0" w:num="2">
        <w:col w:w="4440" w:space="360"/>
        <w:col w:w="5179"/>
      </w:cols>
      <w:pgMar w:left="480" w:top="10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10" Type="http://schemas.openxmlformats.org/officeDocument/2006/relationships/hyperlink" Target="http://www.sec.gov/cgi-bin/browse-edgar?action=getcompany&amp;CIK=0001825041" TargetMode="External"/><Relationship Id="rId11" Type="http://schemas.openxmlformats.org/officeDocument/2006/relationships/hyperlink" Target="http://www.sec.gov/cgi-bin/browse-edgar?action=getcompany&amp;CIK=0001820302" TargetMode="External"/><Relationship Id="rId18"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2020-09-22T19:22:26Z</dcterms:created>
  <dcterms:modified xsi:type="dcterms:W3CDTF">2020-09-22T19:22:26Z</dcterms:modified>
</cp:coreProperties>
</file>