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57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57657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2"/>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04/17/2023</w:t>
            </w: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General Counsel &amp; Secretary</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174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6"/>
                <w:szCs w:val="16"/>
                <w:color w:val="0000FF"/>
              </w:rPr>
              <w:t>04/19/2023</w:t>
            </w:r>
          </w:p>
        </w:tc>
        <w:tc>
          <w:tcPr>
            <w:tcW w:w="208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4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2"/>
              </w:rPr>
              <w:t>50,000</w:t>
            </w:r>
            <w:r>
              <w:rPr>
                <w:rFonts w:ascii="Times New Roman" w:cs="Times New Roman" w:eastAsia="Times New Roman" w:hAnsi="Times New Roman"/>
                <w:sz w:val="21"/>
                <w:szCs w:val="21"/>
                <w:color w:val="008000"/>
                <w:w w:val="92"/>
                <w:vertAlign w:val="superscript"/>
              </w:rPr>
              <w:t>(1)</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left="55"/>
              <w:spacing w:after="0" w:line="302"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(1)</w:t>
            </w:r>
          </w:p>
        </w:tc>
        <w:tc>
          <w:tcPr>
            <w:tcW w:w="1280" w:type="dxa"/>
            <w:vAlign w:val="bottom"/>
            <w:tcBorders>
              <w:bottom w:val="single" w:sz="8" w:color="2C2C2C"/>
            </w:tcBorders>
            <w:gridSpan w:val="3"/>
          </w:tcPr>
          <w:p>
            <w:pPr>
              <w:jc w:val="right"/>
              <w:ind w:right="243"/>
              <w:spacing w:after="0"/>
              <w:rPr>
                <w:sz w:val="20"/>
                <w:szCs w:val="20"/>
                <w:color w:val="auto"/>
              </w:rPr>
            </w:pPr>
            <w:r>
              <w:rPr>
                <w:rFonts w:ascii="Times New Roman" w:cs="Times New Roman" w:eastAsia="Times New Roman" w:hAnsi="Times New Roman"/>
                <w:sz w:val="16"/>
                <w:szCs w:val="16"/>
                <w:color w:val="0000FF"/>
              </w:rPr>
              <w:t>783,320</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2"/>
              </w:rPr>
              <w:t>21,873</w:t>
            </w:r>
            <w:r>
              <w:rPr>
                <w:rFonts w:ascii="Times New Roman" w:cs="Times New Roman" w:eastAsia="Times New Roman" w:hAnsi="Times New Roman"/>
                <w:sz w:val="21"/>
                <w:szCs w:val="21"/>
                <w:color w:val="008000"/>
                <w:w w:val="92"/>
                <w:vertAlign w:val="superscript"/>
              </w:rPr>
              <w:t>(3)</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left="55"/>
              <w:spacing w:after="0" w:line="302"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(3)</w:t>
            </w:r>
          </w:p>
        </w:tc>
        <w:tc>
          <w:tcPr>
            <w:tcW w:w="1280" w:type="dxa"/>
            <w:vAlign w:val="bottom"/>
            <w:tcBorders>
              <w:bottom w:val="single" w:sz="8" w:color="2C2C2C"/>
            </w:tcBorders>
            <w:gridSpan w:val="3"/>
          </w:tcPr>
          <w:p>
            <w:pPr>
              <w:jc w:val="right"/>
              <w:ind w:right="243"/>
              <w:spacing w:after="0"/>
              <w:rPr>
                <w:sz w:val="20"/>
                <w:szCs w:val="20"/>
                <w:color w:val="auto"/>
              </w:rPr>
            </w:pPr>
            <w:r>
              <w:rPr>
                <w:rFonts w:ascii="Times New Roman" w:cs="Times New Roman" w:eastAsia="Times New Roman" w:hAnsi="Times New Roman"/>
                <w:sz w:val="16"/>
                <w:szCs w:val="16"/>
                <w:color w:val="0000FF"/>
              </w:rPr>
              <w:t>805,193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2"/>
              </w:rPr>
              <w:t>15,051</w:t>
            </w:r>
            <w:r>
              <w:rPr>
                <w:rFonts w:ascii="Times New Roman" w:cs="Times New Roman" w:eastAsia="Times New Roman" w:hAnsi="Times New Roman"/>
                <w:sz w:val="21"/>
                <w:szCs w:val="21"/>
                <w:color w:val="008000"/>
                <w:w w:val="92"/>
                <w:vertAlign w:val="superscript"/>
              </w:rPr>
              <w:t>(4)</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55"/>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1.47</w:t>
            </w:r>
            <w:r>
              <w:rPr>
                <w:rFonts w:ascii="Times New Roman" w:cs="Times New Roman" w:eastAsia="Times New Roman" w:hAnsi="Times New Roman"/>
                <w:sz w:val="21"/>
                <w:szCs w:val="21"/>
                <w:color w:val="008000"/>
                <w:w w:val="93"/>
                <w:vertAlign w:val="superscript"/>
              </w:rPr>
              <w:t>(4)</w:t>
            </w:r>
          </w:p>
        </w:tc>
        <w:tc>
          <w:tcPr>
            <w:tcW w:w="1280" w:type="dxa"/>
            <w:vAlign w:val="bottom"/>
            <w:tcBorders>
              <w:bottom w:val="single" w:sz="8" w:color="2C2C2C"/>
            </w:tcBorders>
            <w:gridSpan w:val="3"/>
          </w:tcPr>
          <w:p>
            <w:pPr>
              <w:jc w:val="right"/>
              <w:ind w:right="243"/>
              <w:spacing w:after="0"/>
              <w:rPr>
                <w:sz w:val="20"/>
                <w:szCs w:val="20"/>
                <w:color w:val="auto"/>
              </w:rPr>
            </w:pPr>
            <w:r>
              <w:rPr>
                <w:rFonts w:ascii="Times New Roman" w:cs="Times New Roman" w:eastAsia="Times New Roman" w:hAnsi="Times New Roman"/>
                <w:sz w:val="16"/>
                <w:szCs w:val="16"/>
                <w:color w:val="0000FF"/>
              </w:rPr>
              <w:t>790,142</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1"/>
              </w:rPr>
              <w:t>6,585</w:t>
            </w:r>
            <w:r>
              <w:rPr>
                <w:rFonts w:ascii="Times New Roman" w:cs="Times New Roman" w:eastAsia="Times New Roman" w:hAnsi="Times New Roman"/>
                <w:sz w:val="21"/>
                <w:szCs w:val="21"/>
                <w:color w:val="008000"/>
                <w:w w:val="91"/>
                <w:vertAlign w:val="superscript"/>
              </w:rPr>
              <w:t>(4)</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55"/>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1.47</w:t>
            </w:r>
            <w:r>
              <w:rPr>
                <w:rFonts w:ascii="Times New Roman" w:cs="Times New Roman" w:eastAsia="Times New Roman" w:hAnsi="Times New Roman"/>
                <w:sz w:val="21"/>
                <w:szCs w:val="21"/>
                <w:color w:val="008000"/>
                <w:w w:val="93"/>
                <w:vertAlign w:val="superscript"/>
              </w:rPr>
              <w:t>(4)</w:t>
            </w:r>
          </w:p>
        </w:tc>
        <w:tc>
          <w:tcPr>
            <w:tcW w:w="1280" w:type="dxa"/>
            <w:vAlign w:val="bottom"/>
            <w:tcBorders>
              <w:bottom w:val="single" w:sz="8" w:color="2C2C2C"/>
            </w:tcBorders>
            <w:gridSpan w:val="3"/>
          </w:tcPr>
          <w:p>
            <w:pPr>
              <w:jc w:val="right"/>
              <w:ind w:right="243"/>
              <w:spacing w:after="0"/>
              <w:rPr>
                <w:sz w:val="20"/>
                <w:szCs w:val="20"/>
                <w:color w:val="auto"/>
              </w:rPr>
            </w:pPr>
            <w:r>
              <w:rPr>
                <w:rFonts w:ascii="Times New Roman" w:cs="Times New Roman" w:eastAsia="Times New Roman" w:hAnsi="Times New Roman"/>
                <w:sz w:val="16"/>
                <w:szCs w:val="16"/>
                <w:color w:val="0000FF"/>
              </w:rPr>
              <w:t>783,557</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0"/>
                <w:szCs w:val="10"/>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(6)</w:t>
            </w:r>
          </w:p>
        </w:tc>
        <w:tc>
          <w:tcPr>
            <w:tcW w:w="280" w:type="dxa"/>
            <w:vAlign w:val="bottom"/>
          </w:tcPr>
          <w:p>
            <w:pPr>
              <w:spacing w:after="0"/>
              <w:rPr>
                <w:sz w:val="15"/>
                <w:szCs w:val="15"/>
                <w:color w:val="auto"/>
              </w:rPr>
            </w:pPr>
          </w:p>
        </w:tc>
        <w:tc>
          <w:tcPr>
            <w:tcW w:w="440" w:type="dxa"/>
            <w:vAlign w:val="bottom"/>
            <w:vMerge w:val="restart"/>
          </w:tcPr>
          <w:p>
            <w:pPr>
              <w:jc w:val="right"/>
              <w:ind w:right="211"/>
              <w:spacing w:after="0"/>
              <w:rPr>
                <w:sz w:val="20"/>
                <w:szCs w:val="20"/>
                <w:color w:val="auto"/>
              </w:rPr>
            </w:pPr>
            <w:r>
              <w:rPr>
                <w:rFonts w:ascii="Times New Roman" w:cs="Times New Roman" w:eastAsia="Times New Roman" w:hAnsi="Times New Roman"/>
                <w:sz w:val="11"/>
                <w:szCs w:val="11"/>
                <w:color w:val="008000"/>
              </w:rPr>
              <w:t>(6)</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2"/>
              </w:rPr>
              <w:t>Class A</w:t>
            </w:r>
          </w:p>
        </w:tc>
        <w:tc>
          <w:tcPr>
            <w:tcW w:w="80" w:type="dxa"/>
            <w:vAlign w:val="bottom"/>
          </w:tcPr>
          <w:p>
            <w:pPr>
              <w:spacing w:after="0"/>
              <w:rPr>
                <w:sz w:val="15"/>
                <w:szCs w:val="15"/>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1,204,712</w:t>
            </w:r>
            <w:r>
              <w:rPr>
                <w:rFonts w:ascii="Times New Roman" w:cs="Times New Roman" w:eastAsia="Times New Roman" w:hAnsi="Times New Roman"/>
                <w:sz w:val="21"/>
                <w:szCs w:val="21"/>
                <w:color w:val="008000"/>
                <w:vertAlign w:val="superscript"/>
              </w:rPr>
              <w:t>(5)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1,204,712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-1889125</wp:posOffset>
            </wp:positionV>
            <wp:extent cx="28575" cy="189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94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("PSUs") granted on 01/21/2022 and the attainment of performance goals.</w:t>
      </w:r>
    </w:p>
    <w:p>
      <w:pPr>
        <w:spacing w:after="0" w:line="40" w:lineRule="exact"/>
        <w:rPr>
          <w:rFonts w:ascii="Times New Roman" w:cs="Times New Roman" w:eastAsia="Times New Roman" w:hAnsi="Times New Roman"/>
          <w:sz w:val="13"/>
          <w:szCs w:val="13"/>
          <w:color w:val="008000"/>
        </w:rPr>
      </w:pPr>
    </w:p>
    <w:p>
      <w:pPr>
        <w:ind w:left="40" w:right="5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restricted stock units awards that remain subject to vesting. Each RSU represents a contingent right to receive one share of the issuer's Class A Common Stock.</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PSUs granted on 02/01/2022 and the attainment of performance goals.</w:t>
      </w:r>
    </w:p>
    <w:p>
      <w:pPr>
        <w:spacing w:after="0" w:line="40" w:lineRule="exact"/>
        <w:rPr>
          <w:rFonts w:ascii="Times New Roman" w:cs="Times New Roman" w:eastAsia="Times New Roman" w:hAnsi="Times New Roman"/>
          <w:sz w:val="13"/>
          <w:szCs w:val="13"/>
          <w:color w:val="008000"/>
        </w:rPr>
      </w:pPr>
    </w:p>
    <w:p>
      <w:pPr>
        <w:ind w:left="40" w:right="5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PSUs on April 17, 2023, the issuer withheld Class A Common Stock that would otherwise have been issued to the reporting person to satisfy such person's tax withholding obligations. The number of shares withheld was determined based on the closing price per share of Class A Common Stock on April 17, 2023.</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05/02/2023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2023-05-02T17:20:31Z</dcterms:created>
  <dcterms:modified xsi:type="dcterms:W3CDTF">2023-05-02T17:20:31Z</dcterms:modified>
</cp:coreProperties>
</file>