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April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6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98-1550750</w:t>
            </w:r>
          </w:p>
        </w:tc>
      </w:tr>
      <w:tr>
        <w:trPr>
          <w:trHeight w:val="149"/>
        </w:trPr>
        <w:tc>
          <w:tcPr>
            <w:tcW w:w="3660" w:type="dxa"/>
            <w:vAlign w:val="bottom"/>
          </w:tcPr>
          <w:p>
            <w:pPr>
              <w:jc w:val="center"/>
              <w:ind w:right="1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6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6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Alpharetta, Georgia</w:t>
            </w:r>
          </w:p>
        </w:tc>
        <w:tc>
          <w:tcPr>
            <w:tcW w:w="23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30009</w:t>
            </w:r>
          </w:p>
        </w:tc>
      </w:tr>
      <w:tr>
        <w:trPr>
          <w:trHeight w:val="190"/>
        </w:trPr>
        <w:tc>
          <w:tcPr>
            <w:tcW w:w="36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780"/>
          </w:cols>
          <w:pgMar w:left="440" w:top="293" w:right="479" w:bottom="1440" w:gutter="0" w:footer="0" w:header="0"/>
        </w:sectPr>
      </w:pPr>
    </w:p>
    <w:p>
      <w:pPr>
        <w:ind w:firstLine="440"/>
        <w:spacing w:after="0" w:line="25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On April 29, 2024, Charles Goodroe tendered his resignation from his position as Chief Accounting Officer of Bakkt Holdings, Inc. (the “Company”), to be effective as of May 22, 2024. Mr. Goodroe’s resignation did not result from any disagreement with the Company. Upon the effectiveness of Mr. Goodroe’s resignation, Karen Alexander, the Company’s Chief Financial Officer and principal financial officer, will assume the role </w:t>
      </w:r>
      <w:hyperlink r:id="rId18">
        <w:r>
          <w:rPr>
            <w:rFonts w:ascii="Times New Roman" w:cs="Times New Roman" w:eastAsia="Times New Roman" w:hAnsi="Times New Roman"/>
            <w:sz w:val="18"/>
            <w:szCs w:val="18"/>
            <w:color w:val="auto"/>
          </w:rPr>
          <w:t xml:space="preserve">of the Company’s principal accounting officer. A summary of Ms. Alexander’s biographical and business experience is in the Company’s </w:t>
        </w:r>
        <w:r>
          <w:rPr>
            <w:rFonts w:ascii="Times New Roman" w:cs="Times New Roman" w:eastAsia="Times New Roman" w:hAnsi="Times New Roman"/>
            <w:sz w:val="18"/>
            <w:szCs w:val="18"/>
            <w:u w:val="single" w:color="auto"/>
            <w:color w:val="0000EE"/>
          </w:rPr>
          <w:t>definitive</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proxy statement for its 2024 annual meeting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on April 19, 2024, which summary is incorporated by reference herein.</w:t>
        </w:r>
      </w:hyperlink>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On May 2, 2024, the Company announced a reduction in force that is expected to result in the termination of 28 employees, which represents approximately 13% of the Company’s non-call center, full-time workforce. The reduction in force is a component of a broader strategic review of the Company’s operations that is intended to more effectively align resources with business priorities. Substantially all of the employees impacted by the reduction in force were notified of the reduction on May 2, 2024 and will exit the Company in the second quarter of 2024. The Company estimates that it will incur expenses in a range of $0.8 million to $1.0 million related to the reduction in force, substantially all of which will relate to employee severance and benefits costs and will be recognized in the second quarter of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Item 8.01 of this report contains forward-looking statements within the meaning of Section 27A of the Securities Act of 1933, as amended, and Section 21E of the Securities Exchange Act of 1934, as amended. These forward-looking statements include, but are not limited to, statements about the estimated costs of the reduction in force, the number of positions affected by the reduction in force, the time frame for completion of, recognition of charges and cost savings associated with, the reduction in force, and statements containing the words such as “approximate,” “plan,” “estimate,” “expect,” “project,” “could,” “would,” “should,” “may,” “potential,” and other similar expressions. By their nature, forward-looking statements involve risks and uncertainties because they relate to events and depend on circumstances that may or may not occur in the future. We caution you that forward-looking statements are not guarantees of future performance and that actual results may differ materially. Important factors that could cause actual results to vary from expectations include, but are not limited to: the timing of full implementation of the reduction in force program; any unintended consequences from the program that impact our business; efficiency and cost savings initiatives, including actions thereunder and the expected impact; potential business decisions and the other factors discussed in the “Risk Factors” section of our most recent Annual Report on Form 10-K and subsequently filed Quarterly Reports on Form 10-Q. All forward-looking statements are based upon information available to us on the date of this report. We undertake no obligation, and do not expect, to publicly update or publicly revise any forward-looking statement, whether as a result of new information, future events or otherwise, except as required by law.</w:t>
      </w:r>
    </w:p>
    <w:p>
      <w:pPr>
        <w:sectPr>
          <w:pgSz w:w="11900" w:h="16838" w:orient="portrait"/>
          <w:cols w:equalWidth="0" w:num="1">
            <w:col w:w="10980"/>
          </w:cols>
          <w:pgMar w:left="440" w:top="293" w:right="479" w:bottom="1440" w:gutter="0" w:footer="0" w:header="0"/>
          <w:type w:val="continuous"/>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3,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General Counsel and Secretary</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8" Type="http://schemas.openxmlformats.org/officeDocument/2006/relationships/hyperlink" Target="http://www.sec.gov/Archives/edgar/data/1820302/000182030224000060/bakkt-definitiveproxyrev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2024-05-03T15:37:55Z</dcterms:created>
  <dcterms:modified xsi:type="dcterms:W3CDTF">2024-05-03T15:37:55Z</dcterms:modified>
</cp:coreProperties>
</file>