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February 8, 2024 </w:t>
      </w:r>
    </w:p>
    <w:p>
      <w:pPr>
        <w:pStyle w:val="TextBody"/>
        <w:bidi w:val="0"/>
        <w:spacing w:before="240" w:after="0"/>
        <w:jc w:val="left"/>
        <w:rPr>
          <w:rFonts w:ascii="Times New Roman" w:hAnsi="Times New Roman"/>
          <w:b/>
          <w:i/>
          <w:sz w:val="20"/>
        </w:rPr>
      </w:pPr>
      <w:r>
        <w:rPr>
          <w:rFonts w:ascii="Times New Roman" w:hAnsi="Times New Roman"/>
          <w:b/>
          <w:i/>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Crypto Assets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Attn: Sandra Hunter Berkheimer and David Lin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
        <w:gridCol w:w="121"/>
        <w:gridCol w:w="2286"/>
        <w:gridCol w:w="121"/>
        <w:gridCol w:w="7327"/>
      </w:tblGrid>
      <w:tr>
        <w:trPr/>
        <w:tc>
          <w:tcPr>
            <w:tcW w:w="3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27" w:type="dxa"/>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b/>
              </w:rPr>
            </w:pPr>
            <w:r>
              <w:rPr>
                <w:b/>
              </w:rPr>
              <w:t>Re:</w:t>
            </w:r>
          </w:p>
        </w:tc>
        <w:tc>
          <w:tcPr>
            <w:tcW w:w="121" w:type="dxa"/>
            <w:tcBorders/>
            <w:vAlign w:val="bottom"/>
          </w:tcPr>
          <w:p>
            <w:pPr>
              <w:pStyle w:val="TableContents"/>
              <w:bidi w:val="0"/>
              <w:spacing w:before="0" w:after="283"/>
              <w:jc w:val="left"/>
              <w:rPr/>
            </w:pPr>
            <w:r>
              <w:rPr/>
              <w:t>  </w:t>
            </w:r>
          </w:p>
        </w:tc>
        <w:tc>
          <w:tcPr>
            <w:tcW w:w="9734" w:type="dxa"/>
            <w:gridSpan w:val="3"/>
            <w:tcBorders/>
          </w:tcPr>
          <w:p>
            <w:pPr>
              <w:pStyle w:val="TableContents"/>
              <w:bidi w:val="0"/>
              <w:spacing w:before="0" w:after="283"/>
              <w:jc w:val="left"/>
              <w:rPr>
                <w:b/>
              </w:rPr>
            </w:pPr>
            <w:r>
              <w:rPr>
                <w:b/>
              </w:rPr>
              <w:t>Bakkt Holdings, Inc.</w:t>
            </w:r>
          </w:p>
        </w:tc>
      </w:tr>
      <w:tr>
        <w:trPr/>
        <w:tc>
          <w:tcPr>
            <w:tcW w:w="3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34" w:type="dxa"/>
            <w:gridSpan w:val="3"/>
            <w:tcBorders/>
          </w:tcPr>
          <w:p>
            <w:pPr>
              <w:pStyle w:val="TableContents"/>
              <w:bidi w:val="0"/>
              <w:spacing w:before="0" w:after="283"/>
              <w:jc w:val="left"/>
              <w:rPr>
                <w:b/>
              </w:rPr>
            </w:pPr>
            <w:r>
              <w:rPr>
                <w:b/>
              </w:rPr>
              <w:t>Registration Statement on Form S-3 (File No. 333-271361)</w:t>
            </w:r>
          </w:p>
        </w:tc>
      </w:tr>
      <w:tr>
        <w:trPr/>
        <w:tc>
          <w:tcPr>
            <w:tcW w:w="3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b/>
              </w:rPr>
            </w:pPr>
            <w:r>
              <w:rPr>
                <w:b/>
              </w:rPr>
              <w:t>Acceleration Request</w:t>
            </w:r>
          </w:p>
        </w:tc>
        <w:tc>
          <w:tcPr>
            <w:tcW w:w="121" w:type="dxa"/>
            <w:tcBorders/>
            <w:vAlign w:val="bottom"/>
          </w:tcPr>
          <w:p>
            <w:pPr>
              <w:pStyle w:val="TableContents"/>
              <w:bidi w:val="0"/>
              <w:spacing w:before="0" w:after="283"/>
              <w:jc w:val="left"/>
              <w:rPr/>
            </w:pPr>
            <w:r>
              <w:rPr/>
              <w:t>  </w:t>
            </w:r>
          </w:p>
        </w:tc>
        <w:tc>
          <w:tcPr>
            <w:tcW w:w="7327" w:type="dxa"/>
            <w:tcBorders/>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   </w:t>
            </w:r>
            <w:r>
              <w:rPr>
                <w:b/>
              </w:rPr>
              <w:t>Requested Date:</w:t>
            </w:r>
          </w:p>
        </w:tc>
        <w:tc>
          <w:tcPr>
            <w:tcW w:w="121" w:type="dxa"/>
            <w:tcBorders/>
            <w:vAlign w:val="bottom"/>
          </w:tcPr>
          <w:p>
            <w:pPr>
              <w:pStyle w:val="TableContents"/>
              <w:bidi w:val="0"/>
              <w:spacing w:before="0" w:after="283"/>
              <w:jc w:val="left"/>
              <w:rPr/>
            </w:pPr>
            <w:r>
              <w:rPr/>
              <w:t>  </w:t>
            </w:r>
          </w:p>
        </w:tc>
        <w:tc>
          <w:tcPr>
            <w:tcW w:w="7327" w:type="dxa"/>
            <w:tcBorders/>
          </w:tcPr>
          <w:p>
            <w:pPr>
              <w:pStyle w:val="TableContents"/>
              <w:bidi w:val="0"/>
              <w:spacing w:before="0" w:after="283"/>
              <w:jc w:val="left"/>
              <w:rPr>
                <w:b/>
              </w:rPr>
            </w:pPr>
            <w:r>
              <w:rPr>
                <w:b/>
              </w:rPr>
              <w:t>Friday, February 9, 2024</w:t>
            </w:r>
          </w:p>
        </w:tc>
      </w:tr>
      <w:tr>
        <w:trPr/>
        <w:tc>
          <w:tcPr>
            <w:tcW w:w="3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86" w:type="dxa"/>
            <w:tcBorders/>
          </w:tcPr>
          <w:p>
            <w:pPr>
              <w:pStyle w:val="TableContents"/>
              <w:bidi w:val="0"/>
              <w:spacing w:before="0" w:after="283"/>
              <w:jc w:val="left"/>
              <w:rPr/>
            </w:pPr>
            <w:r>
              <w:rPr/>
              <w:t>   </w:t>
            </w:r>
            <w:r>
              <w:rPr>
                <w:b/>
              </w:rPr>
              <w:t>Requested Time:</w:t>
            </w:r>
          </w:p>
        </w:tc>
        <w:tc>
          <w:tcPr>
            <w:tcW w:w="121" w:type="dxa"/>
            <w:tcBorders/>
            <w:vAlign w:val="bottom"/>
          </w:tcPr>
          <w:p>
            <w:pPr>
              <w:pStyle w:val="TableContents"/>
              <w:bidi w:val="0"/>
              <w:spacing w:before="0" w:after="283"/>
              <w:jc w:val="left"/>
              <w:rPr/>
            </w:pPr>
            <w:r>
              <w:rPr/>
              <w:t>  </w:t>
            </w:r>
          </w:p>
        </w:tc>
        <w:tc>
          <w:tcPr>
            <w:tcW w:w="7327" w:type="dxa"/>
            <w:tcBorders/>
          </w:tcPr>
          <w:p>
            <w:pPr>
              <w:pStyle w:val="TableContents"/>
              <w:bidi w:val="0"/>
              <w:spacing w:before="0" w:after="283"/>
              <w:jc w:val="left"/>
              <w:rPr>
                <w:b/>
              </w:rPr>
            </w:pPr>
            <w:r>
              <w:rPr>
                <w:b/>
              </w:rPr>
              <w:t>4:30 P.M. Eastern Time</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Pursuant to Rule 461 under the Securities Act of 1933, as amended, Bakkt Holdings, Inc. (the </w:t>
      </w:r>
      <w:r>
        <w:rPr>
          <w:rFonts w:ascii="Times New Roman" w:hAnsi="Times New Roman"/>
          <w:b/>
          <w:sz w:val="20"/>
        </w:rPr>
        <w:t>Company</w:t>
      </w:r>
      <w:r>
        <w:rPr>
          <w:rFonts w:ascii="Times New Roman" w:hAnsi="Times New Roman"/>
          <w:sz w:val="20"/>
        </w:rPr>
        <w:t>) hereby requests that the above-referenced Registration Statement (the </w:t>
      </w:r>
      <w:r>
        <w:rPr>
          <w:rFonts w:ascii="Times New Roman" w:hAnsi="Times New Roman"/>
          <w:b/>
          <w:sz w:val="20"/>
        </w:rPr>
        <w:t>Registration Statement</w:t>
      </w:r>
      <w:r>
        <w:rPr>
          <w:rFonts w:ascii="Times New Roman" w:hAnsi="Times New Roman"/>
          <w:sz w:val="20"/>
        </w:rPr>
        <w:t>) be declared effective at the Requested Date and Requested Time set forth above or at such later time as the Company or its counsel may orally request via telephone call to the staff (the </w:t>
      </w:r>
      <w:r>
        <w:rPr>
          <w:rFonts w:ascii="Times New Roman" w:hAnsi="Times New Roman"/>
          <w:b/>
          <w:sz w:val="20"/>
        </w:rPr>
        <w:t>Staff</w:t>
      </w:r>
      <w:r>
        <w:rPr>
          <w:rFonts w:ascii="Times New Roman" w:hAnsi="Times New Roman"/>
          <w:sz w:val="20"/>
        </w:rPr>
        <w:t>) of the Division of Corporation Finance of the Securities and Exchange Commission (the </w:t>
      </w:r>
      <w:r>
        <w:rPr>
          <w:rFonts w:ascii="Times New Roman" w:hAnsi="Times New Roman"/>
          <w:b/>
          <w:sz w:val="20"/>
        </w:rPr>
        <w:t>Commission</w:t>
      </w:r>
      <w:r>
        <w:rPr>
          <w:rFonts w:ascii="Times New Roman" w:hAnsi="Times New Roman"/>
          <w:sz w:val="20"/>
        </w:rPr>
        <w:t xml:space="preserve">). Once the Registration Statement has been declared effective, please orally confirm that event with our counsel, Wilson Sonsini Goodrich &amp; Rosati, P.C., by calling J. Matthew Lyons at (512) 338-5411.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Staff will consider this request as confirmation by the Company of its awareness of its responsibilities under the federal securities laws as they relate to the offering of the securities covered by the Registration Statement.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240" w:after="0"/>
        <w:jc w:val="center"/>
        <w:rPr>
          <w:rFonts w:ascii="Times New Roman" w:hAnsi="Times New Roman"/>
          <w:sz w:val="20"/>
        </w:rPr>
      </w:pPr>
      <w:r>
        <w:rPr>
          <w:rFonts w:ascii="Times New Roman" w:hAnsi="Times New Roman"/>
          <w:sz w:val="20"/>
        </w:rPr>
        <w:t xml:space="preserve">* * * *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BAKKT HOLDINGS,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Michael</w:t>
            </w:r>
          </w:p>
        </w:tc>
      </w:tr>
      <w:tr>
        <w:trPr/>
        <w:tc>
          <w:tcPr>
            <w:tcW w:w="4082" w:type="dxa"/>
            <w:tcBorders/>
          </w:tcPr>
          <w:p>
            <w:pPr>
              <w:pStyle w:val="TableContents"/>
              <w:bidi w:val="0"/>
              <w:spacing w:before="0" w:after="283"/>
              <w:jc w:val="left"/>
              <w:rPr/>
            </w:pPr>
            <w:r>
              <w:rPr/>
              <w:t>Gavin Michael</w:t>
            </w:r>
          </w:p>
        </w:tc>
      </w:tr>
      <w:tr>
        <w:trPr/>
        <w:tc>
          <w:tcPr>
            <w:tcW w:w="4082" w:type="dxa"/>
            <w:tcBorders/>
          </w:tcPr>
          <w:p>
            <w:pPr>
              <w:pStyle w:val="TableContents"/>
              <w:bidi w:val="0"/>
              <w:spacing w:before="0" w:after="283"/>
              <w:jc w:val="left"/>
              <w:rPr>
                <w:i/>
              </w:rPr>
            </w:pPr>
            <w:r>
              <w:rPr>
                <w:i/>
              </w:rPr>
              <w:t>Chief Executive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1"/>
        <w:gridCol w:w="121"/>
        <w:gridCol w:w="8393"/>
      </w:tblGrid>
      <w:tr>
        <w:trPr/>
        <w:tc>
          <w:tcPr>
            <w:tcW w:w="16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9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Enclosures</w:t>
            </w:r>
          </w:p>
        </w:tc>
      </w:tr>
      <w:tr>
        <w:trPr>
          <w:trHeight w:val="240" w:hRule="atLeast"/>
        </w:trPr>
        <w:tc>
          <w:tcPr>
            <w:tcW w:w="1691" w:type="dxa"/>
            <w:tcBorders/>
            <w:vAlign w:val="center"/>
          </w:tcPr>
          <w:p>
            <w:pPr>
              <w:pStyle w:val="TableContents"/>
              <w:bidi w:val="0"/>
              <w:spacing w:before="0" w:after="283"/>
              <w:jc w:val="left"/>
              <w:rPr>
                <w:sz w:val="4"/>
                <w:szCs w:val="4"/>
              </w:rPr>
            </w:pPr>
            <w:r>
              <w:rPr>
                <w:sz w:val="4"/>
                <w:szCs w:val="4"/>
              </w:rPr>
            </w:r>
          </w:p>
        </w:tc>
        <w:tc>
          <w:tcPr>
            <w:tcW w:w="8514"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cc (w/o enclosures):</w:t>
            </w:r>
          </w:p>
        </w:tc>
        <w:tc>
          <w:tcPr>
            <w:tcW w:w="121" w:type="dxa"/>
            <w:tcBorders/>
            <w:vAlign w:val="bottom"/>
          </w:tcPr>
          <w:p>
            <w:pPr>
              <w:pStyle w:val="TableContents"/>
              <w:bidi w:val="0"/>
              <w:spacing w:before="0" w:after="283"/>
              <w:jc w:val="left"/>
              <w:rPr/>
            </w:pPr>
            <w:r>
              <w:rPr/>
              <w:t>  </w:t>
            </w:r>
          </w:p>
        </w:tc>
        <w:tc>
          <w:tcPr>
            <w:tcW w:w="8393" w:type="dxa"/>
            <w:tcBorders/>
          </w:tcPr>
          <w:p>
            <w:pPr>
              <w:pStyle w:val="TableContents"/>
              <w:bidi w:val="0"/>
              <w:spacing w:before="0" w:after="283"/>
              <w:jc w:val="left"/>
              <w:rPr/>
            </w:pPr>
            <w:r>
              <w:rPr/>
              <w:t>Marc DAnnunzio, Bakkt Holdings, Inc.</w:t>
            </w:r>
          </w:p>
        </w:tc>
      </w:tr>
      <w:tr>
        <w:trPr/>
        <w:tc>
          <w:tcPr>
            <w:tcW w:w="169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393" w:type="dxa"/>
            <w:tcBorders/>
          </w:tcPr>
          <w:p>
            <w:pPr>
              <w:pStyle w:val="TableContents"/>
              <w:bidi w:val="0"/>
              <w:spacing w:before="0" w:after="283"/>
              <w:jc w:val="left"/>
              <w:rPr/>
            </w:pPr>
            <w:r>
              <w:rPr/>
              <w:t>Paul Simmons, Bakkt Holdings, Inc.</w:t>
            </w:r>
          </w:p>
        </w:tc>
      </w:tr>
      <w:tr>
        <w:trPr>
          <w:trHeight w:val="240" w:hRule="atLeast"/>
        </w:trPr>
        <w:tc>
          <w:tcPr>
            <w:tcW w:w="1691" w:type="dxa"/>
            <w:tcBorders/>
            <w:vAlign w:val="center"/>
          </w:tcPr>
          <w:p>
            <w:pPr>
              <w:pStyle w:val="TableContents"/>
              <w:bidi w:val="0"/>
              <w:spacing w:before="0" w:after="283"/>
              <w:jc w:val="left"/>
              <w:rPr>
                <w:sz w:val="4"/>
                <w:szCs w:val="4"/>
              </w:rPr>
            </w:pPr>
            <w:r>
              <w:rPr>
                <w:sz w:val="4"/>
                <w:szCs w:val="4"/>
              </w:rPr>
            </w:r>
          </w:p>
        </w:tc>
        <w:tc>
          <w:tcPr>
            <w:tcW w:w="8514"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393" w:type="dxa"/>
            <w:tcBorders/>
          </w:tcPr>
          <w:p>
            <w:pPr>
              <w:pStyle w:val="TableContents"/>
              <w:bidi w:val="0"/>
              <w:spacing w:before="0" w:after="283"/>
              <w:jc w:val="left"/>
              <w:rPr/>
            </w:pPr>
            <w:r>
              <w:rPr/>
              <w:t>J. Matthew Lyons, Wilson Sonsini Goodrich &amp; Rosati, P.C.</w:t>
            </w:r>
          </w:p>
        </w:tc>
      </w:tr>
      <w:tr>
        <w:trPr/>
        <w:tc>
          <w:tcPr>
            <w:tcW w:w="169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393" w:type="dxa"/>
            <w:tcBorders/>
          </w:tcPr>
          <w:p>
            <w:pPr>
              <w:pStyle w:val="TableContents"/>
              <w:bidi w:val="0"/>
              <w:spacing w:before="0" w:after="283"/>
              <w:jc w:val="left"/>
              <w:rPr/>
            </w:pPr>
            <w:r>
              <w:rPr/>
              <w:t>Austin March, Wilson Sonsini Goodrich &amp; Rosati, P.C.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274</Words>
  <Characters>1450</Characters>
  <CharactersWithSpaces>1719</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