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Cabrera Nicolas</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02/22/2022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5"/>
        <w:spacing w:after="0"/>
        <w:rPr>
          <w:sz w:val="20"/>
          <w:szCs w:val="20"/>
          <w:color w:val="auto"/>
        </w:rPr>
      </w:pPr>
      <w:r>
        <w:rPr>
          <w:rFonts w:ascii="Arial" w:cs="Arial" w:eastAsia="Arial" w:hAnsi="Arial"/>
          <w:sz w:val="17"/>
          <w:szCs w:val="17"/>
          <w:color w:val="0000FF"/>
        </w:rPr>
        <w:t>Chief Product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87,491</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87,491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100,000</w:t>
            </w:r>
            <w:r>
              <w:rPr>
                <w:rFonts w:ascii="Arial" w:cs="Arial" w:eastAsia="Arial" w:hAnsi="Arial"/>
                <w:sz w:val="22"/>
                <w:szCs w:val="22"/>
                <w:color w:val="008000"/>
                <w:w w:val="93"/>
                <w:vertAlign w:val="superscript"/>
              </w:rPr>
              <w:t>(3)</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187,491</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will vest in three equal annual installments on the first three anniversaries of February 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87,491 shares of Class A Common Stock subject to RSUs that remain subject to vesting.</w:t>
      </w:r>
    </w:p>
    <w:p>
      <w:pPr>
        <w:spacing w:after="0" w:line="50"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RSUs, each of which represents a contingent right to receive one share of the Issuer's Class A Common Stock. The RSUs will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187,491 shares of Class A Common Stock subject to RSU awards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Nicolas</w:t>
      </w:r>
      <w:r>
        <w:rPr>
          <w:sz w:val="20"/>
          <w:szCs w:val="20"/>
          <w:color w:val="auto"/>
        </w:rPr>
        <w:tab/>
      </w:r>
      <w:r>
        <w:rPr>
          <w:rFonts w:ascii="Arial" w:cs="Arial" w:eastAsia="Arial" w:hAnsi="Arial"/>
          <w:sz w:val="15"/>
          <w:szCs w:val="15"/>
          <w:color w:val="0000FF"/>
        </w:rPr>
        <w:t>02/23/2022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Cabrera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0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2022-02-23T16:45:01Z</dcterms:created>
  <dcterms:modified xsi:type="dcterms:W3CDTF">2022-02-23T16:45:01Z</dcterms:modified>
</cp:coreProperties>
</file>