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173355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REGISTRATION OF CERTAIN CLASSES OF SECURITIES</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12(b) OR 12(g) OF THE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VPC Impact Acquisition Holdings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400" w:type="dxa"/>
            <w:vAlign w:val="bottom"/>
          </w:tcPr>
          <w:p>
            <w:pPr>
              <w:jc w:val="right"/>
              <w:ind w:right="2158"/>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90"/>
        </w:trPr>
        <w:tc>
          <w:tcPr>
            <w:tcW w:w="5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4"/>
        </w:trPr>
        <w:tc>
          <w:tcPr>
            <w:tcW w:w="5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Victory Park Capital Advisors, LLC</w:t>
            </w:r>
          </w:p>
        </w:tc>
        <w:tc>
          <w:tcPr>
            <w:tcW w:w="5400" w:type="dxa"/>
            <w:vAlign w:val="bottom"/>
          </w:tcPr>
          <w:p>
            <w:pPr>
              <w:jc w:val="right"/>
              <w:ind w:right="2378"/>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18"/>
        </w:trPr>
        <w:tc>
          <w:tcPr>
            <w:tcW w:w="5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150 North Riverside Plaza, Suite 5200</w:t>
            </w: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14"/>
        </w:trPr>
        <w:tc>
          <w:tcPr>
            <w:tcW w:w="5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Chicago, IL 60606</w:t>
            </w:r>
          </w:p>
        </w:tc>
        <w:tc>
          <w:tcPr>
            <w:tcW w:w="5400" w:type="dxa"/>
            <w:vAlign w:val="bottom"/>
          </w:tcPr>
          <w:p>
            <w:pPr>
              <w:spacing w:after="0"/>
              <w:rPr>
                <w:sz w:val="18"/>
                <w:szCs w:val="18"/>
                <w:color w:val="auto"/>
              </w:rPr>
            </w:pPr>
          </w:p>
        </w:tc>
      </w:tr>
      <w:tr>
        <w:trPr>
          <w:trHeight w:val="190"/>
        </w:trPr>
        <w:tc>
          <w:tcPr>
            <w:tcW w:w="5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0" w:type="dxa"/>
            <w:vAlign w:val="bottom"/>
          </w:tcPr>
          <w:p>
            <w:pPr>
              <w:spacing w:after="0"/>
              <w:rPr>
                <w:sz w:val="16"/>
                <w:szCs w:val="16"/>
                <w:color w:val="auto"/>
              </w:rPr>
            </w:pPr>
          </w:p>
        </w:tc>
      </w:tr>
      <w:tr>
        <w:trPr>
          <w:trHeight w:val="42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5400" w:type="dxa"/>
            <w:vAlign w:val="bottom"/>
          </w:tcPr>
          <w:p>
            <w:pPr>
              <w:spacing w:after="0"/>
              <w:rPr>
                <w:sz w:val="24"/>
                <w:szCs w:val="24"/>
                <w:color w:val="auto"/>
              </w:rPr>
            </w:pPr>
          </w:p>
        </w:tc>
      </w:tr>
      <w:tr>
        <w:trPr>
          <w:trHeight w:val="367"/>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87"/>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187"/>
        </w:trPr>
        <w:tc>
          <w:tcPr>
            <w:tcW w:w="5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one-half of one</w:t>
            </w:r>
          </w:p>
        </w:tc>
        <w:tc>
          <w:tcPr>
            <w:tcW w:w="100" w:type="dxa"/>
            <w:vAlign w:val="bottom"/>
          </w:tcPr>
          <w:p>
            <w:pPr>
              <w:spacing w:after="0"/>
              <w:rPr>
                <w:sz w:val="16"/>
                <w:szCs w:val="16"/>
                <w:color w:val="auto"/>
              </w:rPr>
            </w:pPr>
          </w:p>
        </w:tc>
        <w:tc>
          <w:tcPr>
            <w:tcW w:w="54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redeemable warrant</w:t>
            </w:r>
          </w:p>
        </w:tc>
        <w:tc>
          <w:tcPr>
            <w:tcW w:w="5400" w:type="dxa"/>
            <w:vAlign w:val="bottom"/>
          </w:tcPr>
          <w:p>
            <w:pPr>
              <w:spacing w:after="0"/>
              <w:rPr>
                <w:sz w:val="20"/>
                <w:szCs w:val="20"/>
                <w:color w:val="auto"/>
              </w:rPr>
            </w:pPr>
          </w:p>
        </w:tc>
      </w:tr>
      <w:tr>
        <w:trPr>
          <w:trHeight w:val="324"/>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302"/>
        </w:trPr>
        <w:tc>
          <w:tcPr>
            <w:tcW w:w="5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Class A ordinary</w:t>
            </w:r>
          </w:p>
        </w:tc>
        <w:tc>
          <w:tcPr>
            <w:tcW w:w="5400" w:type="dxa"/>
            <w:vAlign w:val="bottom"/>
          </w:tcPr>
          <w:p>
            <w:pPr>
              <w:spacing w:after="0"/>
              <w:rPr>
                <w:sz w:val="24"/>
                <w:szCs w:val="24"/>
                <w:color w:val="auto"/>
              </w:rPr>
            </w:pPr>
          </w:p>
        </w:tc>
      </w:tr>
      <w:tr>
        <w:trPr>
          <w:trHeight w:val="238"/>
        </w:trPr>
        <w:tc>
          <w:tcPr>
            <w:tcW w:w="5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 at an exercise price of $11.50 per share</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ind w:right="7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7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or Regulation A offering statement file number to which this form relates: </w:t>
      </w:r>
      <w:r>
        <w:rPr>
          <w:rFonts w:ascii="Times New Roman" w:cs="Times New Roman" w:eastAsia="Times New Roman" w:hAnsi="Times New Roman"/>
          <w:sz w:val="18"/>
          <w:szCs w:val="18"/>
          <w:b w:val="1"/>
          <w:bCs w:val="1"/>
          <w:color w:val="auto"/>
        </w:rPr>
        <w:t>333-248619</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to be registered pursuant to Section 12(g) of the Act: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225425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w:t>
      </w:r>
      <w:r>
        <w:rPr>
          <w:sz w:val="20"/>
          <w:szCs w:val="20"/>
          <w:color w:val="auto"/>
        </w:rPr>
        <w:tab/>
      </w:r>
      <w:r>
        <w:rPr>
          <w:rFonts w:ascii="Times New Roman" w:cs="Times New Roman" w:eastAsia="Times New Roman" w:hAnsi="Times New Roman"/>
          <w:sz w:val="18"/>
          <w:szCs w:val="18"/>
          <w:b w:val="1"/>
          <w:bCs w:val="1"/>
          <w:color w:val="auto"/>
        </w:rPr>
        <w:t>Description of Registrant’s Securities to be Registered.</w:t>
      </w:r>
    </w:p>
    <w:p>
      <w:pPr>
        <w:spacing w:after="0" w:line="121" w:lineRule="exact"/>
        <w:rPr>
          <w:sz w:val="20"/>
          <w:szCs w:val="20"/>
          <w:color w:val="auto"/>
        </w:rPr>
      </w:pPr>
    </w:p>
    <w:p>
      <w:pPr>
        <w:ind w:right="360" w:firstLine="440"/>
        <w:spacing w:after="0" w:line="257" w:lineRule="auto"/>
        <w:rPr>
          <w:sz w:val="20"/>
          <w:szCs w:val="20"/>
          <w:color w:val="auto"/>
        </w:rPr>
      </w:pPr>
      <w:r>
        <w:rPr>
          <w:rFonts w:ascii="Times New Roman" w:cs="Times New Roman" w:eastAsia="Times New Roman" w:hAnsi="Times New Roman"/>
          <w:sz w:val="18"/>
          <w:szCs w:val="18"/>
          <w:color w:val="auto"/>
        </w:rPr>
        <w:t>The securities to be registered hereby are the units, Class A ordinary shares, par value $0.0001 per share, and warrants to purchase Class A ordinary shares of VPC Impact Acquisition Holdings (the “Registrant”). The description of the units, Class A ordinary shares and warrants set forth under the heading “Description of Securities” in the Registrant’s prospectus forming a part of its Registration Statement on Form S-1 (File</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No. 333-248619), originally filed with the U.S. Securities and Exchange Commission on September 4, 2020, as thereafter amended and supplemented from time to time (the “Registration Statement”), to which this Form 8-A relates is incorporated by reference herein. Any form of prospectus or prospectus supplement to the Registration Statement that includes such descriptions and that are subsequently filed are hereby also incorporated by reference herein.</w:t>
      </w:r>
    </w:p>
    <w:p>
      <w:pPr>
        <w:spacing w:after="0" w:line="33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200" w:firstLine="1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22, 2020</w:t>
            </w:r>
          </w:p>
        </w:tc>
        <w:tc>
          <w:tcPr>
            <w:tcW w:w="742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By:  /s/ John Martin</w:t>
            </w:r>
          </w:p>
        </w:tc>
      </w:tr>
      <w:tr>
        <w:trPr>
          <w:trHeight w:val="191"/>
        </w:trPr>
        <w:tc>
          <w:tcPr>
            <w:tcW w:w="3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John Martin</w:t>
            </w:r>
          </w:p>
        </w:tc>
      </w:tr>
      <w:tr>
        <w:trPr>
          <w:trHeight w:val="234"/>
        </w:trPr>
        <w:tc>
          <w:tcPr>
            <w:tcW w:w="36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2020-09-22T07:26:19Z</dcterms:created>
  <dcterms:modified xsi:type="dcterms:W3CDTF">2020-09-22T07:26:19Z</dcterms:modified>
</cp:coreProperties>
</file>