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3" w:lineRule="exact"/>
        <w:rPr>
          <w:sz w:val="24"/>
          <w:szCs w:val="24"/>
          <w:color w:val="auto"/>
        </w:rPr>
      </w:pPr>
    </w:p>
    <w:p>
      <w:pPr>
        <w:ind w:left="320"/>
        <w:spacing w:after="0" w:line="28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-188595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right="4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2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-591185</wp:posOffset>
            </wp:positionV>
            <wp:extent cx="5651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452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-591185</wp:posOffset>
            </wp:positionV>
            <wp:extent cx="56515" cy="60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452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626110</wp:posOffset>
            </wp:positionV>
            <wp:extent cx="7000875" cy="8646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8646795"/>
                    </a:xfrm>
                    <a:prstGeom prst="rect">
                      <a:avLst/>
                    </a:prstGeom>
                    <a:noFill/>
                  </pic:spPr>
                </pic:pic>
              </a:graphicData>
            </a:graphic>
          </wp:anchor>
        </w:drawing>
      </w:r>
    </w:p>
    <w:p>
      <w:pPr>
        <w:spacing w:after="0" w:line="1052" w:lineRule="exact"/>
        <w:rPr>
          <w:sz w:val="24"/>
          <w:szCs w:val="24"/>
          <w:color w:val="auto"/>
        </w:rPr>
      </w:pPr>
    </w:p>
    <w:p>
      <w:pPr>
        <w:sectPr>
          <w:pgSz w:w="11900" w:h="16901" w:orient="portrait"/>
          <w:cols w:equalWidth="0" w:num="2">
            <w:col w:w="2300" w:space="440"/>
            <w:col w:w="834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Intercontinental Exchange, Inc.</w:t>
        </w:r>
      </w:hyperlink>
    </w:p>
    <w:p>
      <w:pPr>
        <w:spacing w:after="0" w:line="28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5660 NEW NORTHSIDE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Bakkt Holdings,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BKKT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11/03/2025</w:t>
      </w:r>
    </w:p>
    <w:p>
      <w:pPr>
        <w:spacing w:after="0" w:line="20" w:lineRule="exact"/>
        <w:rPr>
          <w:sz w:val="24"/>
          <w:szCs w:val="24"/>
          <w:color w:val="auto"/>
        </w:rPr>
      </w:pPr>
      <w:r>
        <w:rPr>
          <w:sz w:val="24"/>
          <w:szCs w:val="24"/>
          <w:color w:val="auto"/>
        </w:rPr>
        <w:br w:type="column"/>
      </w:r>
    </w:p>
    <w:p>
      <w:pPr>
        <w:ind w:left="5" w:right="780" w:hanging="5"/>
        <w:spacing w:after="0" w:line="271" w:lineRule="auto"/>
        <w:tabs>
          <w:tab w:leader="none" w:pos="14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1731"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9" w:lineRule="exact"/>
        <w:rPr>
          <w:sz w:val="24"/>
          <w:szCs w:val="24"/>
          <w:color w:val="auto"/>
        </w:rPr>
      </w:pPr>
    </w:p>
    <w:p>
      <w:pPr>
        <w:sectPr>
          <w:pgSz w:w="11900" w:h="16901" w:orient="portrait"/>
          <w:cols w:equalWidth="0" w:num="3">
            <w:col w:w="3180" w:space="720"/>
            <w:col w:w="3115" w:space="720"/>
            <w:col w:w="3345"/>
          </w:cols>
          <w:pgMar w:left="460" w:top="212" w:right="359" w:bottom="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60" w:type="dxa"/>
            <w:vAlign w:val="bottom"/>
            <w:gridSpan w:val="10"/>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ATLANTA</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GA</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30328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11/05/2025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9"/>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Code (Instr. 8)</w:t>
            </w:r>
          </w:p>
        </w:tc>
        <w:tc>
          <w:tcPr>
            <w:tcW w:w="1980" w:type="dxa"/>
            <w:vAlign w:val="bottom"/>
            <w:gridSpan w:val="4"/>
          </w:tcPr>
          <w:p>
            <w:pPr>
              <w:jc w:val="center"/>
              <w:ind w:right="37"/>
              <w:spacing w:after="0" w:line="122" w:lineRule="exact"/>
              <w:rPr>
                <w:sz w:val="20"/>
                <w:szCs w:val="20"/>
                <w:color w:val="auto"/>
              </w:rPr>
            </w:pPr>
            <w:r>
              <w:rPr>
                <w:rFonts w:ascii="Arial" w:cs="Arial" w:eastAsia="Arial" w:hAnsi="Arial"/>
                <w:sz w:val="11"/>
                <w:szCs w:val="11"/>
                <w:b w:val="1"/>
                <w:bCs w:val="1"/>
                <w:color w:val="auto"/>
                <w:w w:val="99"/>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5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3"/>
          </w:tcPr>
          <w:p>
            <w:pPr>
              <w:ind w:left="40"/>
              <w:spacing w:after="0" w:line="98"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tcPr>
          <w:p>
            <w:pPr>
              <w:ind w:left="40"/>
              <w:spacing w:after="0" w:line="98"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98"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98"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Code</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6"/>
                <w:szCs w:val="16"/>
                <w:color w:val="0000FF"/>
                <w:w w:val="95"/>
              </w:rPr>
              <w:t>11/03/2025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(1)(2)</w:t>
            </w:r>
          </w:p>
        </w:tc>
        <w:tc>
          <w:tcPr>
            <w:tcW w:w="280" w:type="dxa"/>
            <w:vAlign w:val="bottom"/>
          </w:tcPr>
          <w:p>
            <w:pPr>
              <w:spacing w:after="0"/>
              <w:rPr>
                <w:sz w:val="20"/>
                <w:szCs w:val="2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w w:val="96"/>
              </w:rPr>
              <w:t>649,934</w:t>
            </w:r>
          </w:p>
        </w:tc>
        <w:tc>
          <w:tcPr>
            <w:tcW w:w="40" w:type="dxa"/>
            <w:vAlign w:val="bottom"/>
          </w:tcPr>
          <w:p>
            <w:pPr>
              <w:spacing w:after="0"/>
              <w:rPr>
                <w:sz w:val="20"/>
                <w:szCs w:val="20"/>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7"/>
              <w:spacing w:after="0"/>
              <w:rPr>
                <w:sz w:val="20"/>
                <w:szCs w:val="20"/>
                <w:color w:val="auto"/>
              </w:rPr>
            </w:pPr>
            <w:r>
              <w:rPr>
                <w:rFonts w:ascii="Times New Roman" w:cs="Times New Roman" w:eastAsia="Times New Roman" w:hAnsi="Times New Roman"/>
                <w:sz w:val="10"/>
                <w:szCs w:val="10"/>
                <w:color w:val="008000"/>
              </w:rPr>
              <w:t>(2)</w:t>
            </w:r>
          </w:p>
        </w:tc>
        <w:tc>
          <w:tcPr>
            <w:tcW w:w="1180" w:type="dxa"/>
            <w:vAlign w:val="bottom"/>
            <w:gridSpan w:val="3"/>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649,934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6"/>
                <w:szCs w:val="16"/>
                <w:color w:val="0000FF"/>
                <w:w w:val="95"/>
              </w:rPr>
              <w:t>11/03/2025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(1)(3)(8)</w:t>
            </w:r>
          </w:p>
        </w:tc>
        <w:tc>
          <w:tcPr>
            <w:tcW w:w="280" w:type="dxa"/>
            <w:vAlign w:val="bottom"/>
          </w:tcPr>
          <w:p>
            <w:pPr>
              <w:spacing w:after="0"/>
              <w:rPr>
                <w:sz w:val="20"/>
                <w:szCs w:val="2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3"/>
              </w:rPr>
              <w:t>6,803,178</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7"/>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gridSpan w:val="3"/>
            <w:vMerge w:val="restart"/>
          </w:tcPr>
          <w:p>
            <w:pPr>
              <w:jc w:val="right"/>
              <w:ind w:right="243"/>
              <w:spacing w:after="0"/>
              <w:rPr>
                <w:sz w:val="20"/>
                <w:szCs w:val="20"/>
                <w:color w:val="auto"/>
              </w:rPr>
            </w:pPr>
            <w:r>
              <w:rPr>
                <w:rFonts w:ascii="Times New Roman" w:cs="Times New Roman" w:eastAsia="Times New Roman" w:hAnsi="Times New Roman"/>
                <w:sz w:val="16"/>
                <w:szCs w:val="16"/>
                <w:color w:val="0000FF"/>
              </w:rPr>
              <w:t>7,453,112</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1"/>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gridSpan w:val="18"/>
          </w:tcPr>
          <w:p>
            <w:pPr>
              <w:jc w:val="center"/>
              <w:ind w:right="26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15"/>
          </w:tcPr>
          <w:p>
            <w:pPr>
              <w:jc w:val="center"/>
              <w:ind w:right="297"/>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5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4"/>
              </w:rPr>
              <w:t>Derivative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4"/>
              </w:rPr>
              <w:t>Securities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2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Bakkt</w:t>
            </w:r>
          </w:p>
        </w:tc>
        <w:tc>
          <w:tcPr>
            <w:tcW w:w="680" w:type="dxa"/>
            <w:vAlign w:val="bottom"/>
            <w:vMerge w:val="restart"/>
          </w:tcPr>
          <w:p>
            <w:pPr>
              <w:jc w:val="center"/>
              <w:ind w:left="26"/>
              <w:spacing w:after="0"/>
              <w:rPr>
                <w:sz w:val="20"/>
                <w:szCs w:val="20"/>
                <w:color w:val="auto"/>
              </w:rPr>
            </w:pPr>
            <w:r>
              <w:rPr>
                <w:rFonts w:ascii="Times New Roman" w:cs="Times New Roman" w:eastAsia="Times New Roman" w:hAnsi="Times New Roman"/>
                <w:sz w:val="10"/>
                <w:szCs w:val="10"/>
                <w:color w:val="008000"/>
              </w:rPr>
              <w:t>(3)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(3)(8)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restart"/>
          </w:tcPr>
          <w:p>
            <w:pPr>
              <w:jc w:val="center"/>
              <w:ind w:left="266"/>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(3)</w:t>
            </w:r>
          </w:p>
        </w:tc>
        <w:tc>
          <w:tcPr>
            <w:tcW w:w="40" w:type="dxa"/>
            <w:vAlign w:val="bottom"/>
          </w:tcPr>
          <w:p>
            <w:pPr>
              <w:spacing w:after="0"/>
              <w:rPr>
                <w:sz w:val="14"/>
                <w:szCs w:val="14"/>
                <w:color w:val="auto"/>
              </w:rPr>
            </w:pPr>
          </w:p>
        </w:tc>
        <w:tc>
          <w:tcPr>
            <w:tcW w:w="520" w:type="dxa"/>
            <w:vAlign w:val="bottom"/>
          </w:tcPr>
          <w:p>
            <w:pPr>
              <w:jc w:val="center"/>
              <w:ind w:right="37"/>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6,803,178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Opco</w:t>
            </w:r>
          </w:p>
        </w:tc>
        <w:tc>
          <w:tcPr>
            <w:tcW w:w="680" w:type="dxa"/>
            <w:vAlign w:val="bottom"/>
            <w:vMerge w:val="continue"/>
          </w:tcPr>
          <w:p>
            <w:pPr>
              <w:spacing w:after="0"/>
              <w:rPr>
                <w:sz w:val="4"/>
                <w:szCs w:val="4"/>
                <w:color w:val="auto"/>
              </w:rPr>
            </w:pPr>
          </w:p>
        </w:tc>
        <w:tc>
          <w:tcPr>
            <w:tcW w:w="1100" w:type="dxa"/>
            <w:vAlign w:val="bottom"/>
            <w:vMerge w:val="restart"/>
          </w:tcPr>
          <w:p>
            <w:pPr>
              <w:ind w:left="300"/>
              <w:spacing w:after="0" w:line="122" w:lineRule="exact"/>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2"/>
                <w:szCs w:val="12"/>
                <w:color w:val="0000FF"/>
                <w:w w:val="99"/>
              </w:rPr>
              <w:t>6,803,178</w:t>
            </w: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restart"/>
          </w:tcPr>
          <w:p>
            <w:pPr>
              <w:jc w:val="center"/>
              <w:ind w:right="17"/>
              <w:spacing w:after="0" w:line="122" w:lineRule="exact"/>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restart"/>
          </w:tcPr>
          <w:p>
            <w:pPr>
              <w:jc w:val="center"/>
              <w:ind w:left="283"/>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122"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60"/>
              <w:spacing w:after="0" w:line="76" w:lineRule="exact"/>
              <w:rPr>
                <w:sz w:val="20"/>
                <w:szCs w:val="20"/>
                <w:color w:val="auto"/>
              </w:rPr>
            </w:pPr>
            <w:r>
              <w:rPr>
                <w:rFonts w:ascii="Times New Roman" w:cs="Times New Roman" w:eastAsia="Times New Roman" w:hAnsi="Times New Roman"/>
                <w:sz w:val="8"/>
                <w:szCs w:val="8"/>
                <w:color w:val="008000"/>
              </w:rPr>
              <w:t>(4)</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restart"/>
          </w:tcPr>
          <w:p>
            <w:pPr>
              <w:jc w:val="center"/>
              <w:ind w:right="57"/>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right w:val="single" w:sz="8" w:color="2C2C2C"/>
            </w:tcBorders>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Preferred</w:t>
            </w:r>
          </w:p>
        </w:tc>
        <w:tc>
          <w:tcPr>
            <w:tcW w:w="680" w:type="dxa"/>
            <w:vAlign w:val="bottom"/>
            <w:vMerge w:val="restart"/>
          </w:tcPr>
          <w:p>
            <w:pPr>
              <w:jc w:val="center"/>
              <w:ind w:left="26"/>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restart"/>
          </w:tcPr>
          <w:p>
            <w:pPr>
              <w:jc w:val="center"/>
              <w:ind w:left="266"/>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(5)</w:t>
            </w:r>
          </w:p>
        </w:tc>
        <w:tc>
          <w:tcPr>
            <w:tcW w:w="40" w:type="dxa"/>
            <w:vAlign w:val="bottom"/>
          </w:tcPr>
          <w:p>
            <w:pPr>
              <w:spacing w:after="0"/>
              <w:rPr>
                <w:sz w:val="14"/>
                <w:szCs w:val="14"/>
                <w:color w:val="auto"/>
              </w:rPr>
            </w:pPr>
          </w:p>
        </w:tc>
        <w:tc>
          <w:tcPr>
            <w:tcW w:w="520" w:type="dxa"/>
            <w:vAlign w:val="bottom"/>
          </w:tcPr>
          <w:p>
            <w:pPr>
              <w:jc w:val="center"/>
              <w:ind w:right="37"/>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465,890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39.34</w:t>
            </w:r>
            <w:r>
              <w:rPr>
                <w:rFonts w:ascii="Times New Roman" w:cs="Times New Roman" w:eastAsia="Times New Roman" w:hAnsi="Times New Roman"/>
                <w:sz w:val="20"/>
                <w:szCs w:val="20"/>
                <w:color w:val="008000"/>
                <w:w w:val="90"/>
                <w:vertAlign w:val="superscript"/>
              </w:rPr>
              <w:t>(6)</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465,890</w:t>
            </w: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465,890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0" w:type="dxa"/>
            <w:vAlign w:val="bottom"/>
            <w:gridSpan w:val="2"/>
          </w:tcPr>
          <w:p>
            <w:pPr>
              <w:ind w:left="340"/>
              <w:spacing w:after="0" w:line="101" w:lineRule="exact"/>
              <w:rPr>
                <w:sz w:val="20"/>
                <w:szCs w:val="20"/>
                <w:color w:val="auto"/>
              </w:rPr>
            </w:pPr>
            <w:r>
              <w:rPr>
                <w:rFonts w:ascii="Times New Roman" w:cs="Times New Roman" w:eastAsia="Times New Roman" w:hAnsi="Times New Roman"/>
                <w:sz w:val="10"/>
                <w:szCs w:val="10"/>
                <w:color w:val="008000"/>
              </w:rPr>
              <w:t>(1)(5)</w:t>
            </w: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460"/>
              <w:spacing w:after="0" w:line="101" w:lineRule="exact"/>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6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restart"/>
          </w:tcPr>
          <w:p>
            <w:pPr>
              <w:jc w:val="center"/>
              <w:ind w:right="57"/>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right w:val="single" w:sz="8" w:color="2C2C2C"/>
            </w:tcBorders>
            <w:gridSpan w:val="3"/>
          </w:tcPr>
          <w:p>
            <w:pPr>
              <w:ind w:left="60"/>
              <w:spacing w:after="0" w:line="110"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1</w:t>
            </w: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restart"/>
          </w:tcPr>
          <w:p>
            <w:pPr>
              <w:jc w:val="center"/>
              <w:ind w:right="37"/>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Warrants</w:t>
            </w: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(7)</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230,680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80" w:type="dxa"/>
            <w:vAlign w:val="bottom"/>
            <w:vMerge w:val="restart"/>
          </w:tcPr>
          <w:p>
            <w:pPr>
              <w:jc w:val="center"/>
              <w:ind w:left="6"/>
              <w:spacing w:after="0" w:line="134"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25.5</w:t>
            </w:r>
          </w:p>
        </w:tc>
        <w:tc>
          <w:tcPr>
            <w:tcW w:w="1100" w:type="dxa"/>
            <w:vAlign w:val="bottom"/>
            <w:vMerge w:val="restart"/>
          </w:tcPr>
          <w:p>
            <w:pPr>
              <w:ind w:left="300"/>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7"/>
                <w:szCs w:val="7"/>
                <w:color w:val="0000FF"/>
                <w:w w:val="71"/>
              </w:rPr>
              <w:t>J</w:t>
            </w:r>
          </w:p>
        </w:tc>
        <w:tc>
          <w:tcPr>
            <w:tcW w:w="1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7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09/04/2029</w:t>
            </w:r>
          </w:p>
        </w:tc>
        <w:tc>
          <w:tcPr>
            <w:tcW w:w="560" w:type="dxa"/>
            <w:vAlign w:val="bottom"/>
            <w:gridSpan w:val="2"/>
            <w:vMerge w:val="restart"/>
          </w:tcPr>
          <w:p>
            <w:pPr>
              <w:jc w:val="center"/>
              <w:ind w:right="17"/>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58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tcPr>
          <w:p>
            <w:pPr>
              <w:ind w:left="80"/>
              <w:spacing w:after="0" w:line="61" w:lineRule="exact"/>
              <w:rPr>
                <w:sz w:val="20"/>
                <w:szCs w:val="20"/>
                <w:color w:val="auto"/>
              </w:rPr>
            </w:pPr>
            <w:r>
              <w:rPr>
                <w:rFonts w:ascii="Times New Roman" w:cs="Times New Roman" w:eastAsia="Times New Roman" w:hAnsi="Times New Roman"/>
                <w:sz w:val="7"/>
                <w:szCs w:val="7"/>
                <w:color w:val="0000FF"/>
              </w:rPr>
              <w:t>(right to</w:t>
            </w:r>
          </w:p>
        </w:tc>
        <w:tc>
          <w:tcPr>
            <w:tcW w:w="6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2C2C2C"/>
            </w:tcBorders>
            <w:gridSpan w:val="3"/>
          </w:tcPr>
          <w:p>
            <w:pPr>
              <w:ind w:left="60"/>
              <w:spacing w:after="0" w:line="61"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158"/>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2</w:t>
            </w: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restart"/>
          </w:tcPr>
          <w:p>
            <w:pPr>
              <w:jc w:val="center"/>
              <w:ind w:right="37"/>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Warrants</w:t>
            </w: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(7)</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230,680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80" w:type="dxa"/>
            <w:vAlign w:val="bottom"/>
            <w:vMerge w:val="restart"/>
          </w:tcPr>
          <w:p>
            <w:pPr>
              <w:jc w:val="center"/>
              <w:ind w:left="6"/>
              <w:spacing w:after="0" w:line="134"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25.5</w:t>
            </w:r>
          </w:p>
        </w:tc>
        <w:tc>
          <w:tcPr>
            <w:tcW w:w="1100" w:type="dxa"/>
            <w:vAlign w:val="bottom"/>
            <w:vMerge w:val="restart"/>
          </w:tcPr>
          <w:p>
            <w:pPr>
              <w:ind w:left="300"/>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7"/>
                <w:szCs w:val="7"/>
                <w:color w:val="0000FF"/>
                <w:w w:val="71"/>
              </w:rPr>
              <w:t>J</w:t>
            </w:r>
          </w:p>
        </w:tc>
        <w:tc>
          <w:tcPr>
            <w:tcW w:w="1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7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09/04/2029</w:t>
            </w:r>
          </w:p>
        </w:tc>
        <w:tc>
          <w:tcPr>
            <w:tcW w:w="560" w:type="dxa"/>
            <w:vAlign w:val="bottom"/>
            <w:gridSpan w:val="2"/>
            <w:vMerge w:val="restart"/>
          </w:tcPr>
          <w:p>
            <w:pPr>
              <w:jc w:val="center"/>
              <w:ind w:right="17"/>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58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tcPr>
          <w:p>
            <w:pPr>
              <w:ind w:left="80"/>
              <w:spacing w:after="0" w:line="61" w:lineRule="exact"/>
              <w:rPr>
                <w:sz w:val="20"/>
                <w:szCs w:val="20"/>
                <w:color w:val="auto"/>
              </w:rPr>
            </w:pPr>
            <w:r>
              <w:rPr>
                <w:rFonts w:ascii="Times New Roman" w:cs="Times New Roman" w:eastAsia="Times New Roman" w:hAnsi="Times New Roman"/>
                <w:sz w:val="7"/>
                <w:szCs w:val="7"/>
                <w:color w:val="0000FF"/>
              </w:rPr>
              <w:t>(right to</w:t>
            </w:r>
          </w:p>
        </w:tc>
        <w:tc>
          <w:tcPr>
            <w:tcW w:w="6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2C2C2C"/>
            </w:tcBorders>
            <w:gridSpan w:val="3"/>
          </w:tcPr>
          <w:p>
            <w:pPr>
              <w:ind w:left="60"/>
              <w:spacing w:after="0" w:line="61"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158"/>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440" w:type="dxa"/>
            <w:vAlign w:val="bottom"/>
            <w:gridSpan w:val="4"/>
          </w:tcPr>
          <w:p>
            <w:pPr>
              <w:ind w:left="80"/>
              <w:spacing w:after="0" w:line="21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300" w:type="dxa"/>
            <w:vAlign w:val="bottom"/>
            <w:gridSpan w:val="6"/>
          </w:tcPr>
          <w:p>
            <w:pPr>
              <w:spacing w:after="0" w:line="208"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Intercontinental Exchange, Inc.</w:t>
              </w:r>
            </w:hyperlink>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5660 NEW NORTHSIDE DRIVE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ATLANTA</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GA</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30328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4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300" w:type="dxa"/>
            <w:vAlign w:val="bottom"/>
            <w:gridSpan w:val="6"/>
          </w:tcPr>
          <w:p>
            <w:pPr>
              <w:spacing w:after="0" w:line="208"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Intercontinental Exchange Holdings, Inc.</w:t>
              </w:r>
            </w:hyperlink>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5660 NEW NORTHSIDE DRIVE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ATLANTA</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GA</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30328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-5644515</wp:posOffset>
            </wp:positionV>
            <wp:extent cx="27940"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682875"/>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On November 3, 2025, pursuant to a reorganization (the "Reorganization"), Bakkt Holdings, Inc. (formerly known as Bakkt NewCo Holdings, Inc.) (the "Issuer") became the successor of Bakkt Intermediate Holdings, Inc.</w:t>
      </w:r>
    </w:p>
    <w:p>
      <w:pPr>
        <w:sectPr>
          <w:pgSz w:w="11900" w:h="16901" w:orient="portrait"/>
          <w:cols w:equalWidth="0" w:num="1">
            <w:col w:w="11080"/>
          </w:cols>
          <w:pgMar w:left="460" w:top="212" w:right="359" w:bottom="0" w:gutter="0" w:footer="0" w:header="0"/>
          <w:type w:val="continuous"/>
        </w:sectPr>
      </w:pPr>
    </w:p>
    <w:bookmarkStart w:id="1" w:name="page2"/>
    <w:bookmarkEnd w:id="1"/>
    <w:p>
      <w:pPr>
        <w:ind w:left="6" w:right="20"/>
        <w:spacing w:after="0" w:line="250" w:lineRule="auto"/>
        <w:rPr>
          <w:sz w:val="20"/>
          <w:szCs w:val="20"/>
          <w:color w:val="auto"/>
        </w:rPr>
      </w:pPr>
      <w:r>
        <w:rPr>
          <w:rFonts w:ascii="Times New Roman" w:cs="Times New Roman" w:eastAsia="Times New Roman" w:hAnsi="Times New Roman"/>
          <w:sz w:val="12"/>
          <w:szCs w:val="12"/>
          <w:color w:val="008000"/>
        </w:rPr>
        <w:t>(formerly known as Bakkt Holdings, Inc.) ("Bakkt") pursuant to merger transactions in which a subsidiary of the Issuer merged with and into Bakkt, with Bakkt surviving and, immediately following such merger, a subsidiary of the Issuer merged with and into Bakkt OpCo Holdings LLC ("OpCo"), a subsidiary of Bakkt, with OpCo surviving. The mergers resulted in the Issuer becoming the parent holding company of Bakkt and OpCo but did not alter the proportionate economic interests of security holders.</w:t>
      </w:r>
    </w:p>
    <w:p>
      <w:pPr>
        <w:spacing w:after="0" w:line="19" w:lineRule="exact"/>
        <w:rPr>
          <w:sz w:val="20"/>
          <w:szCs w:val="20"/>
          <w:color w:val="auto"/>
        </w:rPr>
      </w:pPr>
    </w:p>
    <w:p>
      <w:pPr>
        <w:ind w:left="6" w:right="20" w:hanging="6"/>
        <w:spacing w:after="0" w:line="24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PubCo Merger Agreement (as defined in the Form 8K12B filed by the Issuer on November 3, 2025 (the "8-K")), (i) each share of Class A common stock of Bakkt ("Bakkt Class A Common Stock") issued and outstanding immediately prior to the effective time of the Holding Company Reorganization (as defined in the 8-K) (the "Holding Company Reorganization Effective Time") was converted automatically into the right to receive one validly issued, fully paid and non-assessable share of the Issuer's Class A Common Stock, having the same rights and limitations as the shares so converted, and (ii) each share of Class V common stock of Bakkt issued and outstanding immediately prior to the Holding Company Reorganization Effective Time was converted automatically into the right to receive one validly issued, fully paid and non-assessable share of the Issuer's Class V Common Stock, having the same rights and limitations as the shares so converted.</w:t>
      </w:r>
    </w:p>
    <w:p>
      <w:pPr>
        <w:spacing w:after="0" w:line="24" w:lineRule="exact"/>
        <w:rPr>
          <w:rFonts w:ascii="Times New Roman" w:cs="Times New Roman" w:eastAsia="Times New Roman" w:hAnsi="Times New Roman"/>
          <w:sz w:val="12"/>
          <w:szCs w:val="12"/>
          <w:color w:val="008000"/>
        </w:rPr>
      </w:pPr>
    </w:p>
    <w:p>
      <w:pPr>
        <w:ind w:left="6" w:right="40" w:hanging="6"/>
        <w:spacing w:after="0" w:line="24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OpCo Merger Agreement (as defined in the 8-K), each outstanding common unit of OpCo ("OpCo Common Unit"), other than any OpCo Common Unit owned by Bakkt, together with one share of the Issuer's Class V Common Stock paired therewith, issued and outstanding immediately prior to the effective time of the OpCo Merger (the "OpCo Merger Effective Time") was exchanged for the right to receive one validly issued, fully paid and non-assessable share of the Issuer's Class A Common Stock, resulting in the elimination of the shares of the Issuer's Class V Common Stock and the Issuer having only a single class of common stock outstanding (the Class A Common Stock).</w:t>
      </w:r>
    </w:p>
    <w:p>
      <w:pPr>
        <w:spacing w:after="0" w:line="22" w:lineRule="exact"/>
        <w:rPr>
          <w:rFonts w:ascii="Times New Roman" w:cs="Times New Roman" w:eastAsia="Times New Roman" w:hAnsi="Times New Roman"/>
          <w:sz w:val="12"/>
          <w:szCs w:val="12"/>
          <w:color w:val="008000"/>
        </w:rPr>
      </w:pPr>
    </w:p>
    <w:p>
      <w:pPr>
        <w:ind w:left="126" w:hanging="126"/>
        <w:spacing w:after="0"/>
        <w:tabs>
          <w:tab w:leader="none" w:pos="12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Intercontinental Exchange Holdings, Inc. ("ICEH") is the direct holder of the securities reflected in this Form 4. ICEH is a wholly owned subsidiary of Intercontinental Exchange, Inc. ("ICE").</w:t>
      </w:r>
    </w:p>
    <w:p>
      <w:pPr>
        <w:spacing w:after="0" w:line="44" w:lineRule="exact"/>
        <w:rPr>
          <w:rFonts w:ascii="Times New Roman" w:cs="Times New Roman" w:eastAsia="Times New Roman" w:hAnsi="Times New Roman"/>
          <w:sz w:val="12"/>
          <w:szCs w:val="12"/>
          <w:color w:val="008000"/>
        </w:rPr>
      </w:pPr>
    </w:p>
    <w:p>
      <w:pPr>
        <w:ind w:left="6" w:right="140" w:hanging="6"/>
        <w:spacing w:after="0" w:line="24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TRA Amendment and the Contribution Agreement, as amended (both defined in the 8-K), ICEH agreed that it would, immediately prior to the closing of the Reorganization, (i) contribute its rights under the TRA to the Issuer in exchange for a cash payment from the Issuer equal to the amount to which ICEH would otherwise be entitled under the TRA and (ii) ICEH would further contribute such cash to the Issuer in exchange for shares of the Issuer's Series A Non-Voting Convertible Preferred Stock (the Issuer's "Preferred Stock"). ICEH received 465,890 shares of the Issuer's Preferred Stock. These shares will be automatically converted into shares of the Issuer's Class A Common Stock upon the earlier of (i) the expiry or termination of the waiting period applicable to such conversion under the Hart-Scott-Rodino Antitrust Improvements Act of 1976 or (ii) a direct transfer to an unaffiliated party of the holder thereof.</w:t>
      </w:r>
    </w:p>
    <w:p>
      <w:pPr>
        <w:spacing w:after="0" w:line="24" w:lineRule="exact"/>
        <w:rPr>
          <w:rFonts w:ascii="Times New Roman" w:cs="Times New Roman" w:eastAsia="Times New Roman" w:hAnsi="Times New Roman"/>
          <w:sz w:val="12"/>
          <w:szCs w:val="12"/>
          <w:color w:val="008000"/>
        </w:rPr>
      </w:pPr>
    </w:p>
    <w:p>
      <w:pPr>
        <w:ind w:left="126" w:hanging="126"/>
        <w:spacing w:after="0"/>
        <w:tabs>
          <w:tab w:leader="none" w:pos="12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Contribution Agreement, the price at which ICEH received shares in exchange for its contribution was determined based on the "Minimum Price," as defined in NYSE Rule 312.04(h).</w:t>
      </w:r>
    </w:p>
    <w:p>
      <w:pPr>
        <w:spacing w:after="0" w:line="44" w:lineRule="exact"/>
        <w:rPr>
          <w:rFonts w:ascii="Times New Roman" w:cs="Times New Roman" w:eastAsia="Times New Roman" w:hAnsi="Times New Roman"/>
          <w:sz w:val="12"/>
          <w:szCs w:val="12"/>
          <w:color w:val="008000"/>
        </w:rPr>
      </w:pPr>
    </w:p>
    <w:p>
      <w:pPr>
        <w:ind w:left="6" w:right="60" w:hanging="6"/>
        <w:spacing w:after="0" w:line="26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reported on the Issuer's Form 4s, as filed on March 4, 2024, and April 29, 2024, ICEH acquired Class 1 and Class 2 Warrants from Bakkt. Each of Bakkt's Class 1 and Class 2 Warrants to purchase shares of Bakkt Class A Common Stock that was outstanding and unexercised prior to the Reorganization was exchanged for an equivalent immediately exercisable warrant to purchase the Issuer's Class A Common Stock.</w:t>
      </w:r>
    </w:p>
    <w:p>
      <w:pPr>
        <w:spacing w:after="0" w:line="8" w:lineRule="exact"/>
        <w:rPr>
          <w:rFonts w:ascii="Times New Roman" w:cs="Times New Roman" w:eastAsia="Times New Roman" w:hAnsi="Times New Roman"/>
          <w:sz w:val="12"/>
          <w:szCs w:val="12"/>
          <w:color w:val="008000"/>
        </w:rPr>
      </w:pPr>
    </w:p>
    <w:p>
      <w:pPr>
        <w:ind w:left="6" w:hanging="6"/>
        <w:spacing w:after="0" w:line="26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5, 2025, ICE filed a Form 4 that inadvertently did not include ICEH as an additional reporting person. The prior Form 4 also inadvertently included the transaction code "M" where "C" was appropriate. This amendment includes the correct reporting persons and transaction codes for the transactions reported therein.</w:t>
      </w:r>
    </w:p>
    <w:p>
      <w:pPr>
        <w:spacing w:after="0" w:line="32"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Intercontinental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-7620</wp:posOffset>
            </wp:positionV>
            <wp:extent cx="12852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85240" cy="7620"/>
                    </a:xfrm>
                    <a:prstGeom prst="rect">
                      <a:avLst/>
                    </a:prstGeom>
                    <a:noFill/>
                  </pic:spPr>
                </pic:pic>
              </a:graphicData>
            </a:graphic>
          </wp:anchor>
        </w:drawing>
      </w:r>
    </w:p>
    <w:p>
      <w:pPr>
        <w:spacing w:after="0" w:line="3" w:lineRule="exact"/>
        <w:rPr>
          <w:sz w:val="20"/>
          <w:szCs w:val="20"/>
          <w:color w:val="auto"/>
        </w:rPr>
      </w:pPr>
    </w:p>
    <w:p>
      <w:pPr>
        <w:ind w:left="6566"/>
        <w:spacing w:after="0"/>
        <w:tabs>
          <w:tab w:leader="none" w:pos="8746" w:val="left"/>
        </w:tabs>
        <w:rPr>
          <w:sz w:val="20"/>
          <w:szCs w:val="20"/>
          <w:color w:val="auto"/>
        </w:rPr>
      </w:pPr>
      <w:r>
        <w:rPr>
          <w:rFonts w:ascii="Times New Roman" w:cs="Times New Roman" w:eastAsia="Times New Roman" w:hAnsi="Times New Roman"/>
          <w:sz w:val="16"/>
          <w:szCs w:val="16"/>
          <w:color w:val="0000FF"/>
        </w:rPr>
        <w:t>By: /s/ Andrew Surdykowski,</w:t>
      </w:r>
      <w:r>
        <w:rPr>
          <w:sz w:val="20"/>
          <w:szCs w:val="20"/>
          <w:color w:val="auto"/>
        </w:rPr>
        <w:tab/>
      </w:r>
      <w:r>
        <w:rPr>
          <w:rFonts w:ascii="Times New Roman" w:cs="Times New Roman" w:eastAsia="Times New Roman" w:hAnsi="Times New Roman"/>
          <w:sz w:val="15"/>
          <w:szCs w:val="15"/>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-15240</wp:posOffset>
            </wp:positionV>
            <wp:extent cx="18554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55470"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-15240</wp:posOffset>
            </wp:positionV>
            <wp:extent cx="6718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71830" cy="7620"/>
                    </a:xfrm>
                    <a:prstGeom prst="rect">
                      <a:avLst/>
                    </a:prstGeom>
                    <a:noFill/>
                  </pic:spPr>
                </pic:pic>
              </a:graphicData>
            </a:graphic>
          </wp:anchor>
        </w:drawing>
      </w:r>
    </w:p>
    <w:p>
      <w:pPr>
        <w:spacing w:after="0" w:line="27"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Intercontinental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-7620</wp:posOffset>
            </wp:positionV>
            <wp:extent cx="10566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3" w:lineRule="exact"/>
        <w:rPr>
          <w:sz w:val="20"/>
          <w:szCs w:val="20"/>
          <w:color w:val="auto"/>
        </w:rPr>
      </w:pPr>
    </w:p>
    <w:p>
      <w:pPr>
        <w:ind w:left="6566"/>
        <w:spacing w:after="0"/>
        <w:tabs>
          <w:tab w:leader="none" w:pos="8746" w:val="left"/>
        </w:tabs>
        <w:rPr>
          <w:sz w:val="20"/>
          <w:szCs w:val="20"/>
          <w:color w:val="auto"/>
        </w:rPr>
      </w:pPr>
      <w:r>
        <w:rPr>
          <w:rFonts w:ascii="Times New Roman" w:cs="Times New Roman" w:eastAsia="Times New Roman" w:hAnsi="Times New Roman"/>
          <w:sz w:val="16"/>
          <w:szCs w:val="16"/>
          <w:color w:val="0000FF"/>
        </w:rPr>
        <w:t>Holdings, Inc., By: /s/ Andrew</w:t>
      </w:r>
      <w:r>
        <w:rPr>
          <w:sz w:val="20"/>
          <w:szCs w:val="20"/>
          <w:color w:val="auto"/>
        </w:rPr>
        <w:tab/>
      </w:r>
      <w:r>
        <w:rPr>
          <w:rFonts w:ascii="Times New Roman" w:cs="Times New Roman" w:eastAsia="Times New Roman" w:hAnsi="Times New Roman"/>
          <w:sz w:val="15"/>
          <w:szCs w:val="15"/>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-15240</wp:posOffset>
            </wp:positionV>
            <wp:extent cx="18554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55470"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Surdykowski,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-15240</wp:posOffset>
            </wp:positionV>
            <wp:extent cx="12522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52220" cy="7620"/>
                    </a:xfrm>
                    <a:prstGeom prst="rect">
                      <a:avLst/>
                    </a:prstGeom>
                    <a:noFill/>
                  </pic:spPr>
                </pic:pic>
              </a:graphicData>
            </a:graphic>
          </wp:anchor>
        </w:drawing>
      </w:r>
    </w:p>
    <w:p>
      <w:pPr>
        <w:spacing w:after="0" w:line="27" w:lineRule="exact"/>
        <w:rPr>
          <w:sz w:val="20"/>
          <w:szCs w:val="20"/>
          <w:color w:val="auto"/>
        </w:rPr>
      </w:pPr>
    </w:p>
    <w:p>
      <w:pPr>
        <w:ind w:left="6566"/>
        <w:spacing w:after="0"/>
        <w:tabs>
          <w:tab w:leader="none" w:pos="8746"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6" w:right="3860" w:hanging="6"/>
        <w:spacing w:after="0" w:line="31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6"/>
      </w:cols>
      <w:pgMar w:left="494"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571949" TargetMode="External"/><Relationship Id="rId14" Type="http://schemas.openxmlformats.org/officeDocument/2006/relationships/hyperlink" Target="http://www.sec.gov/cgi-bin/browse-edgar?action=getcompany&amp;CIK=0001820302" TargetMode="External"/><Relationship Id="rId16" Type="http://schemas.openxmlformats.org/officeDocument/2006/relationships/hyperlink" Target="http://www.sec.gov/cgi-bin/browse-edgar?action=getcompany&amp;CIK=0001174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2025-12-05T17:14:10Z</dcterms:created>
  <dcterms:modified xsi:type="dcterms:W3CDTF">2025-12-05T17:14:10Z</dcterms:modified>
</cp:coreProperties>
</file>