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10-Q/A</w:t>
      </w: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right="100" w:hanging="424"/>
        <w:spacing w:after="0" w:line="23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84"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453"/>
        </w:trPr>
        <w:tc>
          <w:tcPr>
            <w:tcW w:w="4040" w:type="dxa"/>
            <w:vAlign w:val="bottom"/>
            <w:gridSpan w:val="4"/>
          </w:tcPr>
          <w:p>
            <w:pPr>
              <w:ind w:left="680"/>
              <w:spacing w:after="0"/>
              <w:rPr>
                <w:sz w:val="20"/>
                <w:szCs w:val="20"/>
                <w:color w:val="auto"/>
              </w:rPr>
            </w:pPr>
            <w:r>
              <w:rPr>
                <w:rFonts w:ascii="Arial" w:cs="Arial" w:eastAsia="Arial" w:hAnsi="Arial"/>
                <w:sz w:val="18"/>
                <w:szCs w:val="18"/>
                <w:b w:val="1"/>
                <w:bCs w:val="1"/>
                <w:color w:val="auto"/>
              </w:rPr>
              <w:t>Commission filenumber:001-39544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84" w:type="dxa"/>
        <w:tblCellMar>
          <w:top w:w="0" w:type="dxa"/>
          <w:left w:w="0" w:type="dxa"/>
          <w:bottom w:w="0" w:type="dxa"/>
          <w:right w:w="0" w:type="dxa"/>
        </w:tblCellMar>
      </w:tblPr>
      <w:tr>
        <w:trPr>
          <w:trHeight w:val="212"/>
        </w:trPr>
        <w:tc>
          <w:tcPr>
            <w:tcW w:w="6800" w:type="dxa"/>
            <w:vAlign w:val="bottom"/>
          </w:tcPr>
          <w:p>
            <w:pPr>
              <w:jc w:val="center"/>
              <w:ind w:right="232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right"/>
              <w:ind w:right="41"/>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6800" w:type="dxa"/>
            <w:vAlign w:val="bottom"/>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800" w:type="dxa"/>
            <w:vAlign w:val="bottom"/>
          </w:tcPr>
          <w:p>
            <w:pPr>
              <w:jc w:val="center"/>
              <w:ind w:right="2320"/>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jc w:val="center"/>
              <w:ind w:left="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800" w:type="dxa"/>
            <w:vAlign w:val="bottom"/>
          </w:tcPr>
          <w:p>
            <w:pPr>
              <w:jc w:val="center"/>
              <w:ind w:right="2320"/>
              <w:spacing w:after="0"/>
              <w:rPr>
                <w:sz w:val="20"/>
                <w:szCs w:val="20"/>
                <w:color w:val="auto"/>
              </w:rPr>
            </w:pPr>
            <w:r>
              <w:rPr>
                <w:rFonts w:ascii="Arial" w:cs="Arial" w:eastAsia="Arial" w:hAnsi="Arial"/>
                <w:sz w:val="18"/>
                <w:szCs w:val="18"/>
                <w:b w:val="1"/>
                <w:bCs w:val="1"/>
                <w:color w:val="auto"/>
                <w:w w:val="90"/>
              </w:rPr>
              <w:t>10000 Avalon Boulevard, Suite 1000, Alpharetta, Georgia</w:t>
            </w:r>
          </w:p>
        </w:tc>
        <w:tc>
          <w:tcPr>
            <w:tcW w:w="15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30009</w:t>
            </w:r>
          </w:p>
        </w:tc>
      </w:tr>
      <w:tr>
        <w:trPr>
          <w:trHeight w:val="186"/>
        </w:trPr>
        <w:tc>
          <w:tcPr>
            <w:tcW w:w="6800" w:type="dxa"/>
            <w:vAlign w:val="bottom"/>
          </w:tcPr>
          <w:p>
            <w:pPr>
              <w:jc w:val="center"/>
              <w:ind w:right="23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20" w:type="dxa"/>
            <w:vAlign w:val="bottom"/>
          </w:tcPr>
          <w:p>
            <w:pPr>
              <w:jc w:val="center"/>
              <w:ind w:left="3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800" w:type="dxa"/>
            <w:vAlign w:val="bottom"/>
          </w:tcPr>
          <w:p>
            <w:pPr>
              <w:jc w:val="right"/>
              <w:ind w:right="1240"/>
              <w:spacing w:after="0"/>
              <w:rPr>
                <w:sz w:val="20"/>
                <w:szCs w:val="20"/>
                <w:color w:val="auto"/>
              </w:rPr>
            </w:pPr>
            <w:r>
              <w:rPr>
                <w:rFonts w:ascii="Arial" w:cs="Arial" w:eastAsia="Arial" w:hAnsi="Arial"/>
                <w:sz w:val="18"/>
                <w:szCs w:val="18"/>
                <w:b w:val="1"/>
                <w:bCs w:val="1"/>
                <w:color w:val="auto"/>
              </w:rPr>
              <w:t>(678) 534-5849</w:t>
            </w:r>
          </w:p>
        </w:tc>
        <w:tc>
          <w:tcPr>
            <w:tcW w:w="1520" w:type="dxa"/>
            <w:vAlign w:val="bottom"/>
          </w:tcPr>
          <w:p>
            <w:pPr>
              <w:spacing w:after="0"/>
              <w:rPr>
                <w:sz w:val="24"/>
                <w:szCs w:val="24"/>
                <w:color w:val="auto"/>
              </w:rPr>
            </w:pPr>
          </w:p>
        </w:tc>
      </w:tr>
      <w:tr>
        <w:trPr>
          <w:trHeight w:val="186"/>
        </w:trPr>
        <w:tc>
          <w:tcPr>
            <w:tcW w:w="6800" w:type="dxa"/>
            <w:vAlign w:val="bottom"/>
          </w:tcPr>
          <w:p>
            <w:pPr>
              <w:jc w:val="center"/>
              <w:ind w:left="2980"/>
              <w:spacing w:after="0"/>
              <w:rPr>
                <w:sz w:val="20"/>
                <w:szCs w:val="20"/>
                <w:color w:val="auto"/>
              </w:rPr>
            </w:pPr>
            <w:r>
              <w:rPr>
                <w:rFonts w:ascii="Arial" w:cs="Arial" w:eastAsia="Arial" w:hAnsi="Arial"/>
                <w:sz w:val="14"/>
                <w:szCs w:val="14"/>
                <w:b w:val="1"/>
                <w:bCs w:val="1"/>
                <w:color w:val="auto"/>
                <w:w w:val="91"/>
              </w:rPr>
              <w:t>(Issuer’s telephone number, including area code)</w:t>
            </w:r>
          </w:p>
        </w:tc>
        <w:tc>
          <w:tcPr>
            <w:tcW w:w="15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4"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4"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Rule12b-2ofthe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4"/>
        <w:spacing w:after="0" w:line="207" w:lineRule="exact"/>
        <w:tabs>
          <w:tab w:leader="none" w:pos="8584" w:val="left"/>
          <w:tab w:leader="none" w:pos="9284" w:val="left"/>
        </w:tabs>
        <w:rPr>
          <w:sz w:val="20"/>
          <w:szCs w:val="20"/>
          <w:color w:val="auto"/>
        </w:rPr>
      </w:pPr>
      <w:r>
        <w:rPr>
          <w:rFonts w:ascii="Arial" w:cs="Arial" w:eastAsia="Arial" w:hAnsi="Arial"/>
          <w:sz w:val="17"/>
          <w:szCs w:val="17"/>
          <w:color w:val="auto"/>
        </w:rPr>
        <w:t>Indicate by check mark whether the registrant is a shell company (as defined inRule12b-2ofthe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024"/>
          </w:cols>
          <w:pgMar w:left="436" w:top="368"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November 30, 2021, there were 57,164,266 shares of common stock,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175260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217805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Bakkt Holdings, Inc., formerly known as VPC Impact Acquisition Holdings (the “Company”) is filing this Amendment No. 1 to its Quarterly Report on Form 10-Q/A for the three and nine month period ended September 30, 2021 (the “Amended Form 10-Q” or “10-Q/A”), as originally filed with the U.S. Securities and Exchange Commission (the “SEC”) on October 13, 2021 (the “Original Form 10-Q”), as further described below.</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amended and restated report on Form 10-Q/A is presented as of the filing date of the Original Form 10-Q and does not reflect events occurring after that date, or modify or update disclosures in any way other than as required to reflect the restatement as described below. Accordingly, this Amended Form10-Q/A should be read in conjunction with our filings with the SEC subsequent to the date on which we filed the Original Form 10-Q.</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is filing this Amended Form 10-Q/A to reflect a restatement of the Company’s condensed financial statements for the three months ended March 31, 2021, as of and for the three and six months ended June 30, 2021.</w:t>
      </w:r>
    </w:p>
    <w:p>
      <w:pPr>
        <w:spacing w:after="0" w:line="17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(“Merger Sub”), and Bakkt Opco Holdings, LLC, a Delaware limited liability corporation (f/k/a Bakkt Holdings, LLC) (“Opco”).</w:t>
      </w:r>
    </w:p>
    <w:p>
      <w:pPr>
        <w:spacing w:after="0" w:line="17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On October 18, 2021, the trading day following the Closing Date, the Company’s Class A common stock and warrants began trading on the NYSE under the symbols “BKKT” and “BKKT WS,” respectively. The Company’s public units automatically separated into their component securities upon consummation of the Business Combination and, as a result, no longer trade as a separate security and were delisted from NASDAQ.</w:t>
      </w:r>
    </w:p>
    <w:p>
      <w:pPr>
        <w:spacing w:after="0" w:line="14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Unless stated otherwise, this report contains information about the Company before the consummation of the Business Combination. References to the “Company” in this report refer to Bakkt Holdings, Inc. before the consummation of the Business Combination. All other capitalized but unidentified terms in this Explanatory Note have the meanings ascribed to such terms elsewhere within this Amendment No. 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Restatement</w:t>
      </w:r>
    </w:p>
    <w:p>
      <w:pPr>
        <w:spacing w:after="0" w:line="121" w:lineRule="exact"/>
        <w:rPr>
          <w:sz w:val="20"/>
          <w:szCs w:val="20"/>
          <w:color w:val="auto"/>
        </w:rPr>
      </w:pPr>
    </w:p>
    <w:p>
      <w:pPr>
        <w:ind w:right="320" w:firstLine="440"/>
        <w:spacing w:after="0" w:line="291" w:lineRule="auto"/>
        <w:rPr>
          <w:sz w:val="20"/>
          <w:szCs w:val="20"/>
          <w:color w:val="auto"/>
        </w:rPr>
      </w:pPr>
      <w:r>
        <w:rPr>
          <w:rFonts w:ascii="Arial" w:cs="Arial" w:eastAsia="Arial" w:hAnsi="Arial"/>
          <w:sz w:val="16"/>
          <w:szCs w:val="16"/>
          <w:color w:val="auto"/>
        </w:rPr>
        <w:t>All of the shares held by the Company’s public shareholders (the “Public Shares”) contain a redemption feature which provides each holder of such shares with the opportunity to have their shares redeemed, and management has no control over which Public Shares will be redeemed. ASC</w:t>
      </w:r>
    </w:p>
    <w:p>
      <w:pPr>
        <w:ind w:right="40"/>
        <w:spacing w:after="0" w:line="267" w:lineRule="auto"/>
        <w:rPr>
          <w:sz w:val="20"/>
          <w:szCs w:val="20"/>
          <w:color w:val="auto"/>
        </w:rPr>
      </w:pPr>
      <w:r>
        <w:rPr>
          <w:rFonts w:ascii="Arial" w:cs="Arial" w:eastAsia="Arial" w:hAnsi="Arial"/>
          <w:sz w:val="17"/>
          <w:szCs w:val="17"/>
          <w:color w:val="auto"/>
        </w:rPr>
        <w:t>480-10-S99-3A provides that redemption provisions not solely within the control of the issuer require shares subject to redemption to be classified outside of permanent equity. Furthermore, ASC 480-10-25-6(b) provides guidance stating that in determining if an instrument is mandatorily redeemable, a provision that defers redemption until a specified liquidity level is reached would not affect classification of the instrument. As such, management has identified errors made in the historical financial statements where, at the closing of the Company’s Initial Public Offering, the Company improperly classified its Class A ordinary shares subject to possible redemption. The Company previously determined the Class A ordinary shares subject to possible redemption to be equal to the redemption value, while also taking into consideration a redemption cannot result in net tangible assets being less than $5,000,001. Management determined that the Public Shares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 redemption being equal to their redemption value. As a result, in the Original Quarterly Report management has noted a reclassification adjustment related to temporary equity and permanent equity as of September 30, 2021.</w:t>
      </w:r>
    </w:p>
    <w:p>
      <w:pPr>
        <w:spacing w:after="0" w:line="186"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Following the filing of the Original Quarterly Report, the Company’s management, together with the Audit Committee, re-evaluated the materiality of the reclassification and whether the reclassification adjustment related to temporary equity and permanent equity should be restated as of the Initial Public Offering date and the next two subsequent reporting periods. Following such re-evaluation, the Company’s management, together with the Audit Committee determined that the Company’s financial statements and other financial data as of March 31, 2021 and June 30, 2021 should be restated through the filing of this Amended Form 10-Q. The financial statements as of March 31, 2021 and as of June 30, 2021 have been restated in Note 2 of this Amended Form 10-Q, with the restatements resulting in a change in the initial carrying value of the Class A ordinary shares subject to possible redemption with the offset recorded to additional paid-in capital (to the extent available), accumulated deficit and Class A ordinary shares. Further, due to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common stock share pro rata in the income (loss) of the Company. There is no impact to the reported amounts for total assets, total liabilities, cash flows, or net income (loss). On November 22, 2021, the Company filed a report on Form 8-K disclosing the non-reliance on the financial statements included in the Original Quarterly Report the Form 10-Q for the period ended March 31, 2021 filed on May 24, 2021 and the Form 10-Q for the period ended June 30, 2021 filed on August 13, 2021.</w:t>
      </w:r>
    </w:p>
    <w:p>
      <w:pPr>
        <w:sectPr>
          <w:pgSz w:w="11900" w:h="16838" w:orient="portrait"/>
          <w:cols w:equalWidth="0" w:num="1">
            <w:col w:w="11000"/>
          </w:cols>
          <w:pgMar w:left="440" w:top="297" w:right="459" w:bottom="1440" w:gutter="0" w:footer="0" w:header="0"/>
        </w:sectPr>
      </w:pPr>
    </w:p>
    <w:bookmarkStart w:id="3" w:name="page4"/>
    <w:bookmarkEnd w:id="3"/>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financial information that has been previously filed or otherwise reported for the period ended September 30, 2021 is superseded by the information in this Amended Form 10-Q, and the financial statements and related financial information contained in the Original Quarterly Report, filed on October 12, 2021, including the filings for the Affected Periods should no longer be relied upon.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Considerations</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connection with the restatement, management has re-evaluated the effectiveness of the Company’s disclosure controls and procedures and internal control over financial reporting as of September 30, 2021. Management has concluded that, in light of the errors described above, and the filing of the Amended Form 10-Q, a material weakness exists in the Company’s internal control over financial reporting and that the Company’s disclosure controls and procedures were not effective as a result thereof. As a result of the Business Combination, the Company has a new Chief Executive Officer, Chief Financial Officer and Chief Accounting Officer as of the Closing Date. Management plans to enhance the system of evaluating and implementing the accounting standards that apply to our financial statements, including enhanced training of our personnel and increased communication among our personnel and third-party professionals with whom we consult regarding application of complex accounting standards for financial instruments. For a discussion of management’s consideration of our disclosure controls and procedures, internal controls over financial reporting, and the material weaknesses identified, see Part I, Item 4, “Controls and Procedures” of this Amended Form 10-Q.</w:t>
      </w:r>
    </w:p>
    <w:p>
      <w:pPr>
        <w:sectPr>
          <w:pgSz w:w="11900" w:h="16838" w:orient="portrait"/>
          <w:cols w:equalWidth="0" w:num="1">
            <w:col w:w="10980"/>
          </w:cols>
          <w:pgMar w:left="440" w:top="301" w:right="4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 FOR THE QUARTER ENDED SEPTEMBER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PART 1 –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660" w:type="dxa"/>
            <w:vAlign w:val="bottom"/>
            <w:gridSpan w:val="2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gridSpan w:val="22"/>
          </w:tcPr>
          <w:p>
            <w:pPr>
              <w:spacing w:after="0"/>
              <w:rPr>
                <w:sz w:val="20"/>
                <w:szCs w:val="20"/>
                <w:color w:val="auto"/>
              </w:rPr>
            </w:pPr>
            <w:r>
              <w:rPr>
                <w:rFonts w:ascii="Arial" w:cs="Arial" w:eastAsia="Arial" w:hAnsi="Arial"/>
                <w:sz w:val="18"/>
                <w:szCs w:val="18"/>
                <w:color w:val="auto"/>
              </w:rPr>
              <w:t>Item 1. Financial Statements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0280" w:type="dxa"/>
            <w:vAlign w:val="bottom"/>
            <w:gridSpan w:val="21"/>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September 30, 2021 (unaudited) and December 31, 2020</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Condensed Consolidated Statements of Operations for the Three and Nine months Ended September 30, 2021 and for the period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from July 31, 2020 (inception) through September 30, 2020</w:t>
              </w:r>
            </w:hyperlink>
          </w:p>
        </w:tc>
        <w:tc>
          <w:tcPr>
            <w:tcW w:w="5540" w:type="dxa"/>
            <w:vAlign w:val="bottom"/>
            <w:tcBorders>
              <w:top w:val="single" w:sz="8" w:color="0000EE"/>
            </w:tcBorders>
            <w:gridSpan w:val="9"/>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Unaudited Condensed Consolidated Statements of Changes in Shareholders’ Equity (Deficit) for the Three and Nine months Ended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September 30, 2021 and for the period from July 31, 2020 (inception) through September 30, 2020</w:t>
              </w:r>
            </w:hyperlink>
          </w:p>
        </w:tc>
        <w:tc>
          <w:tcPr>
            <w:tcW w:w="2160" w:type="dxa"/>
            <w:vAlign w:val="bottom"/>
            <w:tcBorders>
              <w:top w:val="single" w:sz="8" w:color="0000EE"/>
            </w:tcBorders>
            <w:gridSpan w:val="2"/>
          </w:tcPr>
          <w:p>
            <w:pPr>
              <w:spacing w:after="0"/>
              <w:rPr>
                <w:sz w:val="17"/>
                <w:szCs w:val="17"/>
                <w:color w:val="auto"/>
              </w:rPr>
            </w:pPr>
          </w:p>
        </w:tc>
        <w:tc>
          <w:tcPr>
            <w:tcW w:w="8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Unaudited Condensed Consolidated Statements of Cash Flows for the Nine months Ended September 30, 2021 and for the period from</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July 31, 2020 (inception) through September 30, 2020</w:t>
              </w:r>
            </w:hyperlink>
          </w:p>
        </w:tc>
        <w:tc>
          <w:tcPr>
            <w:tcW w:w="5640" w:type="dxa"/>
            <w:vAlign w:val="bottom"/>
            <w:tcBorders>
              <w:top w:val="single" w:sz="8" w:color="0000EE"/>
            </w:tcBorders>
            <w:gridSpan w:val="9"/>
          </w:tcPr>
          <w:p>
            <w:pPr>
              <w:spacing w:after="0"/>
              <w:rPr>
                <w:sz w:val="17"/>
                <w:szCs w:val="17"/>
                <w:color w:val="auto"/>
              </w:rPr>
            </w:pPr>
          </w:p>
        </w:tc>
        <w:tc>
          <w:tcPr>
            <w:tcW w:w="5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(unaudited)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6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7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87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57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3. Defaults Upon Senior Securities</w:t>
              </w:r>
            </w:hyperlink>
          </w:p>
        </w:tc>
        <w:tc>
          <w:tcPr>
            <w:tcW w:w="77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 Mine Safety Disclosures</w:t>
              </w:r>
            </w:hyperlink>
          </w:p>
        </w:tc>
        <w:tc>
          <w:tcPr>
            <w:tcW w:w="83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88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SIGNATURES</w:t>
              </w:r>
            </w:hyperlink>
          </w:p>
        </w:tc>
        <w:tc>
          <w:tcPr>
            <w:tcW w:w="950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385"/>
        </w:trPr>
        <w:tc>
          <w:tcPr>
            <w:tcW w:w="7000" w:type="dxa"/>
            <w:vAlign w:val="bottom"/>
            <w:gridSpan w:val="16"/>
          </w:tcPr>
          <w:p>
            <w:pPr>
              <w:ind w:left="546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7" w:right="4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20" w:type="dxa"/>
            <w:vAlign w:val="bottom"/>
            <w:gridSpan w:val="4"/>
          </w:tcPr>
          <w:p>
            <w:pPr>
              <w:jc w:val="center"/>
              <w:ind w:right="161"/>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234,959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1,412,637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investments held in Trust Account</w:t>
            </w:r>
          </w:p>
        </w:tc>
        <w:tc>
          <w:tcPr>
            <w:tcW w:w="100" w:type="dxa"/>
            <w:vAlign w:val="bottom"/>
          </w:tcPr>
          <w:p>
            <w:pPr>
              <w:spacing w:after="0"/>
              <w:rPr>
                <w:sz w:val="18"/>
                <w:szCs w:val="18"/>
                <w:color w:val="auto"/>
              </w:rPr>
            </w:pPr>
          </w:p>
        </w:tc>
        <w:tc>
          <w:tcPr>
            <w:tcW w:w="1120" w:type="dxa"/>
            <w:vAlign w:val="bottom"/>
            <w:gridSpan w:val="3"/>
          </w:tcPr>
          <w:p>
            <w:pPr>
              <w:jc w:val="right"/>
              <w:ind w:right="181"/>
              <w:spacing w:after="0"/>
              <w:rPr>
                <w:sz w:val="20"/>
                <w:szCs w:val="20"/>
                <w:color w:val="auto"/>
              </w:rPr>
            </w:pPr>
            <w:r>
              <w:rPr>
                <w:rFonts w:ascii="Arial" w:cs="Arial" w:eastAsia="Arial" w:hAnsi="Arial"/>
                <w:sz w:val="18"/>
                <w:szCs w:val="18"/>
                <w:color w:val="auto"/>
                <w:w w:val="87"/>
              </w:rPr>
              <w:t>207,396,111</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207,376,213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208,239,566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7"/>
              </w:rPr>
              <w:t>208,788,850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6,144,562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893,415</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6,144,562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895,645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Pr>
          <w:p>
            <w:pPr>
              <w:spacing w:after="0"/>
              <w:rPr>
                <w:sz w:val="18"/>
                <w:szCs w:val="18"/>
                <w:color w:val="auto"/>
              </w:rPr>
            </w:pPr>
          </w:p>
        </w:tc>
        <w:tc>
          <w:tcPr>
            <w:tcW w:w="1120" w:type="dxa"/>
            <w:vAlign w:val="bottom"/>
            <w:gridSpan w:val="3"/>
          </w:tcPr>
          <w:p>
            <w:pPr>
              <w:jc w:val="right"/>
              <w:ind w:right="181"/>
              <w:spacing w:after="0"/>
              <w:rPr>
                <w:sz w:val="20"/>
                <w:szCs w:val="20"/>
                <w:color w:val="auto"/>
              </w:rPr>
            </w:pPr>
            <w:r>
              <w:rPr>
                <w:rFonts w:ascii="Arial" w:cs="Arial" w:eastAsia="Arial" w:hAnsi="Arial"/>
                <w:sz w:val="18"/>
                <w:szCs w:val="18"/>
                <w:color w:val="auto"/>
                <w:w w:val="97"/>
              </w:rPr>
              <w:t>29,599,970</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22,513,065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7,258,021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43,002,553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30,666,731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Class A ordinary shares subject to possible redemption, 20,737,202 shares at $10.00 per share as of September 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2021 and December 31, 2020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207,372,020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00" w:type="dxa"/>
            <w:vAlign w:val="bottom"/>
          </w:tcPr>
          <w:p>
            <w:pPr>
              <w:spacing w:after="0"/>
              <w:rPr>
                <w:sz w:val="18"/>
                <w:szCs w:val="18"/>
                <w:color w:val="auto"/>
              </w:rPr>
            </w:pPr>
          </w:p>
        </w:tc>
        <w:tc>
          <w:tcPr>
            <w:tcW w:w="11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200,000,000 shares authorized at September 30, 2021 and December 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5,184,300 shares issued and outstanding at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September 30, 2021 and December 31, 2020</w:t>
            </w:r>
          </w:p>
        </w:tc>
        <w:tc>
          <w:tcPr>
            <w:tcW w:w="100" w:type="dxa"/>
            <w:vAlign w:val="bottom"/>
          </w:tcPr>
          <w:p>
            <w:pPr>
              <w:spacing w:after="0"/>
              <w:rPr>
                <w:sz w:val="20"/>
                <w:szCs w:val="20"/>
                <w:color w:val="auto"/>
              </w:rPr>
            </w:pPr>
          </w:p>
        </w:tc>
        <w:tc>
          <w:tcPr>
            <w:tcW w:w="1120" w:type="dxa"/>
            <w:vAlign w:val="bottom"/>
            <w:gridSpan w:val="3"/>
          </w:tcPr>
          <w:p>
            <w:pPr>
              <w:ind w:left="64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w w:val="92"/>
              </w:rPr>
              <w:t>(42,135,525)</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2"/>
              </w:rPr>
              <w:t>(29,250,419)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(42,135,007</w:t>
            </w:r>
          </w:p>
        </w:tc>
        <w:tc>
          <w:tcPr>
            <w:tcW w:w="200" w:type="dxa"/>
            <w:vAlign w:val="bottom"/>
            <w:shd w:val="clear" w:color="auto" w:fill="CCEEFF"/>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(29,249,901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208,239,566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208,788,850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from July 31,</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2,241,776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(2,241,776)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(5,822,575)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1,755,959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(7,086,905)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1"/>
              </w:rPr>
              <w:t>(2,260,000)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costs—warrants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(754,990)</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1,758,628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(7,062,531)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(3,014,826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(483,148)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(12,885,106)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(3,032,369)</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A ordinary shares</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20,737,202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20,737,202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3,870,968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A</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B ordinary shares</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5,184,300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97"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SHAREHOLDERS’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20" w:type="dxa"/>
            <w:vAlign w:val="bottom"/>
            <w:gridSpan w:val="9"/>
            <w:vMerge w:val="restart"/>
          </w:tcPr>
          <w:p>
            <w:pPr>
              <w:jc w:val="center"/>
              <w:ind w:right="260"/>
              <w:spacing w:after="0"/>
              <w:rPr>
                <w:sz w:val="20"/>
                <w:szCs w:val="20"/>
                <w:color w:val="auto"/>
              </w:rPr>
            </w:pPr>
            <w:r>
              <w:rPr>
                <w:rFonts w:ascii="Arial" w:cs="Arial" w:eastAsia="Arial" w:hAnsi="Arial"/>
                <w:sz w:val="14"/>
                <w:szCs w:val="14"/>
                <w:b w:val="1"/>
                <w:bCs w:val="1"/>
                <w:color w:val="auto"/>
                <w:w w:val="95"/>
              </w:rPr>
              <w:t>Class A Ordinary</w:t>
            </w:r>
          </w:p>
        </w:tc>
        <w:tc>
          <w:tcPr>
            <w:tcW w:w="160" w:type="dxa"/>
            <w:vAlign w:val="bottom"/>
          </w:tcPr>
          <w:p>
            <w:pPr>
              <w:spacing w:after="0"/>
              <w:rPr>
                <w:sz w:val="14"/>
                <w:szCs w:val="14"/>
                <w:color w:val="auto"/>
              </w:rPr>
            </w:pPr>
          </w:p>
        </w:tc>
        <w:tc>
          <w:tcPr>
            <w:tcW w:w="1600" w:type="dxa"/>
            <w:vAlign w:val="bottom"/>
            <w:gridSpan w:val="8"/>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Class B Ordinary</w:t>
            </w:r>
          </w:p>
        </w:tc>
        <w:tc>
          <w:tcPr>
            <w:tcW w:w="2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Additional</w:t>
            </w:r>
          </w:p>
        </w:tc>
        <w:tc>
          <w:tcPr>
            <w:tcW w:w="12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420" w:type="dxa"/>
            <w:vAlign w:val="bottom"/>
            <w:gridSpan w:val="9"/>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5"/>
            <w:vMerge w:val="continue"/>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Borders>
              <w:top w:val="single" w:sz="8" w:color="auto"/>
            </w:tcBorders>
            <w:gridSpan w:val="2"/>
          </w:tcPr>
          <w:p>
            <w:pPr>
              <w:spacing w:after="0"/>
              <w:rPr>
                <w:sz w:val="13"/>
                <w:szCs w:val="13"/>
                <w:color w:val="auto"/>
              </w:rPr>
            </w:pPr>
          </w:p>
        </w:tc>
        <w:tc>
          <w:tcPr>
            <w:tcW w:w="52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2021, as restated (see Note 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5,184,300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518</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$(29,250,419)</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$(29,249,901)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(33,671,616)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(33,671,616)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as restated (see Note 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5,184,300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$(62,922,035)</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$(62,921,517)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21,269,658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21,269,658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as restated (see Note 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5,184,300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$(41,652,377)</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$(41,651,859)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(483,148)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(483,148)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5,184,300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(42,135,525)</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(42,135,007)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940" w:type="dxa"/>
            <w:vAlign w:val="bottom"/>
            <w:gridSpan w:val="30"/>
          </w:tcPr>
          <w:p>
            <w:pPr>
              <w:ind w:left="1840"/>
              <w:spacing w:after="0"/>
              <w:rPr>
                <w:sz w:val="20"/>
                <w:szCs w:val="20"/>
                <w:color w:val="auto"/>
              </w:rPr>
            </w:pPr>
            <w:r>
              <w:rPr>
                <w:rFonts w:ascii="Arial" w:cs="Arial" w:eastAsia="Arial" w:hAnsi="Arial"/>
                <w:sz w:val="18"/>
                <w:szCs w:val="18"/>
                <w:b w:val="1"/>
                <w:bCs w:val="1"/>
                <w:color w:val="auto"/>
              </w:rPr>
              <w:t>FOR THE PERIOD FROM JULY 31, 2020 (INCEPTION) THROUGH SEPTEMBER 30, 2020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8"/>
              </w:rPr>
              <w:t>Class A Ordinary</w:t>
            </w:r>
          </w:p>
        </w:tc>
        <w:tc>
          <w:tcPr>
            <w:tcW w:w="160" w:type="dxa"/>
            <w:vAlign w:val="bottom"/>
          </w:tcPr>
          <w:p>
            <w:pPr>
              <w:spacing w:after="0"/>
              <w:rPr>
                <w:sz w:val="24"/>
                <w:szCs w:val="24"/>
                <w:color w:val="auto"/>
              </w:rPr>
            </w:pPr>
          </w:p>
        </w:tc>
        <w:tc>
          <w:tcPr>
            <w:tcW w:w="160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5"/>
              </w:rPr>
              <w:t>Class B Ordinary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12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5"/>
          </w:tcPr>
          <w:p>
            <w:pPr>
              <w:jc w:val="center"/>
              <w:ind w:left="32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top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July 31, 2020 (inception)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14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24,425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Accretion for Class A ordinary shares to redemption amount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(24,425)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(23,521,731)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(23,546,156)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(565,700)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w w:val="93"/>
              </w:rPr>
              <w:t>(57)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(3,032,369)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(3,032,369)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w w:val="96"/>
              </w:rPr>
              <w:t>Balance – September 30, 2020, as restated (see Note 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5,184,300</w:t>
            </w:r>
          </w:p>
        </w:tc>
        <w:tc>
          <w:tcPr>
            <w:tcW w:w="240" w:type="dxa"/>
            <w:vAlign w:val="bottom"/>
            <w:gridSpan w:val="2"/>
          </w:tcPr>
          <w:p>
            <w:pPr>
              <w:ind w:left="140"/>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3"/>
          </w:tcPr>
          <w:p>
            <w:pPr>
              <w:ind w:left="140"/>
              <w:spacing w:after="0"/>
              <w:rPr>
                <w:sz w:val="20"/>
                <w:szCs w:val="20"/>
                <w:color w:val="auto"/>
              </w:rPr>
            </w:pPr>
            <w:r>
              <w:rPr>
                <w:rFonts w:ascii="Arial" w:cs="Arial" w:eastAsia="Arial" w:hAnsi="Arial"/>
                <w:sz w:val="18"/>
                <w:szCs w:val="18"/>
                <w:b w:val="1"/>
                <w:bCs w:val="1"/>
                <w:color w:val="auto"/>
              </w:rPr>
              <w:t>518</w:t>
            </w:r>
          </w:p>
        </w:tc>
        <w:tc>
          <w:tcPr>
            <w:tcW w:w="220" w:type="dxa"/>
            <w:vAlign w:val="bottom"/>
            <w:gridSpan w:val="3"/>
          </w:tcPr>
          <w:p>
            <w:pPr>
              <w:ind w:left="1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(26,554,043)</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(26,553,525)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97"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Nine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2020 (Inception)</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(12,885,106)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(3,032,369)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7,086,905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2,260,000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Formation cost paid by Sponsor in exchange for issuance of founder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 allocated to warrants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754,990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(278,363)</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5,248,917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(469,036)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(289,300)</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(200,000,000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 paid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196,000,000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Units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201,519,478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(469,036)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1,230,178</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1,177,678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708,642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1,230,178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included in accrued offering costs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60"/>
              <w:spacing w:after="0"/>
              <w:rPr>
                <w:sz w:val="20"/>
                <w:szCs w:val="20"/>
                <w:color w:val="auto"/>
              </w:rPr>
            </w:pPr>
            <w:r>
              <w:rPr>
                <w:rFonts w:ascii="Arial" w:cs="Arial" w:eastAsia="Arial" w:hAnsi="Arial"/>
                <w:sz w:val="18"/>
                <w:szCs w:val="18"/>
                <w:color w:val="auto"/>
              </w:rPr>
              <w:t>Offering costs paid by Sponsor in exchange for issuance of founder shares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paid through promissory note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60"/>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207,372,020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underwriting fee payable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97"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7).</w:t>
      </w:r>
    </w:p>
    <w:p>
      <w:pPr>
        <w:spacing w:after="0" w:line="18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As of September 30, 2021, the Company had not commenced any operations. All activity from inception through September 30,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Transaction costs charged to equity amounted to $11,906,607, consisting of $4,147,440 of underwriting fees, $7,258,021 of deferred underwriting fees and $501,146 of other offering costs.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(ii) the distribution of the funds in the Trust Account to the Company’s shareholders, as described below.</w:t>
      </w:r>
    </w:p>
    <w:p>
      <w:pPr>
        <w:spacing w:after="0" w:line="21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ectPr>
          <w:pgSz w:w="11900" w:h="16838" w:orient="portrait"/>
          <w:cols w:equalWidth="0" w:num="1">
            <w:col w:w="11000"/>
          </w:cols>
          <w:pgMar w:left="440" w:top="297" w:right="45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00"/>
          </w:cols>
          <w:pgMar w:left="440" w:top="297" w:right="459" w:bottom="1440" w:gutter="0" w:footer="0" w:header="0"/>
          <w:type w:val="continuous"/>
        </w:sectPr>
      </w:pPr>
    </w:p>
    <w:bookmarkStart w:id="10" w:name="page11"/>
    <w:bookmarkEnd w:id="10"/>
    <w:p>
      <w:pPr>
        <w:jc w:val="center"/>
        <w:ind w:left="440" w:right="25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ind w:left="4"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4" w:right="120" w:hanging="4"/>
        <w:spacing w:after="0" w:line="270"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97" w:right="459" w:bottom="1440" w:gutter="0" w:footer="0" w:header="0"/>
        </w:sectPr>
      </w:pPr>
    </w:p>
    <w:bookmarkStart w:id="11" w:name="page12"/>
    <w:bookmarkEnd w:id="11"/>
    <w:p>
      <w:pPr>
        <w:jc w:val="center"/>
        <w:ind w:left="460" w:right="25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As of September 30, 2021, the Company had approximately $709,000 in its operating bank accounts and working capital deficit of approximately $5.3 million.</w:t>
      </w:r>
    </w:p>
    <w:p>
      <w:pPr>
        <w:spacing w:after="0" w:line="170"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September 30, 2021 and December 31, 2020, there were no amounts outstanding under any Working Capital Loan.</w:t>
      </w:r>
    </w:p>
    <w:p>
      <w:pPr>
        <w:spacing w:after="0" w:line="16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As of October 15, 2021, substantial doubt about our ability to continue as a going concern related to the date for mandatory liquidation and dissolution was alleviated due to the closing of the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2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In connection with the preparation of the Company’s financial statements as of September 30, 2021, management determined it should restate its previously reported financial statements. The Company determined, at the closing of the Company’s Initial Public Offering and shares sold pursuant to the exercise of the underwriters’ overallotment, it had improperly valued its Class A ordinary shares subject to possible redemption. The Company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Initial Public Offering and pursuant to the exercise of the underwriters’ overallotment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has noted a reclassification adjustment related to temporary equity and permanent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72"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In connection with the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ordinary shares share pro rata in the income (loss) of the Company.</w:t>
      </w:r>
    </w:p>
    <w:p>
      <w:pPr>
        <w:spacing w:after="0" w:line="16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In accordance with SEC Staff Accounting Bulletin No. 99, “Materiality,” and SEC Staff Accounting Bulletin No. 108, “Considering the Effects of Prior Year Misstatements when Quantifying Misstatements in Current Year Financial Statements,” the Company evaluated the corrections and has determined that the related impact was material to the previously filed financial statements that contained the error, reported in the Company’s Form</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10-Qs for the quarterly periods ended March 31, 2021, and June 30, 2021 (the “Affected Quarterly Periods”). Therefore, the Company, in consultation with its Audit Committee, concluded that the Affected Quarterly Periods should be restated to present all Class A ordinary shares subject to possible redemption as temporary equity and to recognize accretion from the initial book value to redemption value at the time of its Initial Public Offering. As such, the Company is reporting these restatements to those periods in this quarterly report.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has been no change in the Company’s total assets, liabilities or operating results.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97" w:right="479" w:bottom="1440" w:gutter="0" w:footer="0" w:header="0"/>
        </w:sectPr>
      </w:pPr>
    </w:p>
    <w:bookmarkStart w:id="12" w:name="page13"/>
    <w:bookmarkEnd w:id="12"/>
    <w:p>
      <w:pPr>
        <w:jc w:val="center"/>
        <w:ind w:left="1300" w:right="17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restatement on the Company’s financial statements is reflected in the following table: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As Previously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as of March 31, 2021 (unaudited)</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139,450,500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67,921,520</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207,372,020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43,531,612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(43,531,612)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(38,532,806)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(24,389,229)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(62,922,035)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shareholders’ equity (deficit)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(67,921,520)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(62,921,517)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13,945,050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6,792,152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20,737,202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June 30, 2021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160,720,160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46,651,860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207,372,020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22,262,164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(22,262,164)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(17,263,148)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(24,389,229)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(41,652,377)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(46,651,860)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(41,651,859)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16,072,016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4,665,186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20,737,202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28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Statement of Cash Flows for the three months ended March 31, 2021</w:t>
            </w: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Change in value of Class A ordinary shares subject to possible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33,671,610</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(33,671,610)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Statement of Cash Flows for the six months ended June 30, 2021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Change in value of Class A ordinary shares subject to possible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(12,401,950)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12,401,950</w:t>
            </w: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Statement of Operation for the three months ended March 31, 2021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shares outstanding, Class A ordinary shares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20,737,202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20,737,202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Class A ordinary shares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shares outstanding, Class B ordinary shares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5,184,300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5,184,300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ordinary shares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9"/>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w w:val="94"/>
              </w:rPr>
              <w:t>Statement of Operation for the three months ended June 30, 2021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Class A ordinary shares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20,737,202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20,737,202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Basic and diluted net income per share, Class A ordinary shares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Class B ordinary shares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Basic and diluted net loss per share, Class B ordinary shares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Statement of Operation for the six months ended June 30, 2021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shares outstanding, Class A ordinary shares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20,737,202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20,737,202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Class A ordinary shares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shares outstanding, Class B ordinary shares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5,184,300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5,184,300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ordinary shares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65"/>
        </w:trPr>
        <w:tc>
          <w:tcPr>
            <w:tcW w:w="5280" w:type="dxa"/>
            <w:vAlign w:val="bottom"/>
            <w:gridSpan w:val="2"/>
          </w:tcPr>
          <w:p>
            <w:pPr>
              <w:jc w:val="right"/>
              <w:ind w:right="47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880" w:top="297" w:right="131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2" w:lineRule="exact"/>
        <w:rPr>
          <w:sz w:val="20"/>
          <w:szCs w:val="20"/>
          <w:color w:val="auto"/>
        </w:rPr>
      </w:pPr>
    </w:p>
    <w:p>
      <w:pPr>
        <w:ind w:right="5480"/>
        <w:spacing w:after="0" w:line="377" w:lineRule="auto"/>
        <w:rPr>
          <w:sz w:val="20"/>
          <w:szCs w:val="20"/>
          <w:color w:val="auto"/>
        </w:rPr>
      </w:pPr>
      <w:r>
        <w:rPr>
          <w:rFonts w:ascii="Arial" w:cs="Arial" w:eastAsia="Arial" w:hAnsi="Arial"/>
          <w:sz w:val="18"/>
          <w:szCs w:val="18"/>
          <w:b w:val="1"/>
          <w:bCs w:val="1"/>
          <w:color w:val="auto"/>
        </w:rPr>
        <w:t xml:space="preserve">NOTE 3—SUMMARY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accompanying unaudited condensed consolidated financial statements should be read in conjunction with the Company’s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Form 10-K originally filed with the SEC on March 31, 2021 (as amended and restated on May 24, 2021 and December 7, 2021). The interim results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2021 are not necessarily indicative of the results to be expected for the period ending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or for any future interim periods.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97" w:right="45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One of the more significant accounting estimates included in these condensed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97" w:right="45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statements of operations. The estimated fair values of investments held in the Trust Account are determined using available market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10). For periods subsequent to the detachment of the Public Warrants from the Units, the close price of the Public Warrant price was used as the fair value of the Public Warrants as each relevant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September 30, 2021 and December 31, 2020, Class A ordinary shares subject to possible redemption are presented as temporary equity, outside of the shareholders’ equity section of the Company’s condensed consolidated balance sheets.</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September 30, 2021 and December 31, 2020, the Class A ordinary shares reflected in the condensed balance sheets are reconciled in the following table:</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allocated to Public Warrants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(13,275,495)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Class A ordinary shares issuance costs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(11,138,216)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Accretion of carrying value to redemption value</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24,413,711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statements of operations.</w:t>
      </w:r>
    </w:p>
    <w:p>
      <w:pPr>
        <w:sectPr>
          <w:pgSz w:w="11900" w:h="16838" w:orient="portrait"/>
          <w:cols w:equalWidth="0" w:num="1">
            <w:col w:w="11000"/>
          </w:cols>
          <w:pgMar w:left="440" w:top="297" w:right="45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00"/>
          </w:cols>
          <w:pgMar w:left="440" w:top="297" w:right="459" w:bottom="1440" w:gutter="0" w:footer="0" w:header="0"/>
          <w:type w:val="continuous"/>
        </w:sectPr>
      </w:pPr>
    </w:p>
    <w:bookmarkStart w:id="16" w:name="page17"/>
    <w:bookmarkEnd w:id="16"/>
    <w:p>
      <w:pPr>
        <w:jc w:val="center"/>
        <w:ind w:left="460" w:right="25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97" w:right="479" w:bottom="1440" w:gutter="0" w:footer="0" w:header="0"/>
        </w:sectPr>
      </w:pPr>
    </w:p>
    <w:bookmarkStart w:id="17" w:name="page18"/>
    <w:bookmarkEnd w:id="17"/>
    <w:p>
      <w:pPr>
        <w:jc w:val="center"/>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Ordinary Share (Restated)</w:t>
      </w:r>
    </w:p>
    <w:p>
      <w:pPr>
        <w:spacing w:after="0" w:line="11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87" w:lineRule="exact"/>
        <w:rPr>
          <w:sz w:val="20"/>
          <w:szCs w:val="20"/>
          <w:color w:val="auto"/>
        </w:rPr>
      </w:pPr>
    </w:p>
    <w:p>
      <w:pPr>
        <w:ind w:right="520" w:firstLine="440"/>
        <w:spacing w:after="0" w:line="296" w:lineRule="auto"/>
        <w:rPr>
          <w:sz w:val="20"/>
          <w:szCs w:val="20"/>
          <w:color w:val="auto"/>
        </w:rPr>
      </w:pPr>
      <w:r>
        <w:rPr>
          <w:rFonts w:ascii="Arial" w:cs="Arial" w:eastAsia="Arial" w:hAnsi="Arial"/>
          <w:sz w:val="16"/>
          <w:szCs w:val="16"/>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September 30, 2021 and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calculation of basic and diluted net loss per ordinary share (in dollars, except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For the Period from July 31,</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2020 (Inception) Through</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Basic and diluted net loss per ordinary share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loss, as adjusted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(10,308,085)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(2,577,021)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(1,323,216)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(1,709,153)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Basic and diluted weighted average shares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20,737,202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5,184,300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20,737,202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5,184,300</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3,870,968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5,000,000</w:t>
            </w:r>
          </w:p>
        </w:tc>
        <w:tc>
          <w:tcPr>
            <w:tcW w:w="0" w:type="dxa"/>
            <w:vAlign w:val="bottom"/>
          </w:tcPr>
          <w:p>
            <w:pPr>
              <w:spacing w:after="0"/>
              <w:rPr>
                <w:sz w:val="1"/>
                <w:szCs w:val="1"/>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Basic and diluted net loss per ordinary share</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97" w:right="4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10).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In August 2020, the FASB issued Accounting Standards UpdateNo.2020-06, “Debt—Debt with Conversion and Other Options (Subtopic 470-20) and Derivatives and Hedging—Contracts in Entity’s Own Equity (Subtopic 815-40): Accounting for Convertible Instruments and Contracts in an Entity’s Own Equity”(“ASU2020-06”),which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6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4—INITIAL PUBLIC OFFERING</w:t>
      </w:r>
    </w:p>
    <w:p>
      <w:pPr>
        <w:spacing w:after="0" w:line="121"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5—PRIVATE PLACEMENT</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92"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97" w:right="45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and nine months ended September 30, 2021 and for the period from July 31, 2020 (inception) through September 30, 2020, the Company incurred $30,000, $90,000 and $0 in fees for these services, respectively. As of September 30, 2021 and December 31, 2020, $110,000 and $30,000 remained unpaid in the accrued expenses line item on the condensed balance sheets,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2021 and December 30, 2020, the Company had no outstanding borrowings under the Working Capital Loans.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Management continues to evaluate the impact of theCOVID-19global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condensed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ectPr>
          <w:pgSz w:w="11900" w:h="16838" w:orient="portrait"/>
          <w:cols w:equalWidth="0" w:num="1">
            <w:col w:w="11000"/>
          </w:cols>
          <w:pgMar w:left="440" w:top="297" w:right="4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00"/>
          </w:cols>
          <w:pgMar w:left="440" w:top="297" w:right="459" w:bottom="1440" w:gutter="0" w:footer="0" w:header="0"/>
          <w:type w:val="continuous"/>
        </w:sectPr>
      </w:pPr>
    </w:p>
    <w:bookmarkStart w:id="20" w:name="page21"/>
    <w:bookmarkEnd w:id="20"/>
    <w:p>
      <w:pPr>
        <w:jc w:val="center"/>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September 30, 2021 and December 31, 2020, there were no preference shares issued or outstanding.</w:t>
      </w:r>
    </w:p>
    <w:p>
      <w:pPr>
        <w:spacing w:after="0" w:line="184" w:lineRule="exact"/>
        <w:rPr>
          <w:sz w:val="20"/>
          <w:szCs w:val="20"/>
          <w:color w:val="auto"/>
        </w:rPr>
      </w:pPr>
    </w:p>
    <w:p>
      <w:pPr>
        <w:ind w:right="840" w:firstLine="440"/>
        <w:spacing w:after="0" w:line="308"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At September 30, 2021 and December 31, 2020, there were 20,737,202 Class A ordinary shares issued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including Class A ordinary shares subject to possible redemption which are presented as temporary equity.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Class B ordinary shares are entitled to one vote for each share. As of September 30, 2021 and December 31, 2020, there were 5,184,300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B ordinary shares issued and outstanding.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97" w:right="4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LIABILITIES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At September 30, 2021 and December 31, 2020, the fair value of the Public Warrants was $16,694,484 and $11,509,147, respectively and the fair value of the Private Placement Warrants was $12,905,486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960" w:right="34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97" w:right="459" w:bottom="1440" w:gutter="0" w:footer="0" w:header="0"/>
        </w:sectPr>
      </w:pPr>
    </w:p>
    <w:bookmarkStart w:id="22" w:name="page23"/>
    <w:bookmarkEnd w:id="22"/>
    <w:p>
      <w:pPr>
        <w:jc w:val="center"/>
        <w:ind w:left="460" w:right="25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right="24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9"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jc w:val="both"/>
        <w:ind w:left="960" w:right="200" w:hanging="424"/>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97" w:right="479" w:bottom="1440" w:gutter="0" w:footer="0" w:header="0"/>
        </w:sectPr>
      </w:pPr>
    </w:p>
    <w:bookmarkStart w:id="23" w:name="page24"/>
    <w:bookmarkEnd w:id="23"/>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 NOTES TO CONDENSED CONSOLIDATED FINANCIAL STATEMENTS SEPTEMBER 30, 2021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3" w:lineRule="exact"/>
        <w:rPr>
          <w:sz w:val="20"/>
          <w:szCs w:val="20"/>
          <w:color w:val="auto"/>
        </w:rPr>
      </w:pPr>
    </w:p>
    <w:p>
      <w:pPr>
        <w:ind w:left="780" w:hanging="782"/>
        <w:spacing w:after="0" w:line="308" w:lineRule="auto"/>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780" w:right="680" w:hanging="782"/>
        <w:spacing w:after="0" w:line="277" w:lineRule="auto"/>
        <w:tabs>
          <w:tab w:leader="none" w:pos="76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At September 30, 2021 and December 31, 2020, assets held in the Trust Account were comprised of $207,396,111 and $207,376,213 in money market funds which are invested primarily in U.S. Treasury Securities, respectively. Through September 30, 2021, the Company did not withdraw any interest income from the Trust Account.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2021 and December 31, 2020, there were 10,368,601 Public Warrants and 6,147,440 Private Placement Warrants outstanding.</w:t>
      </w:r>
    </w:p>
    <w:p>
      <w:pPr>
        <w:spacing w:after="0" w:line="248"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at September 30, 2021 and December 31, 2020 and indicates the fair value hierarchy of the valuation inputs the Company utilized to determine such fair value. The gross holding gains and fair value of held-to-maturity securities at September 30, 2021 and December 31, 2020 are as follows:</w:t>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4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and Investments held in Trust Account</w:t>
            </w:r>
          </w:p>
        </w:tc>
        <w:tc>
          <w:tcPr>
            <w:tcW w:w="1220" w:type="dxa"/>
            <w:vAlign w:val="bottom"/>
            <w:gridSpan w:val="5"/>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207,396,111</w:t>
            </w:r>
          </w:p>
        </w:tc>
        <w:tc>
          <w:tcPr>
            <w:tcW w:w="142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207,396,111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1220" w:type="dxa"/>
            <w:vAlign w:val="bottom"/>
            <w:gridSpan w:val="5"/>
          </w:tcPr>
          <w:p>
            <w:pPr>
              <w:jc w:val="center"/>
              <w:ind w:right="180"/>
              <w:spacing w:after="0"/>
              <w:rPr>
                <w:sz w:val="20"/>
                <w:szCs w:val="20"/>
                <w:color w:val="auto"/>
              </w:rPr>
            </w:pPr>
            <w:r>
              <w:rPr>
                <w:rFonts w:ascii="Arial" w:cs="Arial" w:eastAsia="Arial" w:hAnsi="Arial"/>
                <w:sz w:val="18"/>
                <w:szCs w:val="18"/>
                <w:color w:val="auto"/>
                <w:w w:val="95"/>
              </w:rPr>
              <w:t>$ 16,694,484</w:t>
            </w:r>
          </w:p>
        </w:tc>
        <w:tc>
          <w:tcPr>
            <w:tcW w:w="1420" w:type="dxa"/>
            <w:vAlign w:val="bottom"/>
            <w:gridSpan w:val="5"/>
          </w:tcPr>
          <w:p>
            <w:pPr>
              <w:jc w:val="right"/>
              <w:ind w:right="220"/>
              <w:spacing w:after="0"/>
              <w:rPr>
                <w:sz w:val="20"/>
                <w:szCs w:val="20"/>
                <w:color w:val="auto"/>
              </w:rPr>
            </w:pPr>
            <w:r>
              <w:rPr>
                <w:rFonts w:ascii="Arial" w:cs="Arial" w:eastAsia="Arial" w:hAnsi="Arial"/>
                <w:sz w:val="18"/>
                <w:szCs w:val="18"/>
                <w:color w:val="auto"/>
              </w:rPr>
              <w:t>$ 16,694,484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2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$ 12,905,486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12,905,486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4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 held in Trust Account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207,376,213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207,376,213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11,509,147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11,509,147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Warrant Liability – Private Placement Warrants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11,003,918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11,003,918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Warrants were accounted for as liabilities in accordance with ASC815-40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statements of operations.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97" w:right="459" w:bottom="1440" w:gutter="0" w:footer="0" w:header="0"/>
        </w:sectPr>
      </w:pPr>
    </w:p>
    <w:bookmarkStart w:id="24" w:name="page25"/>
    <w:bookmarkEnd w:id="24"/>
    <w:p>
      <w:pPr>
        <w:jc w:val="center"/>
        <w:ind w:left="460" w:right="25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VPC IMPACT ACQUISITION HOLDINGS NOTES TO CONDENSED CONSOLIDATED FINANCIAL STATEMENTS SEPTEMBER 30, 2021</w:t>
      </w:r>
    </w:p>
    <w:p>
      <w:pPr>
        <w:spacing w:after="0" w:line="32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8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99"/>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11.50</w:t>
            </w:r>
          </w:p>
        </w:tc>
        <w:tc>
          <w:tcPr>
            <w:tcW w:w="680" w:type="dxa"/>
            <w:vAlign w:val="bottom"/>
            <w:gridSpan w:val="2"/>
          </w:tcPr>
          <w:p>
            <w:pPr>
              <w:jc w:val="center"/>
              <w:ind w:left="134"/>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11.50</w:t>
            </w:r>
          </w:p>
        </w:tc>
      </w:tr>
      <w:tr>
        <w:trPr>
          <w:trHeight w:val="216"/>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r>
      <w:tr>
        <w:trPr>
          <w:trHeight w:val="216"/>
        </w:trPr>
        <w:tc>
          <w:tcPr>
            <w:tcW w:w="8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(in years)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r>
      <w:tr>
        <w:trPr>
          <w:trHeight w:val="230"/>
        </w:trPr>
        <w:tc>
          <w:tcPr>
            <w:tcW w:w="8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0.0%</w:t>
            </w:r>
          </w:p>
        </w:tc>
      </w:tr>
      <w:tr>
        <w:trPr>
          <w:trHeight w:val="418"/>
        </w:trPr>
        <w:tc>
          <w:tcPr>
            <w:tcW w:w="6520" w:type="dxa"/>
            <w:vAlign w:val="bottom"/>
            <w:gridSpan w:val="3"/>
          </w:tcPr>
          <w:p>
            <w:pPr>
              <w:spacing w:after="0"/>
              <w:rPr>
                <w:sz w:val="20"/>
                <w:szCs w:val="20"/>
                <w:color w:val="auto"/>
              </w:rPr>
            </w:pPr>
            <w:r>
              <w:rPr>
                <w:rFonts w:ascii="Arial" w:cs="Arial" w:eastAsia="Arial" w:hAnsi="Arial"/>
                <w:sz w:val="18"/>
                <w:szCs w:val="18"/>
                <w:color w:val="auto"/>
                <w:w w:val="95"/>
              </w:rPr>
              <w:t>The following table presents the changes in the fair value of Level 3 warrant liabilities: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4"/>
              </w:rPr>
              <w:t>Private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Placement</w:t>
            </w: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$11,003,918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12,110,456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$23,114,374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(9,592,439)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$13,521,935</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(616,449)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September 30, 2021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12,905,486</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and nine months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other than as described below and in Note 2 (Restatement of Previously Issued Financial Statements), any subsequent events that would have required adjustment or disclosure in the unaudited condensed consolidated financial statements.</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At a special meeting of stockholders on October 14, 2021 (the “Special Meeting”), the stockholders of the Company voted and approved Proposal Nos. 1 through 8, including the Bakkt Business Combination. On 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(“Meger Sub”), and Bakkt Opco Holdings, LLC, a Delaware limited liability corporation (f/k/a Bakkt Holdings, LLC) (“Opco”).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97"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 MANAGEMENT’S DISCUSSION AND ANALYSIS OF FINANCIAL CONDITION AND RESULTS OF OPERATIONS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References in this report (the “Quarterly Report”) to “we,” “us” or the “Company” refer to VPC Impact Acquisition Holdings. References to our “management” or our “management team” refer to our officers and directors, and references to the “Sponsor” refer to VPC Impact Acquisition Holdings Sponsor, LLC. The following discussion and analysis of the Company’s financial condition and results of operations should be read in conjunction with the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originally filed with the U.S. Securities and Exchange Commission (the “SEC”) on March 31, 2021 (as amended and restated on May 24, 2021 and December 7,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has been amended and restated to give effect to the restatement of our financial statements as of March 31, 2021 and June 30, 2021. Management identified misstatements made in its historical financial statements where, at the closing of our Initial Public Offering, we improperly valued our Class A Ordinary shares subject to possible redemption. We previously determined the Class A Ordinary shares subject to possible redemption to be equal to the redemption value of $10.00 per Class A Ordinary shares while also taking into consideration a redemption cannot result in net tangible assets being less than $5,000,001. Management determined that the Class A Ordinary shares issued during the Initial Public Offering can be redeemed or become redeemable subject to the occurrence of future events considered outside of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has noted a reclassification error related to temporary equity and permanent equity. This resulted in a restatement to the initial carrying value of the Class A Ordinary shares subject to possible redemption with the offset recorded to additional paid-in capital (to the extent available), accumulated deficit and Class A Ordinary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97"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440" w:right="200" w:hanging="4"/>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440" w:right="560" w:hanging="4"/>
        <w:spacing w:after="0" w:line="308" w:lineRule="auto"/>
        <w:tabs>
          <w:tab w:leader="none" w:pos="705" w:val="left"/>
        </w:tabs>
        <w:numPr>
          <w:ilvl w:val="0"/>
          <w:numId w:val="6"/>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38" w:lineRule="exact"/>
        <w:rPr>
          <w:rFonts w:ascii="Arial" w:cs="Arial" w:eastAsia="Arial" w:hAnsi="Arial"/>
          <w:sz w:val="17"/>
          <w:szCs w:val="17"/>
          <w:color w:val="auto"/>
        </w:rPr>
      </w:pPr>
    </w:p>
    <w:p>
      <w:pPr>
        <w:ind w:left="440" w:right="100" w:hanging="4"/>
        <w:spacing w:after="0" w:line="263" w:lineRule="auto"/>
        <w:tabs>
          <w:tab w:leader="none" w:pos="7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board of directors of the Company has unanimously (i) approved the Merger Agreement, the Proposed Transaction and the other transactions contemplated thereby and (ii) resolved to recommend approval of the Merger Agreement and related matters by the shareholders of VIH.</w:t>
      </w:r>
    </w:p>
    <w:p>
      <w:pPr>
        <w:spacing w:after="0" w:line="12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prospectus included in our Registration Statement on Form S-4 filed with the SEC on March 31, 2021 (File No. 333-254935) (the “Bakkt Disclosure Statement”). Unless specifically stated, this Quarterly Report does not give effect to the Proposed Transaction and does not contain the risks associated with the Proposed Transaction. Such risks and effects relating to the Proposed Transaction will be included in the Bakkt Disclosure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97"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Results of Operations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neither engaged in any operations (other than searching for a Business Combination after our Initial Public Offering and entering into the Merger Agreement described above) nor generated any revenues to date. Our only activities from inception to September 30, 2021 were organizational activities, those necessary to prepare for the Initial Public Offering, described below, and, after the Initial Public Offering, identifying a target company for a Business Combination and entering into the Merger Agreement. We do not expect to generate any operating revenues until after the completion of our Business Combination.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7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the three months ended September 30, 2021, we had a net loss of $483,148, which consisted of general and administrative cost of $2,241,776, offset by interest earned on investments held in the Trust Account of $2,669 and change in fair value of warrant liability of $1,755,959.</w:t>
      </w:r>
    </w:p>
    <w:p>
      <w:pPr>
        <w:spacing w:after="0" w:line="12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For the nine months ended September 30, 2021, we had a net loss of $12,885,106, which consisted of changes in fair value of warrant liability of $7,086,905 and general and administrative cost of $5,822,575, offset by other income of $4,476 and interest earned on investment held in the Trust Account of $19,898.</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period from July 31, 2020 (inception) through September 30, 2020, we had net loss of $3,032,369, which consisted of general and administrative cost of $17,543, transaction cost related to warrant liability of $754,990 and a change in fair value of warrant liability of $2,260,000, offset by interest earned on investments held in Trust Account of $164.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September 25, 2020, we consummated the Initial Public Offering of 20,000,000 units (the” Units”), at a price of $10.00 per Unit, generating gross proceeds of $200,000,000. Simultaneously with the closing of the Initial Public Offering, we consummated the sale of 6,000,000 warrants (the “Private Placement Warrants”) to the Sponsor at a price of $1.00 per Private Placement Warrant generating gross proceeds of $6,000,000.</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$11,906,606 in transaction costs, including $4,147,440 of underwriting fees, $7,258,021 of deferred underwriting fees and $501,146 of other offering costs.</w:t>
      </w:r>
    </w:p>
    <w:p>
      <w:pPr>
        <w:spacing w:after="0" w:line="18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For the nine months ended September 30, 2021, net cash used in operating activities was $469,036, which consisted of our net loss of $12,885,106 affected by interest earned on investments of $19,898, changes in fair value of warrant liability of $7,086,905 and changes in operating assets and liabilities, which provided $5,349,063 of cash from operating activities.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period from July 31, 2020 (inception) through September 30, 2020, net cash used in operating activities was $289,300, which consisted of our net loss of $3,032,369 affected by interest earned on investments of $164, changes in fair value of warrant liability of $2,260,000, formation costs of $6,606, transaction cost related to warrant liability of $754,990 and changes in operating assets and liabilities, which used $278,363 of cash from operating activities.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September 30, 2021, we had investments held in the Trust Account of $207,396,111.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September 30, 2021, we had cash of $708,642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ectPr>
          <w:pgSz w:w="11900" w:h="16838" w:orient="portrait"/>
          <w:cols w:equalWidth="0" w:num="1">
            <w:col w:w="11000"/>
          </w:cols>
          <w:pgMar w:left="440" w:top="297" w:right="4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00"/>
          </w:cols>
          <w:pgMar w:left="440" w:top="297" w:right="459" w:bottom="1440" w:gutter="0" w:footer="0" w:header="0"/>
          <w:type w:val="continuous"/>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of October 15, 2021, substantial doubt about our ability to continue as a going concern related to the date for mandatory liquidation and dissolution was alleviated due to the closing of the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September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Black-Scholes Option Pricing Model. For periods subsequent to the detachment of the Public Warrants from the Units, the close price of the Public Warrant price was used as the fair value of the Public Warrants as of each relevant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our Class A ordinary shares subject to possible redemption in accordance with the guidance in ASC Topic 480.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loss per ordinary share is computed by dividing net loss by the weighted average number of ordinary shares outstanding during the period. We apply the two-class method in calculating earnings per share. Accretion associated with the redeemable shares of Class A ordinary shares is excluded from earnings per share as the redemption value approximates fair value.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301"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Recent Accounting Standards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smaller reporting company as defined by Rule12b-2of the Exchange Act and are not required to provide the information otherwise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our disclosure controls and procedures (as defined in Rules 13a-15(e) and 15d-15(e) under the Exchange Act)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Amended Form 10-Q present fairly in all material respects our financial position, results of operations and cash flows for the period presented.</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has implemented remediation steps to improve our internal control over financial reporting. Since the filing of the Original Form 10-Q, the Company completed the Business Combination with Bakkt, following which the Company appointed a new Chief Executive Officer, Chief Financial Officer and Chief Accounting Officer, among others. The post-Business Combination management team will provide enhanced access to accounting literature, research materials and documents and increased communication among our personnel and third-party professionals with whom the Company can consult regarding complex accounting applications.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301"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Changes in Internal Control Over Financial Reporting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post-Business Combination management team will enhance our processes to identify and appropriately apply applicable accounting requirements to better evaluate and understand the nuances of the complex accounting standards that apply to our condensed consolidated financial statements, including providing enhanced access to accounting literature, research materials and documents and increased communication among our personnel and third-party professionals with whom we consult regarding complex accounting applications. The Company can offer no assurance that these changes will ultimately have the intended effects.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are any of the risks described in our final Annual Report on Form 10-K originally filed with the SEC on March 31, 2021 (as amended and restated on May 24, 2021 and December 7, 2021, the “2020 Form 10-K”)).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the 2020 Form 10-K. We may disclose changes to such factors or disclose additional factors from time to time in our future filings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301" w:right="459" w:bottom="1440" w:gutter="0" w:footer="0" w:header="0"/>
        </w:sectPr>
      </w:pPr>
    </w:p>
    <w:bookmarkStart w:id="31" w:name="page32"/>
    <w:bookmarkEnd w:id="3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 DEFAULTS UPON SENIOR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80" w:type="dxa"/>
            <w:vAlign w:val="bottom"/>
          </w:tcPr>
          <w:p>
            <w:pPr>
              <w:jc w:val="center"/>
              <w:ind w:right="333"/>
              <w:spacing w:after="0"/>
              <w:rPr>
                <w:sz w:val="20"/>
                <w:szCs w:val="20"/>
                <w:color w:val="auto"/>
              </w:rPr>
            </w:pPr>
            <w:r>
              <w:rPr>
                <w:rFonts w:ascii="Arial" w:cs="Arial" w:eastAsia="Arial" w:hAnsi="Arial"/>
                <w:sz w:val="14"/>
                <w:szCs w:val="14"/>
                <w:b w:val="1"/>
                <w:bCs w:val="1"/>
                <w:color w:val="auto"/>
                <w:w w:val="94"/>
              </w:rPr>
              <w:t>Exhibit</w:t>
            </w:r>
          </w:p>
        </w:tc>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98"/>
        </w:trPr>
        <w:tc>
          <w:tcPr>
            <w:tcW w:w="1180" w:type="dxa"/>
            <w:vAlign w:val="bottom"/>
          </w:tcPr>
          <w:p>
            <w:pPr>
              <w:jc w:val="center"/>
              <w:ind w:right="333"/>
              <w:spacing w:after="0"/>
              <w:rPr>
                <w:sz w:val="20"/>
                <w:szCs w:val="20"/>
                <w:color w:val="auto"/>
              </w:rPr>
            </w:pPr>
            <w:r>
              <w:rPr>
                <w:rFonts w:ascii="Arial" w:cs="Arial" w:eastAsia="Arial" w:hAnsi="Arial"/>
                <w:sz w:val="14"/>
                <w:szCs w:val="14"/>
                <w:b w:val="1"/>
                <w:bCs w:val="1"/>
                <w:color w:val="auto"/>
                <w:w w:val="98"/>
              </w:rPr>
              <w:t>Number</w:t>
            </w:r>
          </w:p>
        </w:tc>
        <w:tc>
          <w:tcPr>
            <w:tcW w:w="446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180" w:type="dxa"/>
            <w:vAlign w:val="bottom"/>
          </w:tcPr>
          <w:p>
            <w:pPr>
              <w:spacing w:after="0"/>
              <w:rPr>
                <w:sz w:val="20"/>
                <w:szCs w:val="20"/>
                <w:color w:val="auto"/>
              </w:rPr>
            </w:pPr>
            <w:r>
              <w:rPr>
                <w:rFonts w:ascii="Arial" w:cs="Arial" w:eastAsia="Arial" w:hAnsi="Arial"/>
                <w:sz w:val="18"/>
                <w:szCs w:val="18"/>
                <w:color w:val="auto"/>
              </w:rPr>
              <w:t>24*</w:t>
            </w:r>
          </w:p>
        </w:tc>
        <w:tc>
          <w:tcPr>
            <w:tcW w:w="984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Power of Attorney (included on signature page of this report).</w:t>
              </w:r>
            </w:hyperlink>
          </w:p>
        </w:tc>
      </w:tr>
      <w:tr>
        <w:trPr>
          <w:trHeight w:val="20"/>
        </w:trPr>
        <w:tc>
          <w:tcPr>
            <w:tcW w:w="118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of the Chief Executive Officer required by Rule 13a-14(a) or Rule 15d-14(a).</w:t>
              </w:r>
            </w:hyperlink>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6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the Chief Financial Officer required by Rule 13a-14(a) or Rule 15d-14(a).</w:t>
              </w:r>
            </w:hyperlink>
          </w:p>
        </w:tc>
        <w:tc>
          <w:tcPr>
            <w:tcW w:w="40" w:type="dxa"/>
            <w:vAlign w:val="bottom"/>
            <w:tcBorders>
              <w:top w:val="single" w:sz="8" w:color="0000EE"/>
            </w:tcBorders>
          </w:tcPr>
          <w:p>
            <w:pPr>
              <w:spacing w:after="0"/>
              <w:rPr>
                <w:sz w:val="24"/>
                <w:szCs w:val="24"/>
                <w:color w:val="auto"/>
              </w:rPr>
            </w:pPr>
          </w:p>
        </w:tc>
        <w:tc>
          <w:tcPr>
            <w:tcW w:w="3320" w:type="dxa"/>
            <w:vAlign w:val="bottom"/>
            <w:gridSpan w:val="3"/>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of the Chief Executive Officer required by Rule 13a-14(b) or Rule 15d-14(b) and 18 U.S.C. 1350.</w:t>
              </w:r>
            </w:hyperlink>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7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the Chief Financial Officer required by Rule 13a-14(b) or Rule 15d-14(b) and 18 U.S.C. 1350.</w:t>
              </w:r>
            </w:hyperlink>
          </w:p>
        </w:tc>
        <w:tc>
          <w:tcPr>
            <w:tcW w:w="4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180" w:type="dxa"/>
            <w:vAlign w:val="bottom"/>
          </w:tcPr>
          <w:p>
            <w:pPr>
              <w:jc w:val="center"/>
              <w:ind w:right="333"/>
              <w:spacing w:after="0"/>
              <w:rPr>
                <w:sz w:val="20"/>
                <w:szCs w:val="20"/>
                <w:color w:val="auto"/>
              </w:rPr>
            </w:pPr>
            <w:r>
              <w:rPr>
                <w:rFonts w:ascii="Arial" w:cs="Arial" w:eastAsia="Arial" w:hAnsi="Arial"/>
                <w:sz w:val="18"/>
                <w:szCs w:val="18"/>
                <w:color w:val="auto"/>
                <w:w w:val="94"/>
              </w:rPr>
              <w:t>101.SCH*</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80" w:type="dxa"/>
            <w:vAlign w:val="bottom"/>
          </w:tcPr>
          <w:p>
            <w:pPr>
              <w:jc w:val="center"/>
              <w:ind w:right="333"/>
              <w:spacing w:after="0"/>
              <w:rPr>
                <w:sz w:val="20"/>
                <w:szCs w:val="20"/>
                <w:color w:val="auto"/>
              </w:rPr>
            </w:pPr>
            <w:r>
              <w:rPr>
                <w:rFonts w:ascii="Arial" w:cs="Arial" w:eastAsia="Arial" w:hAnsi="Arial"/>
                <w:sz w:val="18"/>
                <w:szCs w:val="18"/>
                <w:color w:val="auto"/>
                <w:w w:val="98"/>
              </w:rPr>
              <w:t>101.CAL*</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80" w:type="dxa"/>
            <w:vAlign w:val="bottom"/>
          </w:tcPr>
          <w:p>
            <w:pPr>
              <w:jc w:val="center"/>
              <w:ind w:right="353"/>
              <w:spacing w:after="0"/>
              <w:rPr>
                <w:sz w:val="20"/>
                <w:szCs w:val="20"/>
                <w:color w:val="auto"/>
              </w:rPr>
            </w:pPr>
            <w:r>
              <w:rPr>
                <w:rFonts w:ascii="Arial" w:cs="Arial" w:eastAsia="Arial" w:hAnsi="Arial"/>
                <w:sz w:val="18"/>
                <w:szCs w:val="18"/>
                <w:color w:val="auto"/>
                <w:w w:val="94"/>
              </w:rPr>
              <w:t>101.DEF*</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80" w:type="dxa"/>
            <w:vAlign w:val="bottom"/>
          </w:tcPr>
          <w:p>
            <w:pPr>
              <w:jc w:val="center"/>
              <w:ind w:right="333"/>
              <w:spacing w:after="0"/>
              <w:rPr>
                <w:sz w:val="20"/>
                <w:szCs w:val="20"/>
                <w:color w:val="auto"/>
              </w:rPr>
            </w:pPr>
            <w:r>
              <w:rPr>
                <w:rFonts w:ascii="Arial" w:cs="Arial" w:eastAsia="Arial" w:hAnsi="Arial"/>
                <w:sz w:val="18"/>
                <w:szCs w:val="18"/>
                <w:color w:val="auto"/>
                <w:w w:val="99"/>
              </w:rPr>
              <w:t>101.LAB*</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180" w:type="dxa"/>
            <w:vAlign w:val="bottom"/>
          </w:tcPr>
          <w:p>
            <w:pPr>
              <w:jc w:val="center"/>
              <w:ind w:right="353"/>
              <w:spacing w:after="0"/>
              <w:rPr>
                <w:sz w:val="20"/>
                <w:szCs w:val="20"/>
                <w:color w:val="auto"/>
              </w:rPr>
            </w:pPr>
            <w:r>
              <w:rPr>
                <w:rFonts w:ascii="Arial" w:cs="Arial" w:eastAsia="Arial" w:hAnsi="Arial"/>
                <w:sz w:val="18"/>
                <w:szCs w:val="18"/>
                <w:color w:val="auto"/>
                <w:w w:val="93"/>
              </w:rPr>
              <w:t>101.PRE*</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97" w:right="4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BAKKT HOLDINGS, INC.</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December 7,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Gavin Michael</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Gavin Michael</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5"/>
        </w:trPr>
        <w:tc>
          <w:tcPr>
            <w:tcW w:w="6160" w:type="dxa"/>
            <w:vAlign w:val="bottom"/>
          </w:tcPr>
          <w:p>
            <w:pPr>
              <w:spacing w:after="0"/>
              <w:rPr>
                <w:sz w:val="20"/>
                <w:szCs w:val="20"/>
                <w:color w:val="auto"/>
              </w:rPr>
            </w:pPr>
            <w:r>
              <w:rPr>
                <w:rFonts w:ascii="Arial" w:cs="Arial" w:eastAsia="Arial" w:hAnsi="Arial"/>
                <w:sz w:val="18"/>
                <w:szCs w:val="18"/>
                <w:color w:val="auto"/>
              </w:rPr>
              <w:t>Date: December 7,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Labenne</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Andrew Labenne</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43"/>
        </w:trPr>
        <w:tc>
          <w:tcPr>
            <w:tcW w:w="6160" w:type="dxa"/>
            <w:vAlign w:val="bottom"/>
          </w:tcPr>
          <w:p>
            <w:pPr>
              <w:ind w:left="5420"/>
              <w:spacing w:after="0"/>
              <w:rPr>
                <w:sz w:val="20"/>
                <w:szCs w:val="20"/>
                <w:color w:val="auto"/>
              </w:rPr>
            </w:pPr>
            <w:r>
              <w:rPr>
                <w:rFonts w:ascii="Arial" w:cs="Arial" w:eastAsia="Arial" w:hAnsi="Arial"/>
                <w:sz w:val="18"/>
                <w:szCs w:val="18"/>
                <w:color w:val="auto"/>
              </w:rPr>
              <w:t>30</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Gavin Michael,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964" w:right="560" w:hanging="532"/>
        <w:spacing w:after="0" w:line="342" w:lineRule="auto"/>
        <w:tabs>
          <w:tab w:leader="none" w:pos="9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1444" w:val="left"/>
          <w:tab w:leader="none" w:pos="5604" w:val="left"/>
          <w:tab w:leader="none" w:pos="6044" w:val="left"/>
        </w:tabs>
        <w:rPr>
          <w:sz w:val="20"/>
          <w:szCs w:val="20"/>
          <w:color w:val="auto"/>
        </w:rPr>
      </w:pPr>
      <w:r>
        <w:rPr>
          <w:rFonts w:ascii="Arial" w:cs="Arial" w:eastAsia="Arial" w:hAnsi="Arial"/>
          <w:sz w:val="18"/>
          <w:szCs w:val="18"/>
          <w:color w:val="auto"/>
        </w:rPr>
        <w:t>Date: December [</w:t>
        <w:tab/>
        <w:t>],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Andrew Labenne, certify that:</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964" w:right="560" w:hanging="532"/>
        <w:spacing w:after="0" w:line="342" w:lineRule="auto"/>
        <w:tabs>
          <w:tab w:leader="none" w:pos="9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Andrew Labenne</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of Bakkt Holdings, Inc. (the “Company”) on Form 10-Q for the quarterly period ended September 30, 2021, as filed with the Securities and Exchange Commission (the “Report”), I, Gavin Michael,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connection with the Quarterly Report of Bakkt Holdings, Inc. (the “Company”) on Form 10-Q for the quarterly period ended September 30, 2021, as filed with the Securities and Exchange Commission (the “Report”), I, Andrew Labenne,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Labenne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2021-12-08T05:18:52Z</dcterms:created>
  <dcterms:modified xsi:type="dcterms:W3CDTF">2021-12-08T05:18:52Z</dcterms:modified>
</cp:coreProperties>
</file>