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7" w:lineRule="exact"/>
        <w:rPr>
          <w:sz w:val="24"/>
          <w:szCs w:val="24"/>
          <w:color w:val="auto"/>
        </w:rPr>
      </w:pPr>
    </w:p>
    <w:p>
      <w:pPr>
        <w:ind w:left="320"/>
        <w:spacing w:after="0" w:line="26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-182880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04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43"/>
              <w:spacing w:after="0" w:line="121"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7"/>
        </w:trPr>
        <w:tc>
          <w:tcPr>
            <w:tcW w:w="60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40" w:type="dxa"/>
            <w:vAlign w:val="bottom"/>
            <w:vMerge w:val="restart"/>
          </w:tcPr>
          <w:p>
            <w:pPr>
              <w:jc w:val="center"/>
              <w:ind w:right="44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5125085</wp:posOffset>
            </wp:positionH>
            <wp:positionV relativeFrom="paragraph">
              <wp:posOffset>-574675</wp:posOffset>
            </wp:positionV>
            <wp:extent cx="55245" cy="588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8010"/>
                    </a:xfrm>
                    <a:prstGeom prst="rect">
                      <a:avLst/>
                    </a:prstGeom>
                    <a:noFill/>
                  </pic:spPr>
                </pic:pic>
              </a:graphicData>
            </a:graphic>
          </wp:anchor>
        </w:drawing>
        <w:drawing>
          <wp:anchor simplePos="0" relativeHeight="251657728" behindDoc="1" locked="0" layoutInCell="0" allowOverlap="1">
            <wp:simplePos x="0" y="0"/>
            <wp:positionH relativeFrom="column">
              <wp:posOffset>3826510</wp:posOffset>
            </wp:positionH>
            <wp:positionV relativeFrom="paragraph">
              <wp:posOffset>-574675</wp:posOffset>
            </wp:positionV>
            <wp:extent cx="55245" cy="588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801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12700</wp:posOffset>
            </wp:positionV>
            <wp:extent cx="7004685" cy="383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685" cy="38303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60" w:space="540"/>
            <w:col w:w="8280"/>
          </w:cols>
          <w:pgMar w:left="460" w:top="215" w:right="359" w:bottom="144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Clifton David C</w:t>
        </w:r>
      </w:hyperlink>
    </w:p>
    <w:p>
      <w:pPr>
        <w:spacing w:after="0" w:line="280"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56" w:lineRule="exact"/>
        <w:rPr>
          <w:sz w:val="24"/>
          <w:szCs w:val="24"/>
          <w:color w:val="auto"/>
        </w:rPr>
      </w:pPr>
    </w:p>
    <w:p>
      <w:pPr>
        <w:ind w:left="100"/>
        <w:spacing w:after="0"/>
        <w:rPr>
          <w:sz w:val="20"/>
          <w:szCs w:val="20"/>
          <w:color w:val="auto"/>
        </w:rPr>
      </w:pPr>
      <w:r>
        <w:rPr>
          <w:rFonts w:ascii="Arial" w:cs="Arial" w:eastAsia="Arial" w:hAnsi="Arial"/>
          <w:sz w:val="15"/>
          <w:szCs w:val="15"/>
          <w:color w:val="0000FF"/>
        </w:rPr>
        <w:t>C/O BAKKT HOLDINGS, INC.</w:t>
      </w:r>
    </w:p>
    <w:p>
      <w:pPr>
        <w:spacing w:after="0" w:line="64" w:lineRule="exact"/>
        <w:rPr>
          <w:sz w:val="24"/>
          <w:szCs w:val="24"/>
          <w:color w:val="auto"/>
        </w:rPr>
      </w:pPr>
    </w:p>
    <w:p>
      <w:pPr>
        <w:ind w:left="100"/>
        <w:spacing w:after="0"/>
        <w:rPr>
          <w:sz w:val="20"/>
          <w:szCs w:val="20"/>
          <w:color w:val="auto"/>
        </w:rPr>
      </w:pPr>
      <w:r>
        <w:rPr>
          <w:rFonts w:ascii="Arial" w:cs="Arial" w:eastAsia="Arial" w:hAnsi="Arial"/>
          <w:sz w:val="15"/>
          <w:szCs w:val="15"/>
          <w:color w:val="0000FF"/>
        </w:rPr>
        <w:t>5900 WINDWARD PARKWAY, SUITE 450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Bakkt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BKKT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0000FF"/>
        </w:rPr>
        <w:t>10/15/2021</w:t>
      </w:r>
    </w:p>
    <w:p>
      <w:pPr>
        <w:spacing w:after="0" w:line="20" w:lineRule="exact"/>
        <w:rPr>
          <w:sz w:val="24"/>
          <w:szCs w:val="24"/>
          <w:color w:val="auto"/>
        </w:rPr>
      </w:pPr>
      <w:r>
        <w:rPr>
          <w:sz w:val="24"/>
          <w:szCs w:val="24"/>
          <w:color w:val="auto"/>
        </w:rPr>
        <w:br w:type="column"/>
      </w:r>
    </w:p>
    <w:p>
      <w:pPr>
        <w:ind w:left="-4" w:right="860" w:firstLine="4"/>
        <w:spacing w:after="0" w:line="235" w:lineRule="auto"/>
        <w:tabs>
          <w:tab w:leader="none" w:pos="128"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6"/>
        <w:spacing w:after="0"/>
        <w:tabs>
          <w:tab w:leader="none" w:pos="496" w:val="left"/>
          <w:tab w:leader="none" w:pos="2076"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1"/>
          <w:szCs w:val="11"/>
          <w:color w:val="auto"/>
        </w:rPr>
        <w:t>10% Owner</w:t>
      </w:r>
    </w:p>
    <w:p>
      <w:pPr>
        <w:spacing w:after="0" w:line="94" w:lineRule="exact"/>
        <w:rPr>
          <w:sz w:val="24"/>
          <w:szCs w:val="24"/>
          <w:color w:val="auto"/>
        </w:rPr>
      </w:pPr>
    </w:p>
    <w:p>
      <w:pPr>
        <w:jc w:val="right"/>
        <w:ind w:right="52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16"/>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54" w:lineRule="exact"/>
        <w:rPr>
          <w:sz w:val="24"/>
          <w:szCs w:val="24"/>
          <w:color w:val="auto"/>
        </w:rPr>
      </w:pPr>
    </w:p>
    <w:p>
      <w:pPr>
        <w:sectPr>
          <w:pgSz w:w="11900" w:h="16838" w:orient="portrait"/>
          <w:cols w:equalWidth="0" w:num="3">
            <w:col w:w="3180" w:space="720"/>
            <w:col w:w="3104" w:space="720"/>
            <w:col w:w="3356"/>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80" w:type="dxa"/>
            <w:vAlign w:val="bottom"/>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420" w:type="dxa"/>
            <w:vAlign w:val="bottom"/>
            <w:shd w:val="clear" w:color="auto" w:fill="9A9A9A"/>
          </w:tcPr>
          <w:p>
            <w:pPr>
              <w:spacing w:after="0"/>
              <w:rPr>
                <w:sz w:val="2"/>
                <w:szCs w:val="2"/>
                <w:color w:val="auto"/>
              </w:rPr>
            </w:pPr>
          </w:p>
        </w:tc>
        <w:tc>
          <w:tcPr>
            <w:tcW w:w="3240" w:type="dxa"/>
            <w:vAlign w:val="bottom"/>
            <w:gridSpan w:val="8"/>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440" w:type="dxa"/>
            <w:vAlign w:val="bottom"/>
          </w:tcPr>
          <w:p>
            <w:pPr>
              <w:spacing w:after="0"/>
              <w:rPr>
                <w:sz w:val="2"/>
                <w:szCs w:val="2"/>
                <w:color w:val="auto"/>
              </w:rPr>
            </w:pPr>
          </w:p>
        </w:tc>
        <w:tc>
          <w:tcPr>
            <w:tcW w:w="3640" w:type="dxa"/>
            <w:vAlign w:val="bottom"/>
            <w:gridSpan w:val="9"/>
            <w:vMerge w:val="restart"/>
          </w:tcPr>
          <w:p>
            <w:pPr>
              <w:ind w:left="2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37"/>
        </w:trPr>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40" w:type="dxa"/>
            <w:vAlign w:val="bottom"/>
            <w:gridSpan w:val="8"/>
            <w:vMerge w:val="continue"/>
          </w:tcPr>
          <w:p>
            <w:pPr>
              <w:spacing w:after="0"/>
              <w:rPr>
                <w:sz w:val="11"/>
                <w:szCs w:val="11"/>
                <w:color w:val="auto"/>
              </w:rPr>
            </w:pPr>
          </w:p>
        </w:tc>
        <w:tc>
          <w:tcPr>
            <w:tcW w:w="440" w:type="dxa"/>
            <w:vAlign w:val="bottom"/>
          </w:tcPr>
          <w:p>
            <w:pPr>
              <w:spacing w:after="0"/>
              <w:rPr>
                <w:sz w:val="11"/>
                <w:szCs w:val="11"/>
                <w:color w:val="auto"/>
              </w:rPr>
            </w:pPr>
          </w:p>
        </w:tc>
        <w:tc>
          <w:tcPr>
            <w:tcW w:w="36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4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20" w:type="dxa"/>
            <w:vAlign w:val="bottom"/>
            <w:gridSpan w:val="5"/>
            <w:vMerge w:val="restart"/>
          </w:tcPr>
          <w:p>
            <w:pPr>
              <w:ind w:left="48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One Reporting Person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5"/>
                <w:szCs w:val="15"/>
                <w:color w:val="0000FF"/>
              </w:rPr>
              <w:t>ALPHARETTA</w:t>
            </w:r>
          </w:p>
        </w:tc>
        <w:tc>
          <w:tcPr>
            <w:tcW w:w="1040" w:type="dxa"/>
            <w:vAlign w:val="bottom"/>
            <w:vMerge w:val="restart"/>
          </w:tcPr>
          <w:p>
            <w:pPr>
              <w:ind w:left="40"/>
              <w:spacing w:after="0"/>
              <w:rPr>
                <w:sz w:val="20"/>
                <w:szCs w:val="20"/>
                <w:color w:val="auto"/>
              </w:rPr>
            </w:pPr>
            <w:r>
              <w:rPr>
                <w:rFonts w:ascii="Arial" w:cs="Arial" w:eastAsia="Arial" w:hAnsi="Arial"/>
                <w:sz w:val="15"/>
                <w:szCs w:val="15"/>
                <w:color w:val="0000FF"/>
              </w:rPr>
              <w:t>GA</w:t>
            </w:r>
          </w:p>
        </w:tc>
        <w:tc>
          <w:tcPr>
            <w:tcW w:w="1000" w:type="dxa"/>
            <w:vAlign w:val="bottom"/>
            <w:vMerge w:val="restart"/>
          </w:tcPr>
          <w:p>
            <w:pPr>
              <w:ind w:left="220"/>
              <w:spacing w:after="0"/>
              <w:rPr>
                <w:sz w:val="20"/>
                <w:szCs w:val="20"/>
                <w:color w:val="auto"/>
              </w:rPr>
            </w:pPr>
            <w:r>
              <w:rPr>
                <w:rFonts w:ascii="Arial" w:cs="Arial" w:eastAsia="Arial" w:hAnsi="Arial"/>
                <w:sz w:val="15"/>
                <w:szCs w:val="15"/>
                <w:color w:val="0000FF"/>
              </w:rPr>
              <w:t>30005</w:t>
            </w: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40" w:type="dxa"/>
            <w:vAlign w:val="bottom"/>
          </w:tcPr>
          <w:p>
            <w:pPr>
              <w:ind w:left="40"/>
              <w:spacing w:after="0"/>
              <w:rPr>
                <w:sz w:val="20"/>
                <w:szCs w:val="20"/>
                <w:color w:val="auto"/>
              </w:rPr>
            </w:pPr>
            <w:r>
              <w:rPr>
                <w:rFonts w:ascii="Arial" w:cs="Arial" w:eastAsia="Arial" w:hAnsi="Arial"/>
                <w:sz w:val="12"/>
                <w:szCs w:val="12"/>
                <w:color w:val="auto"/>
              </w:rPr>
              <w:t>(State)</w:t>
            </w:r>
          </w:p>
        </w:tc>
        <w:tc>
          <w:tcPr>
            <w:tcW w:w="1000" w:type="dxa"/>
            <w:vAlign w:val="bottom"/>
          </w:tcPr>
          <w:p>
            <w:pPr>
              <w:ind w:left="22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3340" w:type="dxa"/>
            <w:vAlign w:val="bottom"/>
            <w:tcBorders>
              <w:bottom w:val="single" w:sz="8" w:color="2C2C2C"/>
            </w:tcBorders>
            <w:gridSpan w:val="6"/>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3"/>
          </w:tcPr>
          <w:p>
            <w:pPr>
              <w:ind w:left="24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34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3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1080" w:type="dxa"/>
            <w:vAlign w:val="bottom"/>
            <w:gridSpan w:val="3"/>
          </w:tcPr>
          <w:p>
            <w:pPr>
              <w:ind w:left="1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8"/>
              </w:rPr>
              <w:t>2A. Deemed</w:t>
            </w:r>
          </w:p>
        </w:tc>
        <w:tc>
          <w:tcPr>
            <w:tcW w:w="260" w:type="dxa"/>
            <w:vAlign w:val="bottom"/>
          </w:tcPr>
          <w:p>
            <w:pPr>
              <w:spacing w:after="0"/>
              <w:rPr>
                <w:sz w:val="13"/>
                <w:szCs w:val="13"/>
                <w:color w:val="auto"/>
              </w:rPr>
            </w:pPr>
          </w:p>
        </w:tc>
        <w:tc>
          <w:tcPr>
            <w:tcW w:w="420" w:type="dxa"/>
            <w:vAlign w:val="bottom"/>
            <w:gridSpan w:val="2"/>
          </w:tcPr>
          <w:p>
            <w:pPr>
              <w:ind w:left="80"/>
              <w:spacing w:after="0"/>
              <w:rPr>
                <w:sz w:val="20"/>
                <w:szCs w:val="20"/>
                <w:color w:val="auto"/>
              </w:rPr>
            </w:pPr>
            <w:r>
              <w:rPr>
                <w:rFonts w:ascii="Arial" w:cs="Arial" w:eastAsia="Arial" w:hAnsi="Arial"/>
                <w:sz w:val="11"/>
                <w:szCs w:val="11"/>
                <w:b w:val="1"/>
                <w:bCs w:val="1"/>
                <w:color w:val="auto"/>
              </w:rPr>
              <w:t>3.</w:t>
            </w:r>
          </w:p>
        </w:tc>
        <w:tc>
          <w:tcPr>
            <w:tcW w:w="400" w:type="dxa"/>
            <w:vAlign w:val="bottom"/>
          </w:tcPr>
          <w:p>
            <w:pPr>
              <w:spacing w:after="0"/>
              <w:rPr>
                <w:sz w:val="13"/>
                <w:szCs w:val="13"/>
                <w:color w:val="auto"/>
              </w:rPr>
            </w:pPr>
          </w:p>
        </w:tc>
        <w:tc>
          <w:tcPr>
            <w:tcW w:w="192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gridSpan w:val="2"/>
          </w:tcPr>
          <w:p>
            <w:pPr>
              <w:ind w:left="140"/>
              <w:spacing w:after="0" w:line="116" w:lineRule="exact"/>
              <w:rPr>
                <w:sz w:val="20"/>
                <w:szCs w:val="20"/>
                <w:color w:val="auto"/>
              </w:rPr>
            </w:pPr>
            <w:r>
              <w:rPr>
                <w:rFonts w:ascii="Arial" w:cs="Arial" w:eastAsia="Arial" w:hAnsi="Arial"/>
                <w:sz w:val="11"/>
                <w:szCs w:val="11"/>
                <w:b w:val="1"/>
                <w:bCs w:val="1"/>
                <w:color w:val="auto"/>
              </w:rPr>
              <w:t>Date</w:t>
            </w:r>
          </w:p>
        </w:tc>
        <w:tc>
          <w:tcPr>
            <w:tcW w:w="360" w:type="dxa"/>
            <w:vAlign w:val="bottom"/>
          </w:tcPr>
          <w:p>
            <w:pPr>
              <w:spacing w:after="0"/>
              <w:rPr>
                <w:sz w:val="10"/>
                <w:szCs w:val="10"/>
                <w:color w:val="auto"/>
              </w:rPr>
            </w:pPr>
          </w:p>
        </w:tc>
        <w:tc>
          <w:tcPr>
            <w:tcW w:w="96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80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20"/>
              <w:spacing w:after="0" w:line="116" w:lineRule="exact"/>
              <w:rPr>
                <w:sz w:val="20"/>
                <w:szCs w:val="20"/>
                <w:color w:val="auto"/>
              </w:rPr>
            </w:pPr>
            <w:r>
              <w:rPr>
                <w:rFonts w:ascii="Arial" w:cs="Arial" w:eastAsia="Arial" w:hAnsi="Arial"/>
                <w:sz w:val="11"/>
                <w:szCs w:val="11"/>
                <w:b w:val="1"/>
                <w:bCs w:val="1"/>
                <w:color w:val="auto"/>
              </w:rPr>
              <w:t>Disposed Of (D) (Instr. 3, 4 and 5)</w:t>
            </w:r>
          </w:p>
        </w:tc>
        <w:tc>
          <w:tcPr>
            <w:tcW w:w="62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16"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ind w:left="20"/>
              <w:spacing w:after="0" w:line="11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gridSpan w:val="3"/>
          </w:tcPr>
          <w:p>
            <w:pPr>
              <w:ind w:left="140"/>
              <w:spacing w:after="0" w:line="119"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4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Following Reported</w:t>
            </w:r>
          </w:p>
        </w:tc>
        <w:tc>
          <w:tcPr>
            <w:tcW w:w="44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2"/>
              </w:rPr>
              <w:t>(Instr. 4)</w:t>
            </w:r>
          </w:p>
        </w:tc>
        <w:tc>
          <w:tcPr>
            <w:tcW w:w="500" w:type="dxa"/>
            <w:vAlign w:val="bottom"/>
          </w:tcPr>
          <w:p>
            <w:pPr>
              <w:spacing w:after="0"/>
              <w:rPr>
                <w:sz w:val="10"/>
                <w:szCs w:val="10"/>
                <w:color w:val="auto"/>
              </w:rPr>
            </w:pP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19" w:lineRule="exact"/>
              <w:rPr>
                <w:sz w:val="20"/>
                <w:szCs w:val="20"/>
                <w:color w:val="auto"/>
              </w:rPr>
            </w:pPr>
            <w:r>
              <w:rPr>
                <w:rFonts w:ascii="Arial" w:cs="Arial" w:eastAsia="Arial" w:hAnsi="Arial"/>
                <w:sz w:val="11"/>
                <w:szCs w:val="11"/>
                <w:b w:val="1"/>
                <w:bCs w:val="1"/>
                <w:color w:val="auto"/>
              </w:rPr>
              <w:t>Transaction(s)</w:t>
            </w: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gridSpan w:val="4"/>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 and 4)</w:t>
            </w: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gridSpan w:val="7"/>
          </w:tcPr>
          <w:p>
            <w:pPr>
              <w:spacing w:after="0"/>
              <w:rPr>
                <w:sz w:val="7"/>
                <w:szCs w:val="7"/>
                <w:color w:val="auto"/>
              </w:rPr>
            </w:pPr>
          </w:p>
        </w:tc>
        <w:tc>
          <w:tcPr>
            <w:tcW w:w="3340" w:type="dxa"/>
            <w:vAlign w:val="bottom"/>
            <w:tcBorders>
              <w:bottom w:val="single" w:sz="8" w:color="2C2C2C"/>
            </w:tcBorders>
            <w:gridSpan w:val="6"/>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0" w:type="dxa"/>
            <w:vAlign w:val="bottom"/>
            <w:gridSpan w:val="13"/>
          </w:tcPr>
          <w:p>
            <w:pPr>
              <w:ind w:left="44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780" w:type="dxa"/>
            <w:vAlign w:val="bottom"/>
            <w:gridSpan w:val="11"/>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000" w:type="dxa"/>
            <w:vAlign w:val="bottom"/>
            <w:tcBorders>
              <w:bottom w:val="single" w:sz="8" w:color="2C2C2C"/>
            </w:tcBorders>
            <w:gridSpan w:val="7"/>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3000" w:type="dxa"/>
            <w:vAlign w:val="bottom"/>
            <w:gridSpan w:val="7"/>
          </w:tcPr>
          <w:p>
            <w:pPr>
              <w:ind w:left="20"/>
              <w:spacing w:after="0"/>
              <w:rPr>
                <w:sz w:val="20"/>
                <w:szCs w:val="20"/>
                <w:color w:val="auto"/>
              </w:rPr>
            </w:pPr>
            <w:r>
              <w:rPr>
                <w:rFonts w:ascii="Arial" w:cs="Arial" w:eastAsia="Arial" w:hAnsi="Arial"/>
                <w:sz w:val="11"/>
                <w:szCs w:val="11"/>
                <w:b w:val="1"/>
                <w:bCs w:val="1"/>
                <w:color w:val="auto"/>
              </w:rPr>
              <w:t>6. Date Exercisable and   7. Title and Amount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68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8"/>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5"/>
              </w:rPr>
              <w:t>Conversion</w:t>
            </w:r>
          </w:p>
        </w:tc>
        <w:tc>
          <w:tcPr>
            <w:tcW w:w="104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Derivative</w:t>
            </w:r>
          </w:p>
        </w:tc>
        <w:tc>
          <w:tcPr>
            <w:tcW w:w="108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Expiration Date</w:t>
            </w:r>
          </w:p>
        </w:tc>
        <w:tc>
          <w:tcPr>
            <w:tcW w:w="1920" w:type="dxa"/>
            <w:vAlign w:val="bottom"/>
            <w:gridSpan w:val="3"/>
          </w:tcPr>
          <w:p>
            <w:pPr>
              <w:ind w:left="32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3"/>
              </w:rPr>
              <w:t>derivative</w:t>
            </w:r>
          </w:p>
        </w:tc>
        <w:tc>
          <w:tcPr>
            <w:tcW w:w="440" w:type="dxa"/>
            <w:vAlign w:val="bottom"/>
          </w:tcPr>
          <w:p>
            <w:pPr>
              <w:spacing w:after="0"/>
              <w:rPr>
                <w:sz w:val="10"/>
                <w:szCs w:val="10"/>
                <w:color w:val="auto"/>
              </w:rPr>
            </w:pPr>
          </w:p>
        </w:tc>
        <w:tc>
          <w:tcPr>
            <w:tcW w:w="6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8"/>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7"/>
              </w:rPr>
              <w:t>or Exercise</w:t>
            </w:r>
          </w:p>
        </w:tc>
        <w:tc>
          <w:tcPr>
            <w:tcW w:w="1040" w:type="dxa"/>
            <w:vAlign w:val="bottom"/>
          </w:tcPr>
          <w:p>
            <w:pPr>
              <w:ind w:left="120"/>
              <w:spacing w:after="0" w:line="119"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Securities</w:t>
            </w:r>
          </w:p>
        </w:tc>
        <w:tc>
          <w:tcPr>
            <w:tcW w:w="108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1920" w:type="dxa"/>
            <w:vAlign w:val="bottom"/>
            <w:gridSpan w:val="3"/>
          </w:tcPr>
          <w:p>
            <w:pPr>
              <w:ind w:left="320"/>
              <w:spacing w:after="0" w:line="119" w:lineRule="exact"/>
              <w:rPr>
                <w:sz w:val="20"/>
                <w:szCs w:val="20"/>
                <w:color w:val="auto"/>
              </w:rPr>
            </w:pPr>
            <w:r>
              <w:rPr>
                <w:rFonts w:ascii="Arial" w:cs="Arial" w:eastAsia="Arial" w:hAnsi="Arial"/>
                <w:sz w:val="11"/>
                <w:szCs w:val="11"/>
                <w:b w:val="1"/>
                <w:bCs w:val="1"/>
                <w:color w:val="auto"/>
              </w:rPr>
              <w:t>Derivative Security (Instr. 3</w:t>
            </w: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1"/>
              </w:rPr>
              <w:t>Securities</w:t>
            </w:r>
          </w:p>
        </w:tc>
        <w:tc>
          <w:tcPr>
            <w:tcW w:w="440" w:type="dxa"/>
            <w:vAlign w:val="bottom"/>
          </w:tcPr>
          <w:p>
            <w:pPr>
              <w:spacing w:after="0"/>
              <w:rPr>
                <w:sz w:val="10"/>
                <w:szCs w:val="10"/>
                <w:color w:val="auto"/>
              </w:rPr>
            </w:pPr>
          </w:p>
        </w:tc>
        <w:tc>
          <w:tcPr>
            <w:tcW w:w="5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Acquired (A) or</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ind w:left="320"/>
              <w:spacing w:after="0" w:line="119" w:lineRule="exact"/>
              <w:rPr>
                <w:sz w:val="20"/>
                <w:szCs w:val="20"/>
                <w:color w:val="auto"/>
              </w:rPr>
            </w:pPr>
            <w:r>
              <w:rPr>
                <w:rFonts w:ascii="Arial" w:cs="Arial" w:eastAsia="Arial" w:hAnsi="Arial"/>
                <w:sz w:val="11"/>
                <w:szCs w:val="11"/>
                <w:b w:val="1"/>
                <w:bCs w:val="1"/>
                <w:color w:val="auto"/>
              </w:rPr>
              <w:t>and 4)</w:t>
            </w: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10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2"/>
              </w:rPr>
              <w:t>Direct (D)</w:t>
            </w:r>
          </w:p>
        </w:tc>
        <w:tc>
          <w:tcPr>
            <w:tcW w:w="140" w:type="dxa"/>
            <w:vAlign w:val="bottom"/>
          </w:tcPr>
          <w:p>
            <w:pPr>
              <w:spacing w:after="0"/>
              <w:rPr>
                <w:sz w:val="10"/>
                <w:szCs w:val="10"/>
                <w:color w:val="auto"/>
              </w:rPr>
            </w:pP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Disposed of (D)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Owned</w:t>
            </w:r>
          </w:p>
        </w:tc>
        <w:tc>
          <w:tcPr>
            <w:tcW w:w="440" w:type="dxa"/>
            <w:vAlign w:val="bottom"/>
          </w:tcPr>
          <w:p>
            <w:pPr>
              <w:spacing w:after="0"/>
              <w:rPr>
                <w:sz w:val="10"/>
                <w:szCs w:val="10"/>
                <w:color w:val="auto"/>
              </w:rPr>
            </w:pPr>
          </w:p>
        </w:tc>
        <w:tc>
          <w:tcPr>
            <w:tcW w:w="6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(Instr. 3, 4 and 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3"/>
              </w:rPr>
              <w:t>Following</w:t>
            </w:r>
          </w:p>
        </w:tc>
        <w:tc>
          <w:tcPr>
            <w:tcW w:w="440" w:type="dxa"/>
            <w:vAlign w:val="bottom"/>
          </w:tcPr>
          <w:p>
            <w:pPr>
              <w:spacing w:after="0"/>
              <w:rPr>
                <w:sz w:val="10"/>
                <w:szCs w:val="10"/>
                <w:color w:val="auto"/>
              </w:rPr>
            </w:pPr>
          </w:p>
        </w:tc>
        <w:tc>
          <w:tcPr>
            <w:tcW w:w="6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ind w:left="80"/>
              <w:spacing w:after="0" w:line="119" w:lineRule="exact"/>
              <w:rPr>
                <w:sz w:val="20"/>
                <w:szCs w:val="20"/>
                <w:color w:val="auto"/>
              </w:rPr>
            </w:pPr>
            <w:r>
              <w:rPr>
                <w:rFonts w:ascii="Arial" w:cs="Arial" w:eastAsia="Arial" w:hAnsi="Arial"/>
                <w:sz w:val="11"/>
                <w:szCs w:val="11"/>
                <w:b w:val="1"/>
                <w:bCs w:val="1"/>
                <w:color w:val="auto"/>
                <w:w w:val="99"/>
              </w:rPr>
              <w:t>Reported</w:t>
            </w: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2"/>
              </w:rPr>
              <w:t>Date</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Expiration</w:t>
            </w:r>
          </w:p>
        </w:tc>
        <w:tc>
          <w:tcPr>
            <w:tcW w:w="11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Amount or Number</w:t>
            </w:r>
          </w:p>
        </w:tc>
        <w:tc>
          <w:tcPr>
            <w:tcW w:w="620" w:type="dxa"/>
            <w:vAlign w:val="bottom"/>
          </w:tcPr>
          <w:p>
            <w:pPr>
              <w:spacing w:after="0"/>
              <w:rPr>
                <w:sz w:val="10"/>
                <w:szCs w:val="10"/>
                <w:color w:val="auto"/>
              </w:rPr>
            </w:pPr>
          </w:p>
        </w:tc>
        <w:tc>
          <w:tcPr>
            <w:tcW w:w="10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700" w:type="dxa"/>
            <w:vAlign w:val="bottom"/>
          </w:tcPr>
          <w:p>
            <w:pPr>
              <w:ind w:left="4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tcPr>
          <w:p>
            <w:pPr>
              <w:ind w:left="320"/>
              <w:spacing w:after="0"/>
              <w:rPr>
                <w:sz w:val="20"/>
                <w:szCs w:val="20"/>
                <w:color w:val="auto"/>
              </w:rPr>
            </w:pPr>
            <w:r>
              <w:rPr>
                <w:rFonts w:ascii="Arial" w:cs="Arial" w:eastAsia="Arial" w:hAnsi="Arial"/>
                <w:sz w:val="11"/>
                <w:szCs w:val="11"/>
                <w:b w:val="1"/>
                <w:bCs w:val="1"/>
                <w:color w:val="auto"/>
              </w:rPr>
              <w:t>Title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2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2"/>
          </w:tcPr>
          <w:p>
            <w:pPr>
              <w:ind w:left="60"/>
              <w:spacing w:after="0"/>
              <w:rPr>
                <w:sz w:val="20"/>
                <w:szCs w:val="20"/>
                <w:color w:val="auto"/>
              </w:rPr>
            </w:pPr>
            <w:r>
              <w:rPr>
                <w:rFonts w:ascii="Arial" w:cs="Arial" w:eastAsia="Arial" w:hAnsi="Arial"/>
                <w:sz w:val="12"/>
                <w:szCs w:val="12"/>
                <w:color w:val="0000FF"/>
              </w:rPr>
              <w:t>Bakkt</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1060" w:type="dxa"/>
            <w:vAlign w:val="bottom"/>
            <w:gridSpan w:val="2"/>
            <w:vMerge w:val="restart"/>
          </w:tcPr>
          <w:p>
            <w:pPr>
              <w:ind w:left="80"/>
              <w:spacing w:after="0"/>
              <w:rPr>
                <w:sz w:val="20"/>
                <w:szCs w:val="20"/>
                <w:color w:val="auto"/>
              </w:rPr>
            </w:pPr>
            <w:r>
              <w:rPr>
                <w:rFonts w:ascii="Arial" w:cs="Arial" w:eastAsia="Arial" w:hAnsi="Arial"/>
                <w:sz w:val="12"/>
                <w:szCs w:val="12"/>
                <w:color w:val="0000FF"/>
              </w:rPr>
              <w:t>162,608</w:t>
            </w:r>
            <w:r>
              <w:rPr>
                <w:rFonts w:ascii="Arial" w:cs="Arial" w:eastAsia="Arial" w:hAnsi="Arial"/>
                <w:sz w:val="19"/>
                <w:szCs w:val="19"/>
                <w:color w:val="008000"/>
                <w:vertAlign w:val="superscript"/>
              </w:rPr>
              <w:t>(4)(5)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ind w:left="360"/>
              <w:spacing w:after="0"/>
              <w:rPr>
                <w:sz w:val="20"/>
                <w:szCs w:val="20"/>
                <w:color w:val="auto"/>
              </w:rPr>
            </w:pPr>
            <w:r>
              <w:rPr>
                <w:rFonts w:ascii="Arial" w:cs="Arial" w:eastAsia="Arial" w:hAnsi="Arial"/>
                <w:sz w:val="12"/>
                <w:szCs w:val="12"/>
                <w:color w:val="0000FF"/>
              </w:rPr>
              <w:t>Class A</w:t>
            </w:r>
          </w:p>
        </w:tc>
        <w:tc>
          <w:tcPr>
            <w:tcW w:w="1120" w:type="dxa"/>
            <w:vAlign w:val="bottom"/>
            <w:gridSpan w:val="2"/>
            <w:vMerge w:val="restart"/>
          </w:tcPr>
          <w:p>
            <w:pPr>
              <w:ind w:left="100"/>
              <w:spacing w:after="0" w:line="307" w:lineRule="exact"/>
              <w:rPr>
                <w:sz w:val="20"/>
                <w:szCs w:val="20"/>
                <w:color w:val="auto"/>
              </w:rPr>
            </w:pPr>
            <w:r>
              <w:rPr>
                <w:rFonts w:ascii="Arial" w:cs="Arial" w:eastAsia="Arial" w:hAnsi="Arial"/>
                <w:sz w:val="30"/>
                <w:szCs w:val="30"/>
                <w:color w:val="0000FF"/>
                <w:w w:val="82"/>
                <w:vertAlign w:val="subscript"/>
              </w:rPr>
              <w:t>162,608</w:t>
            </w:r>
            <w:r>
              <w:rPr>
                <w:rFonts w:ascii="Arial" w:cs="Arial" w:eastAsia="Arial" w:hAnsi="Arial"/>
                <w:sz w:val="10"/>
                <w:szCs w:val="10"/>
                <w:color w:val="008000"/>
                <w:w w:val="82"/>
              </w:rPr>
              <w:t>(2)(3)(4)(5)</w:t>
            </w:r>
          </w:p>
        </w:tc>
        <w:tc>
          <w:tcPr>
            <w:tcW w:w="62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23"/>
                <w:szCs w:val="23"/>
                <w:color w:val="0000FF"/>
                <w:w w:val="88"/>
                <w:vertAlign w:val="subscript"/>
              </w:rPr>
              <w:t>162,608</w:t>
            </w:r>
            <w:r>
              <w:rPr>
                <w:rFonts w:ascii="Arial" w:cs="Arial" w:eastAsia="Arial" w:hAnsi="Arial"/>
                <w:sz w:val="10"/>
                <w:szCs w:val="10"/>
                <w:color w:val="008000"/>
                <w:w w:val="88"/>
              </w:rPr>
              <w:t>(2)(3)(4)(5)</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40" w:type="dxa"/>
            <w:vAlign w:val="bottom"/>
            <w:gridSpan w:val="2"/>
          </w:tcPr>
          <w:p>
            <w:pPr>
              <w:ind w:left="60"/>
              <w:spacing w:after="0"/>
              <w:rPr>
                <w:sz w:val="20"/>
                <w:szCs w:val="20"/>
                <w:color w:val="auto"/>
              </w:rPr>
            </w:pPr>
            <w:r>
              <w:rPr>
                <w:rFonts w:ascii="Arial" w:cs="Arial" w:eastAsia="Arial" w:hAnsi="Arial"/>
                <w:sz w:val="12"/>
                <w:szCs w:val="12"/>
                <w:color w:val="0000FF"/>
              </w:rPr>
              <w:t>Opco</w:t>
            </w:r>
          </w:p>
        </w:tc>
        <w:tc>
          <w:tcPr>
            <w:tcW w:w="660" w:type="dxa"/>
            <w:vAlign w:val="bottom"/>
          </w:tcPr>
          <w:p>
            <w:pPr>
              <w:ind w:left="300"/>
              <w:spacing w:after="0"/>
              <w:rPr>
                <w:sz w:val="20"/>
                <w:szCs w:val="20"/>
                <w:color w:val="auto"/>
              </w:rPr>
            </w:pPr>
            <w:r>
              <w:rPr>
                <w:rFonts w:ascii="Arial" w:cs="Arial" w:eastAsia="Arial" w:hAnsi="Arial"/>
                <w:sz w:val="10"/>
                <w:szCs w:val="10"/>
                <w:color w:val="008000"/>
              </w:rPr>
              <w:t>(3)</w:t>
            </w:r>
          </w:p>
        </w:tc>
        <w:tc>
          <w:tcPr>
            <w:tcW w:w="1040" w:type="dxa"/>
            <w:vAlign w:val="bottom"/>
          </w:tcPr>
          <w:p>
            <w:pPr>
              <w:ind w:left="280"/>
              <w:spacing w:after="0"/>
              <w:rPr>
                <w:sz w:val="20"/>
                <w:szCs w:val="20"/>
                <w:color w:val="auto"/>
              </w:rPr>
            </w:pPr>
            <w:r>
              <w:rPr>
                <w:rFonts w:ascii="Arial" w:cs="Arial" w:eastAsia="Arial" w:hAnsi="Arial"/>
                <w:sz w:val="12"/>
                <w:szCs w:val="12"/>
                <w:color w:val="0000FF"/>
              </w:rPr>
              <w:t>10/15/2021</w:t>
            </w:r>
          </w:p>
        </w:tc>
        <w:tc>
          <w:tcPr>
            <w:tcW w:w="10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247"/>
              <w:spacing w:after="0"/>
              <w:rPr>
                <w:sz w:val="20"/>
                <w:szCs w:val="20"/>
                <w:color w:val="auto"/>
              </w:rPr>
            </w:pPr>
            <w:r>
              <w:rPr>
                <w:rFonts w:ascii="Arial" w:cs="Arial" w:eastAsia="Arial" w:hAnsi="Arial"/>
                <w:sz w:val="10"/>
                <w:szCs w:val="10"/>
                <w:color w:val="008000"/>
                <w:w w:val="81"/>
              </w:rPr>
              <w:t>(3)</w:t>
            </w:r>
          </w:p>
        </w:tc>
        <w:tc>
          <w:tcPr>
            <w:tcW w:w="400" w:type="dxa"/>
            <w:vAlign w:val="bottom"/>
          </w:tcPr>
          <w:p>
            <w:pPr>
              <w:jc w:val="right"/>
              <w:spacing w:after="0"/>
              <w:rPr>
                <w:sz w:val="20"/>
                <w:szCs w:val="20"/>
                <w:color w:val="auto"/>
              </w:rPr>
            </w:pPr>
            <w:r>
              <w:rPr>
                <w:rFonts w:ascii="Arial" w:cs="Arial" w:eastAsia="Arial" w:hAnsi="Arial"/>
                <w:sz w:val="10"/>
                <w:szCs w:val="10"/>
                <w:color w:val="008000"/>
              </w:rPr>
              <w:t>(3)</w:t>
            </w:r>
          </w:p>
        </w:tc>
        <w:tc>
          <w:tcPr>
            <w:tcW w:w="800" w:type="dxa"/>
            <w:vAlign w:val="bottom"/>
          </w:tcPr>
          <w:p>
            <w:pPr>
              <w:ind w:left="320"/>
              <w:spacing w:after="0"/>
              <w:rPr>
                <w:sz w:val="20"/>
                <w:szCs w:val="20"/>
                <w:color w:val="auto"/>
              </w:rPr>
            </w:pPr>
            <w:r>
              <w:rPr>
                <w:rFonts w:ascii="Arial" w:cs="Arial" w:eastAsia="Arial" w:hAnsi="Arial"/>
                <w:sz w:val="12"/>
                <w:szCs w:val="12"/>
                <w:color w:val="0000FF"/>
                <w:w w:val="94"/>
              </w:rPr>
              <w:t>Common</w:t>
            </w:r>
          </w:p>
        </w:tc>
        <w:tc>
          <w:tcPr>
            <w:tcW w:w="1120" w:type="dxa"/>
            <w:vAlign w:val="bottom"/>
            <w:gridSpan w:val="2"/>
            <w:vMerge w:val="continue"/>
          </w:tcPr>
          <w:p>
            <w:pPr>
              <w:spacing w:after="0"/>
              <w:rPr>
                <w:sz w:val="12"/>
                <w:szCs w:val="12"/>
                <w:color w:val="auto"/>
              </w:rPr>
            </w:pPr>
          </w:p>
        </w:tc>
        <w:tc>
          <w:tcPr>
            <w:tcW w:w="620" w:type="dxa"/>
            <w:vAlign w:val="bottom"/>
          </w:tcPr>
          <w:p>
            <w:pPr>
              <w:ind w:left="260"/>
              <w:spacing w:after="0"/>
              <w:rPr>
                <w:sz w:val="20"/>
                <w:szCs w:val="20"/>
                <w:color w:val="auto"/>
              </w:rPr>
            </w:pPr>
            <w:r>
              <w:rPr>
                <w:rFonts w:ascii="Arial" w:cs="Arial" w:eastAsia="Arial" w:hAnsi="Arial"/>
                <w:sz w:val="10"/>
                <w:szCs w:val="10"/>
                <w:color w:val="008000"/>
              </w:rPr>
              <w:t>(1)</w:t>
            </w:r>
          </w:p>
        </w:tc>
        <w:tc>
          <w:tcPr>
            <w:tcW w:w="1020" w:type="dxa"/>
            <w:vAlign w:val="bottom"/>
            <w:gridSpan w:val="2"/>
            <w:vMerge w:val="continue"/>
          </w:tcPr>
          <w:p>
            <w:pPr>
              <w:spacing w:after="0"/>
              <w:rPr>
                <w:sz w:val="12"/>
                <w:szCs w:val="12"/>
                <w:color w:val="auto"/>
              </w:rPr>
            </w:pPr>
          </w:p>
        </w:tc>
        <w:tc>
          <w:tcPr>
            <w:tcW w:w="500" w:type="dxa"/>
            <w:vAlign w:val="bottom"/>
          </w:tcPr>
          <w:p>
            <w:pPr>
              <w:ind w:left="260"/>
              <w:spacing w:after="0"/>
              <w:rPr>
                <w:sz w:val="20"/>
                <w:szCs w:val="20"/>
                <w:color w:val="auto"/>
              </w:rPr>
            </w:pPr>
            <w:r>
              <w:rPr>
                <w:rFonts w:ascii="Arial" w:cs="Arial" w:eastAsia="Arial" w:hAnsi="Arial"/>
                <w:sz w:val="12"/>
                <w:szCs w:val="12"/>
                <w:color w:val="0000FF"/>
              </w:rPr>
              <w:t>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40" w:type="dxa"/>
            <w:vAlign w:val="bottom"/>
            <w:tcBorders>
              <w:bottom w:val="single" w:sz="8" w:color="2C2C2C"/>
            </w:tcBorders>
            <w:gridSpan w:val="2"/>
          </w:tcPr>
          <w:p>
            <w:pPr>
              <w:ind w:left="60"/>
              <w:spacing w:after="0" w:line="201" w:lineRule="exact"/>
              <w:rPr>
                <w:sz w:val="20"/>
                <w:szCs w:val="20"/>
                <w:color w:val="auto"/>
              </w:rPr>
            </w:pPr>
            <w:r>
              <w:rPr>
                <w:rFonts w:ascii="Arial" w:cs="Arial" w:eastAsia="Arial" w:hAnsi="Arial"/>
                <w:sz w:val="23"/>
                <w:szCs w:val="23"/>
                <w:color w:val="0000FF"/>
                <w:w w:val="94"/>
                <w:vertAlign w:val="subscript"/>
              </w:rPr>
              <w:t>Units</w:t>
            </w:r>
            <w:r>
              <w:rPr>
                <w:rFonts w:ascii="Arial" w:cs="Arial" w:eastAsia="Arial" w:hAnsi="Arial"/>
                <w:sz w:val="10"/>
                <w:szCs w:val="10"/>
                <w:color w:val="008000"/>
                <w:w w:val="94"/>
              </w:rPr>
              <w:t>(1)(2)</w:t>
            </w:r>
          </w:p>
        </w:tc>
        <w:tc>
          <w:tcPr>
            <w:tcW w:w="6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ind w:left="400"/>
              <w:spacing w:after="0"/>
              <w:rPr>
                <w:sz w:val="20"/>
                <w:szCs w:val="20"/>
                <w:color w:val="auto"/>
              </w:rPr>
            </w:pPr>
            <w:r>
              <w:rPr>
                <w:rFonts w:ascii="Arial" w:cs="Arial" w:eastAsia="Arial" w:hAnsi="Arial"/>
                <w:sz w:val="12"/>
                <w:szCs w:val="12"/>
                <w:color w:val="0000FF"/>
              </w:rPr>
              <w:t>Stock</w:t>
            </w:r>
          </w:p>
        </w:tc>
        <w:tc>
          <w:tcPr>
            <w:tcW w:w="4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-1407795</wp:posOffset>
            </wp:positionV>
            <wp:extent cx="27940" cy="1413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41351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40" w:right="160" w:hanging="10"/>
        <w:spacing w:after="0" w:line="261" w:lineRule="auto"/>
        <w:tabs>
          <w:tab w:leader="none" w:pos="15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Acquired pursuant to the terms of the Agreement and Plan of Merger dated as of January 11, 2021 (as amended, the "Merger Agreement") by and among Bakkt Holdings, Inc. (the "Issuer"), Pylon Merger Company LLC ("Merger Sub") and Bakkt Opco Holdings, LLC ("Bakkt Opco"), pursuant to which Merger Sub merged (the "Merger") with and into Bakkt Opco with Bakkt Opco continuing as the surviving entity and a subsidiary of the Issuer. Pursuant to the terms of the Merger Agreement, the owners of Bakkt Opco common units as of immediately prior to the closing of the Merger (the "Closing") received at the Closing, as consideration for the Merger, paired interests ("Paired Interests"), each consisting of one unit of Bakkt Opco (a "Bakkt Opco Unit") and one share of Class V common stock of the Issuer ("Class V Common Stock").</w:t>
      </w:r>
    </w:p>
    <w:p>
      <w:pPr>
        <w:spacing w:after="0" w:line="17" w:lineRule="exact"/>
        <w:rPr>
          <w:rFonts w:ascii="Arial" w:cs="Arial" w:eastAsia="Arial" w:hAnsi="Arial"/>
          <w:sz w:val="11"/>
          <w:szCs w:val="11"/>
          <w:color w:val="008000"/>
        </w:rPr>
      </w:pPr>
    </w:p>
    <w:p>
      <w:pPr>
        <w:ind w:left="40" w:right="180" w:hanging="10"/>
        <w:spacing w:after="0" w:line="237" w:lineRule="auto"/>
        <w:tabs>
          <w:tab w:leader="none" w:pos="15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Bakkt Opco Units represent non-voting limited liability company interests of Bakkt Opco. The shares of Class V Common Stock are non-economic, voting shares of the Issuer, which entitle the holder thereof to one vote for each share of Class V Common Stock held of record by such holder on all matters on which holders of Class V Common Stock as a separate class are entitled to vote, and together with holders of Class A common stock of the Issuer ("Class A Common Stock") as a single class on all matters submitted to a vote of the Issuer's stockholders having voting rights generally.</w:t>
      </w:r>
    </w:p>
    <w:p>
      <w:pPr>
        <w:spacing w:after="0" w:line="28" w:lineRule="exact"/>
        <w:rPr>
          <w:rFonts w:ascii="Arial" w:cs="Arial" w:eastAsia="Arial" w:hAnsi="Arial"/>
          <w:sz w:val="12"/>
          <w:szCs w:val="12"/>
          <w:color w:val="008000"/>
        </w:rPr>
      </w:pPr>
    </w:p>
    <w:p>
      <w:pPr>
        <w:ind w:left="40" w:right="580" w:hanging="10"/>
        <w:spacing w:after="0" w:line="289" w:lineRule="auto"/>
        <w:tabs>
          <w:tab w:leader="none" w:pos="15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the terms of an exchange agreement (the "Exchange Agreement"), beginning on the six-month anniversary of the Closing, holders of Paired Interests may exchange such Paired Interests for shares of Class A Common Stock on a one-for-one basis (subject to adjustment as set forth in the Exchange Agreement) or, at the Issuer's option, for cash. These exchange rights do not expire.</w:t>
      </w:r>
    </w:p>
    <w:p>
      <w:pPr>
        <w:spacing w:after="0" w:line="2" w:lineRule="exact"/>
        <w:rPr>
          <w:rFonts w:ascii="Arial" w:cs="Arial" w:eastAsia="Arial" w:hAnsi="Arial"/>
          <w:sz w:val="11"/>
          <w:szCs w:val="11"/>
          <w:color w:val="008000"/>
        </w:rPr>
      </w:pPr>
    </w:p>
    <w:p>
      <w:pPr>
        <w:ind w:left="40" w:right="180" w:hanging="10"/>
        <w:spacing w:after="0" w:line="245" w:lineRule="auto"/>
        <w:tabs>
          <w:tab w:leader="none" w:pos="15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845,130 Class B Units in Bakkt Management, LLC (the "Bakkt Management Units"), which units are, subject to certain limitations, redeemable at the request of the Reporting Person in exchange for an equal number of Paired Interests held by Bakkt Management, LLC.</w:t>
      </w:r>
    </w:p>
    <w:p>
      <w:pPr>
        <w:spacing w:after="0" w:line="25" w:lineRule="exact"/>
        <w:rPr>
          <w:rFonts w:ascii="Arial" w:cs="Arial" w:eastAsia="Arial" w:hAnsi="Arial"/>
          <w:sz w:val="12"/>
          <w:szCs w:val="12"/>
          <w:color w:val="008000"/>
        </w:rPr>
      </w:pPr>
    </w:p>
    <w:p>
      <w:pPr>
        <w:ind w:left="40" w:right="160" w:hanging="10"/>
        <w:spacing w:after="0" w:line="245" w:lineRule="auto"/>
        <w:tabs>
          <w:tab w:leader="none" w:pos="15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the Closing, the Bakkt Management Units are vested but such Bakkt Management Units will be released in one-third increments on each of the Closing, the first anniversary of the Closing and the second anniversary of the Closing.</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Remarks:</w:t>
      </w:r>
    </w:p>
    <w:p>
      <w:pPr>
        <w:ind w:left="6600"/>
        <w:spacing w:after="0" w:line="231" w:lineRule="auto"/>
        <w:rPr>
          <w:sz w:val="20"/>
          <w:szCs w:val="20"/>
          <w:color w:val="auto"/>
        </w:rPr>
      </w:pPr>
      <w:r>
        <w:rPr>
          <w:rFonts w:ascii="Arial" w:cs="Arial" w:eastAsia="Arial" w:hAnsi="Arial"/>
          <w:sz w:val="15"/>
          <w:szCs w:val="15"/>
          <w:color w:val="0000FF"/>
        </w:rPr>
        <w:t xml:space="preserve">/s/ Marc D'Annunzio Attorney-in-  </w:t>
      </w:r>
      <w:r>
        <w:rPr>
          <w:rFonts w:ascii="Arial" w:cs="Arial" w:eastAsia="Arial" w:hAnsi="Arial"/>
          <w:sz w:val="30"/>
          <w:szCs w:val="30"/>
          <w:color w:val="0000FF"/>
          <w:vertAlign w:val="subscript"/>
        </w:rPr>
        <w:t>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-24765</wp:posOffset>
            </wp:positionV>
            <wp:extent cx="13315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Fact for David C Clifton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9594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9485" cy="762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-74295</wp:posOffset>
            </wp:positionV>
            <wp:extent cx="4445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4500" cy="7620"/>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4"/>
          <w:szCs w:val="24"/>
          <w:color w:val="auto"/>
        </w:rPr>
      </w:pPr>
    </w:p>
    <w:p>
      <w:pPr>
        <w:jc w:val="both"/>
        <w:ind w:left="40" w:right="4220" w:hanging="10"/>
        <w:spacing w:after="0" w:line="334" w:lineRule="auto"/>
        <w:tabs>
          <w:tab w:leader="none" w:pos="16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0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2021-10-15T15:53:12Z</dcterms:created>
  <dcterms:modified xsi:type="dcterms:W3CDTF">2021-10-15T15:53:12Z</dcterms:modified>
</cp:coreProperties>
</file>