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b w:val="1"/>
          <w:bCs w:val="1"/>
          <w:u w:val="single" w:color="auto"/>
          <w:color w:val="0000EE"/>
        </w:rPr>
      </w:pP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98"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April 5, 2022.</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333-261034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395605</wp:posOffset>
            </wp:positionH>
            <wp:positionV relativeFrom="paragraph">
              <wp:posOffset>64770</wp:posOffset>
            </wp:positionV>
            <wp:extent cx="63512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1270" cy="7620"/>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103505</wp:posOffset>
            </wp:positionV>
            <wp:extent cx="63512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1270" cy="7620"/>
                    </a:xfrm>
                    <a:prstGeom prst="rect">
                      <a:avLst/>
                    </a:prstGeom>
                    <a:noFill/>
                  </pic:spPr>
                </pic:pic>
              </a:graphicData>
            </a:graphic>
          </wp:anchor>
        </w:drawing>
      </w:r>
    </w:p>
    <w:p>
      <w:pPr>
        <w:spacing w:after="0" w:line="17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133985</wp:posOffset>
            </wp:positionV>
            <wp:extent cx="13385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8580" cy="7620"/>
                    </a:xfrm>
                    <a:prstGeom prst="rect">
                      <a:avLst/>
                    </a:prstGeom>
                    <a:noFill/>
                  </pic:spPr>
                </pic:pic>
              </a:graphicData>
            </a:graphic>
          </wp:anchor>
        </w:drawing>
      </w:r>
    </w:p>
    <w:p>
      <w:pPr>
        <w:spacing w:after="0" w:line="26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8"/>
          <w:szCs w:val="28"/>
          <w:b w:val="1"/>
          <w:bCs w:val="1"/>
          <w:color w:val="auto"/>
        </w:rPr>
        <w:t>Post-Effective Amendment No. 1</w:t>
      </w:r>
    </w:p>
    <w:p>
      <w:pPr>
        <w:spacing w:after="0" w:line="2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8"/>
          <w:szCs w:val="28"/>
          <w:b w:val="1"/>
          <w:bCs w:val="1"/>
          <w:color w:val="auto"/>
        </w:rPr>
        <w:t>to</w:t>
      </w:r>
    </w:p>
    <w:p>
      <w:pPr>
        <w:jc w:val="center"/>
        <w:ind w:right="-619"/>
        <w:spacing w:after="0" w:line="237" w:lineRule="auto"/>
        <w:rPr>
          <w:sz w:val="20"/>
          <w:szCs w:val="20"/>
          <w:color w:val="auto"/>
        </w:rPr>
      </w:pPr>
      <w:r>
        <w:rPr>
          <w:rFonts w:ascii="Times New Roman" w:cs="Times New Roman" w:eastAsia="Times New Roman" w:hAnsi="Times New Roman"/>
          <w:sz w:val="28"/>
          <w:szCs w:val="28"/>
          <w:b w:val="1"/>
          <w:bCs w:val="1"/>
          <w:color w:val="auto"/>
        </w:rPr>
        <w:t>FORM S-1</w:t>
      </w:r>
    </w:p>
    <w:p>
      <w:pPr>
        <w:jc w:val="center"/>
        <w:ind w:right="-619"/>
        <w:spacing w:after="0" w:line="237" w:lineRule="auto"/>
        <w:rPr>
          <w:sz w:val="20"/>
          <w:szCs w:val="20"/>
          <w:color w:val="auto"/>
        </w:rPr>
      </w:pPr>
      <w:r>
        <w:rPr>
          <w:rFonts w:ascii="Times New Roman" w:cs="Times New Roman" w:eastAsia="Times New Roman" w:hAnsi="Times New Roman"/>
          <w:sz w:val="28"/>
          <w:szCs w:val="28"/>
          <w:b w:val="1"/>
          <w:bCs w:val="1"/>
          <w:color w:val="auto"/>
        </w:rPr>
        <w:t>REGISTRATION STATEMENT</w:t>
      </w:r>
    </w:p>
    <w:p>
      <w:pPr>
        <w:jc w:val="center"/>
        <w:ind w:right="-619"/>
        <w:spacing w:after="0" w:line="230" w:lineRule="auto"/>
        <w:rPr>
          <w:sz w:val="20"/>
          <w:szCs w:val="20"/>
          <w:color w:val="auto"/>
        </w:rPr>
      </w:pPr>
      <w:r>
        <w:rPr>
          <w:rFonts w:ascii="Times New Roman" w:cs="Times New Roman" w:eastAsia="Times New Roman" w:hAnsi="Times New Roman"/>
          <w:sz w:val="20"/>
          <w:szCs w:val="20"/>
          <w:b w:val="1"/>
          <w:bCs w:val="1"/>
          <w:i w:val="1"/>
          <w:iCs w:val="1"/>
          <w:color w:val="auto"/>
        </w:rPr>
        <w:t>UNDER</w:t>
      </w:r>
    </w:p>
    <w:p>
      <w:pPr>
        <w:spacing w:after="0" w:line="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135890</wp:posOffset>
            </wp:positionV>
            <wp:extent cx="133858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8580" cy="7620"/>
                    </a:xfrm>
                    <a:prstGeom prst="rect">
                      <a:avLst/>
                    </a:prstGeom>
                    <a:noFill/>
                  </pic:spPr>
                </pic:pic>
              </a:graphicData>
            </a:graphic>
          </wp:anchor>
        </w:drawing>
      </w:r>
    </w:p>
    <w:p>
      <w:pPr>
        <w:spacing w:after="0" w:line="25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spacing w:after="0" w:line="4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137160</wp:posOffset>
            </wp:positionV>
            <wp:extent cx="13385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8580" cy="7620"/>
                    </a:xfrm>
                    <a:prstGeom prst="rect">
                      <a:avLst/>
                    </a:prstGeom>
                    <a:noFill/>
                  </pic:spPr>
                </pic:pic>
              </a:graphicData>
            </a:graphic>
          </wp:anchor>
        </w:drawing>
      </w:r>
    </w:p>
    <w:p>
      <w:pPr>
        <w:spacing w:after="0" w:line="341" w:lineRule="exact"/>
        <w:rPr>
          <w:sz w:val="24"/>
          <w:szCs w:val="24"/>
          <w:color w:val="auto"/>
        </w:rPr>
      </w:pPr>
    </w:p>
    <w:tbl>
      <w:tblPr>
        <w:tblLayout w:type="fixed"/>
        <w:tblInd w:w="1460" w:type="dxa"/>
        <w:tblCellMar>
          <w:top w:w="0" w:type="dxa"/>
          <w:left w:w="0" w:type="dxa"/>
          <w:bottom w:w="0" w:type="dxa"/>
          <w:right w:w="0" w:type="dxa"/>
        </w:tblCellMar>
      </w:tblPr>
      <w:tr>
        <w:trPr>
          <w:trHeight w:val="176"/>
        </w:trPr>
        <w:tc>
          <w:tcPr>
            <w:tcW w:w="2580" w:type="dxa"/>
            <w:vAlign w:val="bottom"/>
          </w:tcPr>
          <w:p>
            <w:pPr>
              <w:jc w:val="center"/>
              <w:ind w:right="792"/>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7389</w:t>
            </w:r>
          </w:p>
        </w:tc>
        <w:tc>
          <w:tcPr>
            <w:tcW w:w="2220" w:type="dxa"/>
            <w:vAlign w:val="bottom"/>
          </w:tcPr>
          <w:p>
            <w:pPr>
              <w:jc w:val="center"/>
              <w:ind w:left="832"/>
              <w:spacing w:after="0"/>
              <w:rPr>
                <w:sz w:val="20"/>
                <w:szCs w:val="20"/>
                <w:color w:val="auto"/>
              </w:rPr>
            </w:pPr>
            <w:r>
              <w:rPr>
                <w:rFonts w:ascii="Times New Roman" w:cs="Times New Roman" w:eastAsia="Times New Roman" w:hAnsi="Times New Roman"/>
                <w:sz w:val="15"/>
                <w:szCs w:val="15"/>
                <w:b w:val="1"/>
                <w:bCs w:val="1"/>
                <w:color w:val="auto"/>
                <w:w w:val="99"/>
              </w:rPr>
              <w:t>98-1550750</w:t>
            </w:r>
          </w:p>
        </w:tc>
      </w:tr>
      <w:tr>
        <w:trPr>
          <w:trHeight w:val="135"/>
        </w:trPr>
        <w:tc>
          <w:tcPr>
            <w:tcW w:w="2580" w:type="dxa"/>
            <w:vAlign w:val="bottom"/>
          </w:tcPr>
          <w:p>
            <w:pPr>
              <w:jc w:val="center"/>
              <w:ind w:right="792"/>
              <w:spacing w:after="0" w:line="135"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(Primary Standard Industrial</w:t>
            </w:r>
          </w:p>
        </w:tc>
        <w:tc>
          <w:tcPr>
            <w:tcW w:w="2220" w:type="dxa"/>
            <w:vAlign w:val="bottom"/>
          </w:tcPr>
          <w:p>
            <w:pPr>
              <w:jc w:val="center"/>
              <w:ind w:left="852"/>
              <w:spacing w:after="0" w:line="135"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0"/>
        </w:trPr>
        <w:tc>
          <w:tcPr>
            <w:tcW w:w="2580" w:type="dxa"/>
            <w:vAlign w:val="bottom"/>
          </w:tcPr>
          <w:p>
            <w:pPr>
              <w:jc w:val="center"/>
              <w:ind w:right="792"/>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Classification Code Number)</w:t>
            </w:r>
          </w:p>
        </w:tc>
        <w:tc>
          <w:tcPr>
            <w:tcW w:w="2220" w:type="dxa"/>
            <w:vAlign w:val="bottom"/>
          </w:tcPr>
          <w:p>
            <w:pPr>
              <w:jc w:val="center"/>
              <w:ind w:left="852"/>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bl>
    <w:p>
      <w:pPr>
        <w:spacing w:after="0" w:line="8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5"/>
          <w:szCs w:val="15"/>
          <w:b w:val="1"/>
          <w:bCs w:val="1"/>
          <w:color w:val="auto"/>
        </w:rPr>
        <w:t>10000 Avalon Boulevard, Suite 1000</w:t>
      </w:r>
    </w:p>
    <w:p>
      <w:pPr>
        <w:spacing w:after="0" w:line="2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5"/>
          <w:szCs w:val="15"/>
          <w:b w:val="1"/>
          <w:bCs w:val="1"/>
          <w:color w:val="auto"/>
        </w:rPr>
        <w:t>Alpharetta, Georgia 30009</w:t>
      </w:r>
    </w:p>
    <w:p>
      <w:pPr>
        <w:spacing w:after="0" w:line="1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5"/>
          <w:szCs w:val="15"/>
          <w:b w:val="1"/>
          <w:bCs w:val="1"/>
          <w:color w:val="auto"/>
        </w:rPr>
        <w:t>(678) 534-5849</w:t>
      </w:r>
    </w:p>
    <w:p>
      <w:pPr>
        <w:spacing w:after="0" w:line="10"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127000</wp:posOffset>
            </wp:positionV>
            <wp:extent cx="13385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8580" cy="7620"/>
                    </a:xfrm>
                    <a:prstGeom prst="rect">
                      <a:avLst/>
                    </a:prstGeom>
                    <a:noFill/>
                  </pic:spPr>
                </pic:pic>
              </a:graphicData>
            </a:graphic>
          </wp:anchor>
        </w:drawing>
      </w:r>
    </w:p>
    <w:p>
      <w:pPr>
        <w:spacing w:after="0" w:line="276"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5"/>
          <w:szCs w:val="15"/>
          <w:b w:val="1"/>
          <w:bCs w:val="1"/>
          <w:color w:val="auto"/>
        </w:rPr>
        <w:t>Gavin Michael</w:t>
      </w:r>
    </w:p>
    <w:p>
      <w:pPr>
        <w:spacing w:after="0" w:line="2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spacing w:after="0" w:line="1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5"/>
          <w:szCs w:val="15"/>
          <w:b w:val="1"/>
          <w:bCs w:val="1"/>
          <w:color w:val="auto"/>
        </w:rPr>
        <w:t>10000 Avalon Boulevard, Suite 1000</w:t>
      </w:r>
    </w:p>
    <w:p>
      <w:pPr>
        <w:spacing w:after="0" w:line="1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5"/>
          <w:szCs w:val="15"/>
          <w:b w:val="1"/>
          <w:bCs w:val="1"/>
          <w:color w:val="auto"/>
        </w:rPr>
        <w:t>Alpharetta, Georgia 30009</w:t>
      </w:r>
    </w:p>
    <w:p>
      <w:pPr>
        <w:spacing w:after="0" w:line="1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5"/>
          <w:szCs w:val="15"/>
          <w:b w:val="1"/>
          <w:bCs w:val="1"/>
          <w:color w:val="auto"/>
        </w:rPr>
        <w:t>(678) 534-5849</w:t>
      </w:r>
    </w:p>
    <w:p>
      <w:pPr>
        <w:spacing w:after="0" w:line="10"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127000</wp:posOffset>
            </wp:positionV>
            <wp:extent cx="13385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8580" cy="7620"/>
                    </a:xfrm>
                    <a:prstGeom prst="rect">
                      <a:avLst/>
                    </a:prstGeom>
                    <a:noFill/>
                  </pic:spPr>
                </pic:pic>
              </a:graphicData>
            </a:graphic>
          </wp:anchor>
        </w:drawing>
      </w:r>
    </w:p>
    <w:p>
      <w:pPr>
        <w:spacing w:after="0" w:line="267"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119" w:lineRule="exact"/>
        <w:rPr>
          <w:sz w:val="24"/>
          <w:szCs w:val="24"/>
          <w:color w:val="auto"/>
        </w:rPr>
      </w:pPr>
    </w:p>
    <w:tbl>
      <w:tblPr>
        <w:tblLayout w:type="fixed"/>
        <w:tblInd w:w="1900" w:type="dxa"/>
        <w:tblCellMar>
          <w:top w:w="0" w:type="dxa"/>
          <w:left w:w="0" w:type="dxa"/>
          <w:bottom w:w="0" w:type="dxa"/>
          <w:right w:w="0" w:type="dxa"/>
        </w:tblCellMar>
      </w:tblPr>
      <w:tr>
        <w:trPr>
          <w:trHeight w:val="184"/>
        </w:trPr>
        <w:tc>
          <w:tcPr>
            <w:tcW w:w="3840" w:type="dxa"/>
            <w:vAlign w:val="bottom"/>
          </w:tcPr>
          <w:p>
            <w:pPr>
              <w:jc w:val="center"/>
              <w:ind w:right="1266"/>
              <w:spacing w:after="0"/>
              <w:rPr>
                <w:sz w:val="20"/>
                <w:szCs w:val="20"/>
                <w:color w:val="auto"/>
              </w:rPr>
            </w:pPr>
            <w:r>
              <w:rPr>
                <w:rFonts w:ascii="Times New Roman" w:cs="Times New Roman" w:eastAsia="Times New Roman" w:hAnsi="Times New Roman"/>
                <w:sz w:val="15"/>
                <w:szCs w:val="15"/>
                <w:b w:val="1"/>
                <w:bCs w:val="1"/>
                <w:color w:val="auto"/>
                <w:w w:val="98"/>
              </w:rPr>
              <w:t>J. Matthew Lyons</w:t>
            </w:r>
          </w:p>
        </w:tc>
        <w:tc>
          <w:tcPr>
            <w:tcW w:w="3580" w:type="dxa"/>
            <w:vAlign w:val="bottom"/>
          </w:tcPr>
          <w:p>
            <w:pPr>
              <w:jc w:val="center"/>
              <w:ind w:left="1266"/>
              <w:spacing w:after="0"/>
              <w:rPr>
                <w:sz w:val="20"/>
                <w:szCs w:val="20"/>
                <w:color w:val="auto"/>
              </w:rPr>
            </w:pPr>
            <w:r>
              <w:rPr>
                <w:rFonts w:ascii="Times New Roman" w:cs="Times New Roman" w:eastAsia="Times New Roman" w:hAnsi="Times New Roman"/>
                <w:sz w:val="15"/>
                <w:szCs w:val="15"/>
                <w:b w:val="1"/>
                <w:bCs w:val="1"/>
                <w:color w:val="auto"/>
                <w:w w:val="99"/>
              </w:rPr>
              <w:t>Marc D’Annunzio</w:t>
            </w:r>
          </w:p>
        </w:tc>
      </w:tr>
      <w:tr>
        <w:trPr>
          <w:trHeight w:val="184"/>
        </w:trPr>
        <w:tc>
          <w:tcPr>
            <w:tcW w:w="3840" w:type="dxa"/>
            <w:vAlign w:val="bottom"/>
          </w:tcPr>
          <w:p>
            <w:pPr>
              <w:jc w:val="center"/>
              <w:ind w:right="1266"/>
              <w:spacing w:after="0"/>
              <w:rPr>
                <w:sz w:val="20"/>
                <w:szCs w:val="20"/>
                <w:color w:val="auto"/>
              </w:rPr>
            </w:pPr>
            <w:r>
              <w:rPr>
                <w:rFonts w:ascii="Times New Roman" w:cs="Times New Roman" w:eastAsia="Times New Roman" w:hAnsi="Times New Roman"/>
                <w:sz w:val="15"/>
                <w:szCs w:val="15"/>
                <w:b w:val="1"/>
                <w:bCs w:val="1"/>
                <w:color w:val="auto"/>
                <w:w w:val="98"/>
              </w:rPr>
              <w:t>Austin D. March</w:t>
            </w:r>
          </w:p>
        </w:tc>
        <w:tc>
          <w:tcPr>
            <w:tcW w:w="3580" w:type="dxa"/>
            <w:vAlign w:val="bottom"/>
          </w:tcPr>
          <w:p>
            <w:pPr>
              <w:jc w:val="center"/>
              <w:ind w:left="1266"/>
              <w:spacing w:after="0"/>
              <w:rPr>
                <w:sz w:val="20"/>
                <w:szCs w:val="20"/>
                <w:color w:val="auto"/>
              </w:rPr>
            </w:pPr>
            <w:r>
              <w:rPr>
                <w:rFonts w:ascii="Times New Roman" w:cs="Times New Roman" w:eastAsia="Times New Roman" w:hAnsi="Times New Roman"/>
                <w:sz w:val="15"/>
                <w:szCs w:val="15"/>
                <w:b w:val="1"/>
                <w:bCs w:val="1"/>
                <w:color w:val="auto"/>
                <w:w w:val="97"/>
              </w:rPr>
              <w:t>General Counsel</w:t>
            </w:r>
          </w:p>
        </w:tc>
      </w:tr>
      <w:tr>
        <w:trPr>
          <w:trHeight w:val="184"/>
        </w:trPr>
        <w:tc>
          <w:tcPr>
            <w:tcW w:w="3840" w:type="dxa"/>
            <w:vAlign w:val="bottom"/>
          </w:tcPr>
          <w:p>
            <w:pPr>
              <w:jc w:val="center"/>
              <w:ind w:right="1266"/>
              <w:spacing w:after="0"/>
              <w:rPr>
                <w:sz w:val="20"/>
                <w:szCs w:val="20"/>
                <w:color w:val="auto"/>
              </w:rPr>
            </w:pPr>
            <w:r>
              <w:rPr>
                <w:rFonts w:ascii="Times New Roman" w:cs="Times New Roman" w:eastAsia="Times New Roman" w:hAnsi="Times New Roman"/>
                <w:sz w:val="15"/>
                <w:szCs w:val="15"/>
                <w:b w:val="1"/>
                <w:bCs w:val="1"/>
                <w:color w:val="auto"/>
                <w:w w:val="97"/>
              </w:rPr>
              <w:t>Wilson Sonsini Goodrich &amp; Rosati, P.C.</w:t>
            </w:r>
          </w:p>
        </w:tc>
        <w:tc>
          <w:tcPr>
            <w:tcW w:w="3580" w:type="dxa"/>
            <w:vAlign w:val="bottom"/>
          </w:tcPr>
          <w:p>
            <w:pPr>
              <w:jc w:val="center"/>
              <w:ind w:left="1246"/>
              <w:spacing w:after="0"/>
              <w:rPr>
                <w:sz w:val="20"/>
                <w:szCs w:val="20"/>
                <w:color w:val="auto"/>
              </w:rPr>
            </w:pPr>
            <w:r>
              <w:rPr>
                <w:rFonts w:ascii="Times New Roman" w:cs="Times New Roman" w:eastAsia="Times New Roman" w:hAnsi="Times New Roman"/>
                <w:sz w:val="15"/>
                <w:szCs w:val="15"/>
                <w:b w:val="1"/>
                <w:bCs w:val="1"/>
                <w:color w:val="auto"/>
                <w:w w:val="97"/>
              </w:rPr>
              <w:t>10000 Avalon Boulevard, Suite 1000</w:t>
            </w:r>
          </w:p>
        </w:tc>
      </w:tr>
      <w:tr>
        <w:trPr>
          <w:trHeight w:val="184"/>
        </w:trPr>
        <w:tc>
          <w:tcPr>
            <w:tcW w:w="3840" w:type="dxa"/>
            <w:vAlign w:val="bottom"/>
          </w:tcPr>
          <w:p>
            <w:pPr>
              <w:jc w:val="center"/>
              <w:ind w:right="1266"/>
              <w:spacing w:after="0"/>
              <w:rPr>
                <w:sz w:val="20"/>
                <w:szCs w:val="20"/>
                <w:color w:val="auto"/>
              </w:rPr>
            </w:pPr>
            <w:r>
              <w:rPr>
                <w:rFonts w:ascii="Times New Roman" w:cs="Times New Roman" w:eastAsia="Times New Roman" w:hAnsi="Times New Roman"/>
                <w:sz w:val="15"/>
                <w:szCs w:val="15"/>
                <w:b w:val="1"/>
                <w:bCs w:val="1"/>
                <w:color w:val="auto"/>
                <w:w w:val="96"/>
              </w:rPr>
              <w:t>900 S. Capital of Texas Highway</w:t>
            </w:r>
          </w:p>
        </w:tc>
        <w:tc>
          <w:tcPr>
            <w:tcW w:w="3580" w:type="dxa"/>
            <w:vAlign w:val="bottom"/>
          </w:tcPr>
          <w:p>
            <w:pPr>
              <w:jc w:val="center"/>
              <w:ind w:left="1266"/>
              <w:spacing w:after="0"/>
              <w:rPr>
                <w:sz w:val="20"/>
                <w:szCs w:val="20"/>
                <w:color w:val="auto"/>
              </w:rPr>
            </w:pPr>
            <w:r>
              <w:rPr>
                <w:rFonts w:ascii="Times New Roman" w:cs="Times New Roman" w:eastAsia="Times New Roman" w:hAnsi="Times New Roman"/>
                <w:sz w:val="15"/>
                <w:szCs w:val="15"/>
                <w:b w:val="1"/>
                <w:bCs w:val="1"/>
                <w:color w:val="auto"/>
                <w:w w:val="98"/>
              </w:rPr>
              <w:t>Alpharetta, Georgia 30009</w:t>
            </w:r>
          </w:p>
        </w:tc>
      </w:tr>
      <w:tr>
        <w:trPr>
          <w:trHeight w:val="184"/>
        </w:trPr>
        <w:tc>
          <w:tcPr>
            <w:tcW w:w="3840" w:type="dxa"/>
            <w:vAlign w:val="bottom"/>
          </w:tcPr>
          <w:p>
            <w:pPr>
              <w:jc w:val="center"/>
              <w:ind w:right="1266"/>
              <w:spacing w:after="0"/>
              <w:rPr>
                <w:sz w:val="20"/>
                <w:szCs w:val="20"/>
                <w:color w:val="auto"/>
              </w:rPr>
            </w:pPr>
            <w:r>
              <w:rPr>
                <w:rFonts w:ascii="Times New Roman" w:cs="Times New Roman" w:eastAsia="Times New Roman" w:hAnsi="Times New Roman"/>
                <w:sz w:val="15"/>
                <w:szCs w:val="15"/>
                <w:b w:val="1"/>
                <w:bCs w:val="1"/>
                <w:color w:val="auto"/>
                <w:w w:val="96"/>
              </w:rPr>
              <w:t>Las Cimas IV, 5th Floor</w:t>
            </w:r>
          </w:p>
        </w:tc>
        <w:tc>
          <w:tcPr>
            <w:tcW w:w="3580" w:type="dxa"/>
            <w:vAlign w:val="bottom"/>
          </w:tcPr>
          <w:p>
            <w:pPr>
              <w:jc w:val="center"/>
              <w:ind w:left="1266"/>
              <w:spacing w:after="0"/>
              <w:rPr>
                <w:sz w:val="20"/>
                <w:szCs w:val="20"/>
                <w:color w:val="auto"/>
              </w:rPr>
            </w:pPr>
            <w:r>
              <w:rPr>
                <w:rFonts w:ascii="Times New Roman" w:cs="Times New Roman" w:eastAsia="Times New Roman" w:hAnsi="Times New Roman"/>
                <w:sz w:val="15"/>
                <w:szCs w:val="15"/>
                <w:b w:val="1"/>
                <w:bCs w:val="1"/>
                <w:color w:val="auto"/>
                <w:w w:val="98"/>
              </w:rPr>
              <w:t>(678) 534-5849</w:t>
            </w:r>
          </w:p>
        </w:tc>
      </w:tr>
      <w:tr>
        <w:trPr>
          <w:trHeight w:val="184"/>
        </w:trPr>
        <w:tc>
          <w:tcPr>
            <w:tcW w:w="3840" w:type="dxa"/>
            <w:vAlign w:val="bottom"/>
          </w:tcPr>
          <w:p>
            <w:pPr>
              <w:jc w:val="center"/>
              <w:ind w:right="1266"/>
              <w:spacing w:after="0"/>
              <w:rPr>
                <w:sz w:val="20"/>
                <w:szCs w:val="20"/>
                <w:color w:val="auto"/>
              </w:rPr>
            </w:pPr>
            <w:r>
              <w:rPr>
                <w:rFonts w:ascii="Times New Roman" w:cs="Times New Roman" w:eastAsia="Times New Roman" w:hAnsi="Times New Roman"/>
                <w:sz w:val="15"/>
                <w:szCs w:val="15"/>
                <w:b w:val="1"/>
                <w:bCs w:val="1"/>
                <w:color w:val="auto"/>
                <w:w w:val="98"/>
              </w:rPr>
              <w:t>Austin, TX 78746</w:t>
            </w:r>
          </w:p>
        </w:tc>
        <w:tc>
          <w:tcPr>
            <w:tcW w:w="3580" w:type="dxa"/>
            <w:vAlign w:val="bottom"/>
          </w:tcPr>
          <w:p>
            <w:pPr>
              <w:spacing w:after="0"/>
              <w:rPr>
                <w:sz w:val="15"/>
                <w:szCs w:val="15"/>
                <w:color w:val="auto"/>
              </w:rPr>
            </w:pPr>
          </w:p>
        </w:tc>
      </w:tr>
      <w:tr>
        <w:trPr>
          <w:trHeight w:val="193"/>
        </w:trPr>
        <w:tc>
          <w:tcPr>
            <w:tcW w:w="3840" w:type="dxa"/>
            <w:vAlign w:val="bottom"/>
          </w:tcPr>
          <w:p>
            <w:pPr>
              <w:jc w:val="center"/>
              <w:ind w:right="1286"/>
              <w:spacing w:after="0"/>
              <w:rPr>
                <w:sz w:val="20"/>
                <w:szCs w:val="20"/>
                <w:color w:val="auto"/>
              </w:rPr>
            </w:pPr>
            <w:r>
              <w:rPr>
                <w:rFonts w:ascii="Times New Roman" w:cs="Times New Roman" w:eastAsia="Times New Roman" w:hAnsi="Times New Roman"/>
                <w:sz w:val="15"/>
                <w:szCs w:val="15"/>
                <w:b w:val="1"/>
                <w:bCs w:val="1"/>
                <w:color w:val="auto"/>
                <w:w w:val="98"/>
              </w:rPr>
              <w:t>(512) 338-5400</w:t>
            </w:r>
          </w:p>
        </w:tc>
        <w:tc>
          <w:tcPr>
            <w:tcW w:w="35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151130</wp:posOffset>
            </wp:positionV>
            <wp:extent cx="13385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38580" cy="7620"/>
                    </a:xfrm>
                    <a:prstGeom prst="rect">
                      <a:avLst/>
                    </a:prstGeom>
                    <a:noFill/>
                  </pic:spPr>
                </pic:pic>
              </a:graphicData>
            </a:graphic>
          </wp:anchor>
        </w:drawing>
      </w:r>
    </w:p>
    <w:p>
      <w:pPr>
        <w:spacing w:after="0" w:line="314"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As soon as practicable after this registration statement becomes effective.</w:t>
      </w:r>
    </w:p>
    <w:p>
      <w:pPr>
        <w:spacing w:after="0" w:line="111" w:lineRule="exact"/>
        <w:rPr>
          <w:sz w:val="24"/>
          <w:szCs w:val="24"/>
          <w:color w:val="auto"/>
        </w:rPr>
      </w:pPr>
    </w:p>
    <w:p>
      <w:pPr>
        <w:ind w:left="620" w:right="160"/>
        <w:spacing w:after="0" w:line="195"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76" w:lineRule="exact"/>
        <w:rPr>
          <w:sz w:val="24"/>
          <w:szCs w:val="24"/>
          <w:color w:val="auto"/>
        </w:rPr>
      </w:pPr>
    </w:p>
    <w:p>
      <w:pPr>
        <w:ind w:left="620" w:right="2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6" w:lineRule="exact"/>
        <w:rPr>
          <w:sz w:val="24"/>
          <w:szCs w:val="24"/>
          <w:color w:val="auto"/>
        </w:rPr>
      </w:pPr>
    </w:p>
    <w:p>
      <w:pPr>
        <w:ind w:left="620" w:right="54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6" w:lineRule="exact"/>
        <w:rPr>
          <w:sz w:val="24"/>
          <w:szCs w:val="24"/>
          <w:color w:val="auto"/>
        </w:rPr>
      </w:pPr>
    </w:p>
    <w:p>
      <w:pPr>
        <w:ind w:left="620" w:right="54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6" w:lineRule="exact"/>
        <w:rPr>
          <w:sz w:val="24"/>
          <w:szCs w:val="24"/>
          <w:color w:val="auto"/>
        </w:rPr>
      </w:pPr>
    </w:p>
    <w:p>
      <w:pPr>
        <w:ind w:left="620" w:right="20"/>
        <w:spacing w:after="0" w:line="26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620" w:type="dxa"/>
        <w:tblCellMar>
          <w:top w:w="0" w:type="dxa"/>
          <w:left w:w="0" w:type="dxa"/>
          <w:bottom w:w="0" w:type="dxa"/>
          <w:right w:w="0" w:type="dxa"/>
        </w:tblCellMar>
      </w:tblPr>
      <w:tr>
        <w:trPr>
          <w:trHeight w:val="221"/>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940"/>
              <w:spacing w:after="0"/>
              <w:rPr>
                <w:sz w:val="20"/>
                <w:szCs w:val="20"/>
                <w:color w:val="auto"/>
              </w:rPr>
            </w:pPr>
            <w:r>
              <w:rPr>
                <w:rFonts w:ascii="Times New Roman" w:cs="Times New Roman" w:eastAsia="Times New Roman" w:hAnsi="Times New Roman"/>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1"/>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9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4"/>
        </w:trPr>
        <w:tc>
          <w:tcPr>
            <w:tcW w:w="15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820" w:type="dxa"/>
            <w:vAlign w:val="bottom"/>
          </w:tcPr>
          <w:p>
            <w:pPr>
              <w:ind w:left="29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1" w:lineRule="exact"/>
        <w:rPr>
          <w:sz w:val="24"/>
          <w:szCs w:val="24"/>
          <w:color w:val="auto"/>
        </w:rPr>
      </w:pPr>
    </w:p>
    <w:p>
      <w:pPr>
        <w:ind w:left="620" w:right="32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126365</wp:posOffset>
            </wp:positionV>
            <wp:extent cx="13385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38580" cy="7620"/>
                    </a:xfrm>
                    <a:prstGeom prst="rect">
                      <a:avLst/>
                    </a:prstGeom>
                    <a:noFill/>
                  </pic:spPr>
                </pic:pic>
              </a:graphicData>
            </a:graphic>
          </wp:anchor>
        </w:drawing>
      </w:r>
    </w:p>
    <w:p>
      <w:pPr>
        <w:spacing w:after="0" w:line="275" w:lineRule="exact"/>
        <w:rPr>
          <w:sz w:val="24"/>
          <w:szCs w:val="24"/>
          <w:color w:val="auto"/>
        </w:rPr>
      </w:pPr>
    </w:p>
    <w:p>
      <w:pPr>
        <w:ind w:left="620" w:right="160"/>
        <w:spacing w:after="0" w:line="270" w:lineRule="auto"/>
        <w:rPr>
          <w:sz w:val="20"/>
          <w:szCs w:val="20"/>
          <w:color w:val="auto"/>
        </w:rPr>
      </w:pPr>
      <w:r>
        <w:rPr>
          <w:rFonts w:ascii="Times New Roman" w:cs="Times New Roman" w:eastAsia="Times New Roman" w:hAnsi="Times New Roman"/>
          <w:sz w:val="15"/>
          <w:szCs w:val="15"/>
          <w:b w:val="1"/>
          <w:bCs w:val="1"/>
          <w:color w:val="auto"/>
        </w:rPr>
        <w:t>This filing constitutes a post-effective amendment to the registration statement on Form S-1 (File No. 333-261034), which was declared effective on December 15, 2021. This post-effective amendment shall hereafter become effective in accordance with Section 8(c) of the Securities Act of 1933, as amended, or on such date as the Securities and Exchange Commission, acting pursuant to Section 8(c),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395605</wp:posOffset>
            </wp:positionH>
            <wp:positionV relativeFrom="paragraph">
              <wp:posOffset>67310</wp:posOffset>
            </wp:positionV>
            <wp:extent cx="635127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1270" cy="7620"/>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106045</wp:posOffset>
            </wp:positionV>
            <wp:extent cx="63512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1270" cy="7620"/>
                    </a:xfrm>
                    <a:prstGeom prst="rect">
                      <a:avLst/>
                    </a:prstGeom>
                    <a:noFill/>
                  </pic:spPr>
                </pic:pic>
              </a:graphicData>
            </a:graphic>
          </wp:anchor>
        </w:drawing>
      </w:r>
    </w:p>
    <w:p>
      <w:pPr>
        <w:sectPr>
          <w:pgSz w:w="11900" w:h="16838" w:orient="portrait"/>
          <w:cols w:equalWidth="0" w:num="1">
            <w:col w:w="10620"/>
          </w:cols>
          <w:pgMar w:left="320" w:top="220" w:right="959" w:bottom="1140" w:gutter="0" w:footer="0" w:header="0"/>
        </w:sectPr>
      </w:pPr>
    </w:p>
    <w:bookmarkStart w:id="1" w:name="page2"/>
    <w:bookmarkEnd w:id="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On November 12, 2021, we filed a registration statement with the Securities and Exchange Commission (the “SEC”), on Form S-1 (File</w:t>
      </w:r>
    </w:p>
    <w:p>
      <w:pPr>
        <w:spacing w:after="0" w:line="28" w:lineRule="exact"/>
        <w:rPr>
          <w:sz w:val="20"/>
          <w:szCs w:val="20"/>
          <w:color w:val="auto"/>
        </w:rPr>
      </w:pPr>
    </w:p>
    <w:p>
      <w:pPr>
        <w:ind w:left="620"/>
        <w:spacing w:after="0" w:line="257" w:lineRule="auto"/>
        <w:rPr>
          <w:sz w:val="20"/>
          <w:szCs w:val="20"/>
          <w:color w:val="auto"/>
        </w:rPr>
      </w:pPr>
      <w:r>
        <w:rPr>
          <w:rFonts w:ascii="Times New Roman" w:cs="Times New Roman" w:eastAsia="Times New Roman" w:hAnsi="Times New Roman"/>
          <w:sz w:val="16"/>
          <w:szCs w:val="16"/>
          <w:color w:val="auto"/>
        </w:rPr>
        <w:t>No. 333-261034), as amended by Amendment No. 1 thereto filed with the SEC on December 8, 2021 and subsequently declared effective by the SEC on December 15, 2021 (as amended, the “Registration Statement”). The Registration Statement registered (i) the issuance and sale by us, and the resale by the selling Securityholders, from time to time, of up to 190,726,638 shares of Class A common stock, par value $0.0001 per share (“Class A Common Stock”), issuable upon the exchange of an equal number of Paired Interests (the “Legacy Opco Shares”) and (ii) the resale from time to time by the Selling Securityholders of (a) 32,500,000 shares of Class A Common Stock (the “PIPE Shares”) issued in the PIPE Financing; (b) 5,184,300 shares of Class A Common Stock issued to VPC Impact Acquisition Holdings Sponsor, LLC (the “Sponsor”) and certain of its affiliates that relate to securities acquired by them prior to the initial public offering (the “Founder Shares”); and (c) 3,151,890 shares of Class A Common Stock issued to the Sponsor upon the exercise of a portion of the Private Placement Warrants (the “Private Warrant Shares”). Unless otherwise defined, capitalized terms have the meanings ascribed to them in the section entitled “About this Prospectus” below.</w:t>
      </w:r>
    </w:p>
    <w:p>
      <w:pPr>
        <w:spacing w:after="0" w:line="172" w:lineRule="exact"/>
        <w:rPr>
          <w:sz w:val="20"/>
          <w:szCs w:val="20"/>
          <w:color w:val="auto"/>
        </w:rPr>
      </w:pPr>
    </w:p>
    <w:p>
      <w:pPr>
        <w:ind w:left="620" w:right="120" w:firstLine="400"/>
        <w:spacing w:after="0" w:line="291" w:lineRule="auto"/>
        <w:rPr>
          <w:sz w:val="20"/>
          <w:szCs w:val="20"/>
          <w:color w:val="auto"/>
        </w:rPr>
      </w:pPr>
      <w:r>
        <w:rPr>
          <w:rFonts w:ascii="Times New Roman" w:cs="Times New Roman" w:eastAsia="Times New Roman" w:hAnsi="Times New Roman"/>
          <w:sz w:val="16"/>
          <w:szCs w:val="16"/>
          <w:color w:val="auto"/>
        </w:rPr>
        <w:t>This post-effective amendment is being filed to (i) include the information in our Annual Report on Form 10-K for the year ended December 31, 2021 that was filed on March 31, 2022; and (ii) update certain other information in the Registration Statement.</w:t>
      </w:r>
    </w:p>
    <w:p>
      <w:pPr>
        <w:spacing w:after="0" w:line="142" w:lineRule="exact"/>
        <w:rPr>
          <w:sz w:val="20"/>
          <w:szCs w:val="20"/>
          <w:color w:val="auto"/>
        </w:rPr>
      </w:pPr>
    </w:p>
    <w:p>
      <w:pPr>
        <w:ind w:left="620" w:right="460" w:firstLine="400"/>
        <w:spacing w:after="0" w:line="291" w:lineRule="auto"/>
        <w:rPr>
          <w:sz w:val="20"/>
          <w:szCs w:val="20"/>
          <w:color w:val="auto"/>
        </w:rPr>
      </w:pPr>
      <w:r>
        <w:rPr>
          <w:rFonts w:ascii="Times New Roman" w:cs="Times New Roman" w:eastAsia="Times New Roman" w:hAnsi="Times New Roman"/>
          <w:sz w:val="16"/>
          <w:szCs w:val="16"/>
          <w:color w:val="auto"/>
        </w:rPr>
        <w:t>No additional securities are being registered under this post-effective amendment and all applicable registration and filing fees were paid in connection with prior filings of the Registration Statement.</w:t>
      </w:r>
    </w:p>
    <w:p>
      <w:pPr>
        <w:sectPr>
          <w:pgSz w:w="11900" w:h="16838" w:orient="portrait"/>
          <w:cols w:equalWidth="0" w:num="1">
            <w:col w:w="10600"/>
          </w:cols>
          <w:pgMar w:left="320" w:top="452" w:right="979" w:bottom="1440" w:gutter="0" w:footer="0" w:header="0"/>
        </w:sectPr>
      </w:pPr>
    </w:p>
    <w:bookmarkStart w:id="2" w:name="page3"/>
    <w:bookmarkEnd w:id="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right="40"/>
        <w:spacing w:after="0" w:line="276" w:lineRule="auto"/>
        <w:rPr>
          <w:sz w:val="20"/>
          <w:szCs w:val="20"/>
          <w:color w:val="auto"/>
        </w:rPr>
      </w:pPr>
      <w:r>
        <w:rPr>
          <w:rFonts w:ascii="Times New Roman" w:cs="Times New Roman" w:eastAsia="Times New Roman" w:hAnsi="Times New Roman"/>
          <w:sz w:val="16"/>
          <w:szCs w:val="16"/>
          <w:b w:val="1"/>
          <w:bCs w:val="1"/>
          <w:color w:val="FF4338"/>
        </w:rPr>
        <w:t>The information in this preliminary prospectus is not complete and may be changed. These securities may not be sold until the registration statement filed with the Securities and Exchange Commission is effective. This prospectus is not an offer to sell these securities, nor does it seek an offer to buy these securities in any jurisdiction where the offer or sale is not permitted.</w:t>
      </w:r>
    </w:p>
    <w:p>
      <w:pPr>
        <w:spacing w:after="0" w:line="8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FF4338"/>
        </w:rPr>
        <w:t>Subject to Completion April 5, 2022</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FF4338"/>
        </w:rPr>
        <w:t>PRELIMINARY PROSPECTUS</w:t>
      </w:r>
    </w:p>
    <w:p>
      <w:pPr>
        <w:spacing w:after="0" w:line="208"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190,726,638 Shares of Class A Common Stock Issuable Upon the Exchange of Paired Interests</w:t>
      </w:r>
    </w:p>
    <w:p>
      <w:pPr>
        <w:spacing w:after="0" w:line="32"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32,500,000 Shares of Class A Common Stock issued in the PIPE Financing</w:t>
      </w:r>
    </w:p>
    <w:p>
      <w:pPr>
        <w:spacing w:after="0" w:line="12"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5,184,300 Shares of Class A Common Stock Issued in Respect of Founder Shares</w:t>
      </w:r>
    </w:p>
    <w:p>
      <w:pPr>
        <w:spacing w:after="0" w:line="12"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3,151,890 shares of Class A Common Stock Issued Upon the Exchange of a Portion of the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856615</wp:posOffset>
            </wp:positionV>
            <wp:extent cx="13385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8580" cy="7620"/>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296545</wp:posOffset>
            </wp:positionV>
            <wp:extent cx="941705" cy="350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1705" cy="35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20" w:right="60"/>
        <w:spacing w:after="0" w:line="261" w:lineRule="auto"/>
        <w:rPr>
          <w:sz w:val="20"/>
          <w:szCs w:val="20"/>
          <w:color w:val="auto"/>
        </w:rPr>
      </w:pPr>
      <w:r>
        <w:rPr>
          <w:rFonts w:ascii="Times New Roman" w:cs="Times New Roman" w:eastAsia="Times New Roman" w:hAnsi="Times New Roman"/>
          <w:sz w:val="16"/>
          <w:szCs w:val="16"/>
          <w:color w:val="auto"/>
        </w:rPr>
        <w:t>This prospectus relates to the issuance by us, and the resale by the Selling Securityholders (as defined in “Selling Securityholders” below), of up to 190,726,638 shares of Class A common stock, par value $0.0001 per share (“Class A Common Stock”), issuable upon the exchange of an equal number of Paired Interests (the “Legacy Opco Shares”). This prospectus also relates to the resale by the Selling Securityholders of (i) 32,500,000 shares of Class A Common Stock (the “PIPE Shares”) issued in the PIPE Financing; (ii) 5,184,300 shares of Class A Common Stock issued to VPC Impact Acquisition Holdings Sponsor, LLC (the “Sponsor”) and certain of its affiliates that relate to securities acquired by them prior to the IPO (the “Founder Shares”); and (iii) 3,151,890 shares of Class A Common Stock issued to the Sponsor upon the exercise of a portion of the Private Placement Warrants (the “Private Warrant Shares”). Unless otherwise defined, capitalized terms have the meanings ascribed to them in the section entitled “</w:t>
      </w:r>
      <w:r>
        <w:rPr>
          <w:rFonts w:ascii="Times New Roman" w:cs="Times New Roman" w:eastAsia="Times New Roman" w:hAnsi="Times New Roman"/>
          <w:sz w:val="16"/>
          <w:szCs w:val="16"/>
          <w:i w:val="1"/>
          <w:iCs w:val="1"/>
          <w:color w:val="auto"/>
        </w:rPr>
        <w:t>About this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Prospectus</w:t>
      </w:r>
      <w:r>
        <w:rPr>
          <w:rFonts w:ascii="Times New Roman" w:cs="Times New Roman" w:eastAsia="Times New Roman" w:hAnsi="Times New Roman"/>
          <w:sz w:val="16"/>
          <w:szCs w:val="16"/>
          <w:color w:val="auto"/>
        </w:rPr>
        <w:t>” below.</w:t>
      </w:r>
    </w:p>
    <w:p>
      <w:pPr>
        <w:spacing w:after="0" w:line="364" w:lineRule="exact"/>
        <w:rPr>
          <w:sz w:val="20"/>
          <w:szCs w:val="20"/>
          <w:color w:val="auto"/>
        </w:rPr>
      </w:pPr>
    </w:p>
    <w:p>
      <w:pPr>
        <w:ind w:left="620" w:right="40"/>
        <w:spacing w:after="0" w:line="271" w:lineRule="auto"/>
        <w:rPr>
          <w:sz w:val="20"/>
          <w:szCs w:val="20"/>
          <w:color w:val="auto"/>
        </w:rPr>
      </w:pPr>
      <w:r>
        <w:rPr>
          <w:rFonts w:ascii="Times New Roman" w:cs="Times New Roman" w:eastAsia="Times New Roman" w:hAnsi="Times New Roman"/>
          <w:sz w:val="16"/>
          <w:szCs w:val="16"/>
          <w:color w:val="auto"/>
        </w:rPr>
        <w:t>The Selling Securityholders may sell any, all or none of the securities and we do not know when or in what amount the Selling Securityholders may sell their securities hereunder following the date of this prospectus. The Selling Securityholders may sell the securities described in this prospectus in a number of different ways and at varying prices. See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 for more information about how the Selling Securityholders may sell their securities.</w:t>
      </w:r>
    </w:p>
    <w:p>
      <w:pPr>
        <w:spacing w:after="0" w:line="357"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We are registering the offer and sale of these securities to satisfy certain registration rights we have granted under certain agreements between us and the Selling Securityholders. We will not receive any of the proceeds from the sale of the securities by the Selling Securityholders. We will pay the expenses associated with registering the sales by the Selling Securityholders other than any underwriting discounts and commissions; see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for more information.</w:t>
      </w:r>
    </w:p>
    <w:p>
      <w:pPr>
        <w:spacing w:after="0" w:line="160" w:lineRule="exact"/>
        <w:rPr>
          <w:sz w:val="20"/>
          <w:szCs w:val="20"/>
          <w:color w:val="auto"/>
        </w:rPr>
      </w:pPr>
    </w:p>
    <w:p>
      <w:pPr>
        <w:ind w:left="620" w:right="1000"/>
        <w:spacing w:after="0" w:line="294" w:lineRule="auto"/>
        <w:rPr>
          <w:sz w:val="20"/>
          <w:szCs w:val="20"/>
          <w:color w:val="auto"/>
        </w:rPr>
      </w:pPr>
      <w:r>
        <w:rPr>
          <w:rFonts w:ascii="Times New Roman" w:cs="Times New Roman" w:eastAsia="Times New Roman" w:hAnsi="Times New Roman"/>
          <w:sz w:val="16"/>
          <w:szCs w:val="16"/>
          <w:color w:val="auto"/>
        </w:rPr>
        <w:t>The Legacy Opco Shares and the Founder Shares are subject to certain lock-up restrictions, as described in more detail below under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Offering—Lock-Up Restrictions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620" w:right="160"/>
        <w:spacing w:after="0" w:line="273" w:lineRule="auto"/>
        <w:rPr>
          <w:sz w:val="20"/>
          <w:szCs w:val="20"/>
          <w:color w:val="auto"/>
        </w:rPr>
      </w:pPr>
      <w:r>
        <w:rPr>
          <w:rFonts w:ascii="Times New Roman" w:cs="Times New Roman" w:eastAsia="Times New Roman" w:hAnsi="Times New Roman"/>
          <w:sz w:val="16"/>
          <w:szCs w:val="16"/>
          <w:color w:val="auto"/>
        </w:rPr>
        <w:t>Our Class A Common Stock is listed on The New York Stock Exchange (“NYSE”) under the symbol “BKKT” and our warrants to purchase Class A Common Stock (the “Warrants”) are listed on NYSE under the symbol “BKKT WS.” On March 25, 2022, the last quoted sale price for our Class A Common Stock as reported on NYSE was $6.99 per share and the last quoted sale price for our Warrants as reported on NYSE was $2.28 per warrant.</w:t>
      </w:r>
    </w:p>
    <w:p>
      <w:pPr>
        <w:spacing w:after="0" w:line="153" w:lineRule="exact"/>
        <w:rPr>
          <w:sz w:val="20"/>
          <w:szCs w:val="20"/>
          <w:color w:val="auto"/>
        </w:rPr>
      </w:pPr>
    </w:p>
    <w:p>
      <w:pPr>
        <w:ind w:left="620" w:right="220"/>
        <w:spacing w:after="0" w:line="297" w:lineRule="auto"/>
        <w:rPr>
          <w:sz w:val="20"/>
          <w:szCs w:val="20"/>
          <w:color w:val="auto"/>
        </w:rPr>
      </w:pPr>
      <w:r>
        <w:rPr>
          <w:rFonts w:ascii="Times New Roman" w:cs="Times New Roman" w:eastAsia="Times New Roman" w:hAnsi="Times New Roman"/>
          <w:sz w:val="16"/>
          <w:szCs w:val="16"/>
          <w:b w:val="1"/>
          <w:bCs w:val="1"/>
          <w:color w:val="auto"/>
        </w:rPr>
        <w:t>We are an “emerging growth company,” as defined under the federal securities laws, and have elected to comply with certain reduced public company reporting requirements for this prospectus and for future filings.</w:t>
      </w:r>
    </w:p>
    <w:p>
      <w:pPr>
        <w:spacing w:after="0" w:line="133" w:lineRule="exact"/>
        <w:rPr>
          <w:sz w:val="20"/>
          <w:szCs w:val="20"/>
          <w:color w:val="auto"/>
        </w:rPr>
      </w:pPr>
    </w:p>
    <w:p>
      <w:pPr>
        <w:ind w:left="620" w:right="200"/>
        <w:spacing w:after="0" w:line="29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Investing in our securities involves a high degree of risk. Before buying any securities, you should carefully read the discussion of the risks of investing in our securities in “</w:t>
      </w:r>
      <w:hyperlink w:anchor="page15">
        <w:r>
          <w:rPr>
            <w:rFonts w:ascii="Times New Roman" w:cs="Times New Roman" w:eastAsia="Times New Roman" w:hAnsi="Times New Roman"/>
            <w:sz w:val="16"/>
            <w:szCs w:val="16"/>
            <w:b w:val="1"/>
            <w:bCs w:val="1"/>
            <w:i w:val="1"/>
            <w:iCs w:val="1"/>
            <w:u w:val="single" w:color="auto"/>
            <w:color w:val="0000EE"/>
          </w:rPr>
          <w:t>Risk Factors</w:t>
        </w:r>
      </w:hyperlink>
      <w:r>
        <w:rPr>
          <w:rFonts w:ascii="Times New Roman" w:cs="Times New Roman" w:eastAsia="Times New Roman" w:hAnsi="Times New Roman"/>
          <w:sz w:val="16"/>
          <w:szCs w:val="16"/>
          <w:b w:val="1"/>
          <w:bCs w:val="1"/>
          <w:color w:val="auto"/>
        </w:rPr>
        <w:t>” of this prospectus.</w:t>
      </w:r>
    </w:p>
    <w:p>
      <w:pPr>
        <w:spacing w:after="0" w:line="133" w:lineRule="exact"/>
        <w:rPr>
          <w:sz w:val="20"/>
          <w:szCs w:val="20"/>
          <w:color w:val="auto"/>
        </w:rPr>
      </w:pPr>
    </w:p>
    <w:p>
      <w:pPr>
        <w:ind w:left="620" w:right="600"/>
        <w:spacing w:after="0" w:line="297" w:lineRule="auto"/>
        <w:rPr>
          <w:sz w:val="20"/>
          <w:szCs w:val="20"/>
          <w:color w:val="auto"/>
        </w:rPr>
      </w:pPr>
      <w:r>
        <w:rPr>
          <w:rFonts w:ascii="Times New Roman" w:cs="Times New Roman" w:eastAsia="Times New Roman" w:hAnsi="Times New Roman"/>
          <w:sz w:val="16"/>
          <w:szCs w:val="16"/>
          <w:b w:val="1"/>
          <w:bCs w:val="1"/>
          <w:color w:val="auto"/>
        </w:rPr>
        <w:t>You should rely only on the information contained in this prospectus or any prospectus supplement or amendment hereto. We have not authorized anyone to provide you with different information.</w:t>
      </w:r>
    </w:p>
    <w:p>
      <w:pPr>
        <w:spacing w:after="0" w:line="133" w:lineRule="exact"/>
        <w:rPr>
          <w:sz w:val="20"/>
          <w:szCs w:val="20"/>
          <w:color w:val="auto"/>
        </w:rPr>
      </w:pPr>
    </w:p>
    <w:p>
      <w:pPr>
        <w:ind w:left="620" w:right="500"/>
        <w:spacing w:after="0" w:line="297"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175260</wp:posOffset>
            </wp:positionV>
            <wp:extent cx="13385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8580" cy="76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450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Prospectus dated</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2022</w:t>
            </w:r>
          </w:p>
        </w:tc>
      </w:tr>
    </w:tbl>
    <w:p>
      <w:pPr>
        <w:sectPr>
          <w:pgSz w:w="11900" w:h="16838" w:orient="portrait"/>
          <w:cols w:equalWidth="0" w:num="1">
            <w:col w:w="10600"/>
          </w:cols>
          <w:pgMar w:left="320" w:top="452" w:right="979" w:bottom="1440" w:gutter="0" w:footer="0" w:header="0"/>
        </w:sectPr>
      </w:pPr>
    </w:p>
    <w:bookmarkStart w:id="3" w:name="page4"/>
    <w:bookmarkEnd w:id="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157"/>
        </w:trPr>
        <w:tc>
          <w:tcPr>
            <w:tcW w:w="9660" w:type="dxa"/>
            <w:vAlign w:val="bottom"/>
            <w:gridSpan w:val="22"/>
            <w:vMerge w:val="restart"/>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ABOUT THIS PROSPECTUS</w:t>
              </w:r>
            </w:hyperlink>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52"/>
        </w:trPr>
        <w:tc>
          <w:tcPr>
            <w:tcW w:w="9660" w:type="dxa"/>
            <w:vAlign w:val="bottom"/>
            <w:gridSpan w:val="22"/>
            <w:vMerge w:val="continue"/>
          </w:tcPr>
          <w:p>
            <w:pPr>
              <w:spacing w:after="0"/>
              <w:rPr>
                <w:sz w:val="13"/>
                <w:szCs w:val="13"/>
                <w:color w:val="auto"/>
              </w:rPr>
            </w:pPr>
          </w:p>
        </w:tc>
        <w:tc>
          <w:tcPr>
            <w:tcW w:w="30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60" w:type="dxa"/>
            <w:vAlign w:val="bottom"/>
            <w:tcBorders>
              <w:top w:val="single" w:sz="8" w:color="0000EE"/>
              <w:bottom w:val="single" w:sz="8" w:color="0000EE"/>
            </w:tcBorders>
            <w:gridSpan w:val="8"/>
          </w:tcPr>
          <w:p>
            <w:pPr>
              <w:spacing w:after="0" w:line="176" w:lineRule="exact"/>
              <w:rPr>
                <w:rFonts w:ascii="Times New Roman" w:cs="Times New Roman" w:eastAsia="Times New Roman" w:hAnsi="Times New Roman"/>
                <w:sz w:val="16"/>
                <w:szCs w:val="16"/>
                <w:color w:val="0000EE"/>
                <w:w w:val="99"/>
              </w:rPr>
            </w:pPr>
            <w:hyperlink w:anchor="page2">
              <w:r>
                <w:rPr>
                  <w:rFonts w:ascii="Times New Roman" w:cs="Times New Roman" w:eastAsia="Times New Roman" w:hAnsi="Times New Roman"/>
                  <w:sz w:val="16"/>
                  <w:szCs w:val="16"/>
                  <w:color w:val="0000EE"/>
                  <w:w w:val="99"/>
                </w:rPr>
                <w:t>EXPLANATORY NOTE</w:t>
              </w:r>
            </w:hyperlink>
          </w:p>
        </w:tc>
        <w:tc>
          <w:tcPr>
            <w:tcW w:w="360" w:type="dxa"/>
            <w:vAlign w:val="bottom"/>
            <w:tcBorders>
              <w:top w:val="single" w:sz="8" w:color="0000EE"/>
            </w:tcBorders>
            <w:gridSpan w:val="3"/>
          </w:tcPr>
          <w:p>
            <w:pPr>
              <w:spacing w:after="0"/>
              <w:rPr>
                <w:sz w:val="15"/>
                <w:szCs w:val="15"/>
                <w:color w:val="auto"/>
              </w:rPr>
            </w:pPr>
          </w:p>
        </w:tc>
        <w:tc>
          <w:tcPr>
            <w:tcW w:w="7640" w:type="dxa"/>
            <w:vAlign w:val="bottom"/>
            <w:gridSpan w:val="11"/>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6"/>
        </w:trPr>
        <w:tc>
          <w:tcPr>
            <w:tcW w:w="5260" w:type="dxa"/>
            <w:vAlign w:val="bottom"/>
            <w:tcBorders>
              <w:bottom w:val="single" w:sz="8" w:color="0000EE"/>
            </w:tcBorders>
            <w:gridSpan w:val="18"/>
          </w:tcPr>
          <w:p>
            <w:pPr>
              <w:spacing w:after="0" w:line="176" w:lineRule="exact"/>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CAUTIONARY NOTE REGARDING FORWARD-LOOKING STATEMENTS</w:t>
              </w:r>
            </w:hyperlink>
          </w:p>
        </w:tc>
        <w:tc>
          <w:tcPr>
            <w:tcW w:w="4400" w:type="dxa"/>
            <w:vAlign w:val="bottom"/>
            <w:gridSpan w:val="4"/>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76"/>
        </w:trPr>
        <w:tc>
          <w:tcPr>
            <w:tcW w:w="1900" w:type="dxa"/>
            <w:vAlign w:val="bottom"/>
            <w:tcBorders>
              <w:bottom w:val="single" w:sz="8" w:color="0000EE"/>
            </w:tcBorders>
            <w:gridSpan w:val="10"/>
          </w:tcPr>
          <w:p>
            <w:pPr>
              <w:spacing w:after="0" w:line="176" w:lineRule="exact"/>
              <w:rPr>
                <w:rFonts w:ascii="Times New Roman" w:cs="Times New Roman" w:eastAsia="Times New Roman" w:hAnsi="Times New Roman"/>
                <w:sz w:val="16"/>
                <w:szCs w:val="16"/>
                <w:color w:val="0000EE"/>
              </w:rPr>
            </w:pPr>
            <w:hyperlink w:anchor="page8">
              <w:r>
                <w:rPr>
                  <w:rFonts w:ascii="Times New Roman" w:cs="Times New Roman" w:eastAsia="Times New Roman" w:hAnsi="Times New Roman"/>
                  <w:sz w:val="16"/>
                  <w:szCs w:val="16"/>
                  <w:color w:val="0000EE"/>
                </w:rPr>
                <w:t>PROSPECTUS SUMMARY</w:t>
              </w:r>
            </w:hyperlink>
          </w:p>
        </w:tc>
        <w:tc>
          <w:tcPr>
            <w:tcW w:w="7760" w:type="dxa"/>
            <w:vAlign w:val="bottom"/>
            <w:gridSpan w:val="12"/>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76"/>
        </w:trPr>
        <w:tc>
          <w:tcPr>
            <w:tcW w:w="9660" w:type="dxa"/>
            <w:vAlign w:val="bottom"/>
            <w:gridSpan w:val="22"/>
          </w:tcPr>
          <w:p>
            <w:pPr>
              <w:spacing w:after="0" w:line="176" w:lineRule="exact"/>
              <w:rPr>
                <w:rFonts w:ascii="Times New Roman" w:cs="Times New Roman" w:eastAsia="Times New Roman" w:hAnsi="Times New Roman"/>
                <w:sz w:val="16"/>
                <w:szCs w:val="16"/>
                <w:color w:val="0000EE"/>
              </w:rPr>
            </w:pPr>
            <w:hyperlink w:anchor="page13">
              <w:r>
                <w:rPr>
                  <w:rFonts w:ascii="Times New Roman" w:cs="Times New Roman" w:eastAsia="Times New Roman" w:hAnsi="Times New Roman"/>
                  <w:sz w:val="16"/>
                  <w:szCs w:val="16"/>
                  <w:color w:val="0000EE"/>
                </w:rPr>
                <w:t>THE OFFERING</w:t>
              </w:r>
            </w:hyperlink>
          </w:p>
        </w:tc>
        <w:tc>
          <w:tcPr>
            <w:tcW w:w="32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76"/>
        </w:trPr>
        <w:tc>
          <w:tcPr>
            <w:tcW w:w="1140" w:type="dxa"/>
            <w:vAlign w:val="bottom"/>
            <w:tcBorders>
              <w:top w:val="single" w:sz="8" w:color="0000EE"/>
              <w:bottom w:val="single" w:sz="8" w:color="0000EE"/>
            </w:tcBorders>
            <w:gridSpan w:val="3"/>
          </w:tcPr>
          <w:p>
            <w:pPr>
              <w:spacing w:after="0" w:line="176" w:lineRule="exact"/>
              <w:rPr>
                <w:rFonts w:ascii="Times New Roman" w:cs="Times New Roman" w:eastAsia="Times New Roman" w:hAnsi="Times New Roman"/>
                <w:sz w:val="16"/>
                <w:szCs w:val="16"/>
                <w:color w:val="0000EE"/>
                <w:w w:val="99"/>
              </w:rPr>
            </w:pPr>
            <w:hyperlink w:anchor="page15">
              <w:r>
                <w:rPr>
                  <w:rFonts w:ascii="Times New Roman" w:cs="Times New Roman" w:eastAsia="Times New Roman" w:hAnsi="Times New Roman"/>
                  <w:sz w:val="16"/>
                  <w:szCs w:val="16"/>
                  <w:color w:val="0000EE"/>
                  <w:w w:val="99"/>
                </w:rPr>
                <w:t>RISK FACTORS</w:t>
              </w:r>
            </w:hyperlink>
          </w:p>
        </w:tc>
        <w:tc>
          <w:tcPr>
            <w:tcW w:w="20" w:type="dxa"/>
            <w:vAlign w:val="bottom"/>
            <w:tcBorders>
              <w:top w:val="single" w:sz="8" w:color="0000EE"/>
            </w:tcBorders>
          </w:tcPr>
          <w:p>
            <w:pPr>
              <w:spacing w:after="0"/>
              <w:rPr>
                <w:sz w:val="15"/>
                <w:szCs w:val="15"/>
                <w:color w:val="auto"/>
              </w:rPr>
            </w:pPr>
          </w:p>
        </w:tc>
        <w:tc>
          <w:tcPr>
            <w:tcW w:w="8500" w:type="dxa"/>
            <w:vAlign w:val="bottom"/>
            <w:gridSpan w:val="18"/>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tcBorders>
              <w:bottom w:val="single" w:sz="8" w:color="0000EE"/>
            </w:tcBorders>
            <w:gridSpan w:val="7"/>
          </w:tcPr>
          <w:p>
            <w:pPr>
              <w:spacing w:after="0" w:line="176" w:lineRule="exact"/>
              <w:rPr>
                <w:rFonts w:ascii="Times New Roman" w:cs="Times New Roman" w:eastAsia="Times New Roman" w:hAnsi="Times New Roman"/>
                <w:sz w:val="16"/>
                <w:szCs w:val="16"/>
                <w:color w:val="0000EE"/>
              </w:rPr>
            </w:pPr>
            <w:hyperlink w:anchor="page63">
              <w:r>
                <w:rPr>
                  <w:rFonts w:ascii="Times New Roman" w:cs="Times New Roman" w:eastAsia="Times New Roman" w:hAnsi="Times New Roman"/>
                  <w:sz w:val="16"/>
                  <w:szCs w:val="16"/>
                  <w:color w:val="0000EE"/>
                </w:rPr>
                <w:t>USE OF PROCEEDS</w:t>
              </w:r>
            </w:hyperlink>
          </w:p>
        </w:tc>
        <w:tc>
          <w:tcPr>
            <w:tcW w:w="8220" w:type="dxa"/>
            <w:vAlign w:val="bottom"/>
            <w:gridSpan w:val="15"/>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760" w:type="dxa"/>
            <w:vAlign w:val="bottom"/>
            <w:tcBorders>
              <w:bottom w:val="single" w:sz="8" w:color="0000EE"/>
            </w:tcBorders>
            <w:gridSpan w:val="20"/>
          </w:tcPr>
          <w:p>
            <w:pPr>
              <w:spacing w:after="0" w:line="176" w:lineRule="exact"/>
              <w:rPr>
                <w:rFonts w:ascii="Times New Roman" w:cs="Times New Roman" w:eastAsia="Times New Roman" w:hAnsi="Times New Roman"/>
                <w:sz w:val="16"/>
                <w:szCs w:val="16"/>
                <w:color w:val="0000EE"/>
              </w:rPr>
            </w:pPr>
            <w:hyperlink w:anchor="page64">
              <w:r>
                <w:rPr>
                  <w:rFonts w:ascii="Times New Roman" w:cs="Times New Roman" w:eastAsia="Times New Roman" w:hAnsi="Times New Roman"/>
                  <w:sz w:val="16"/>
                  <w:szCs w:val="16"/>
                  <w:color w:val="0000EE"/>
                </w:rPr>
                <w:t>MARKET PRICE OF AND DIVIDENDS ON THE REGISTRANT’S SECURITIES AND RELATED STOCKHOLDER MATTERS</w:t>
              </w:r>
            </w:hyperlink>
          </w:p>
        </w:tc>
        <w:tc>
          <w:tcPr>
            <w:tcW w:w="900" w:type="dxa"/>
            <w:vAlign w:val="bottom"/>
            <w:gridSpan w:val="2"/>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00" w:type="dxa"/>
            <w:vAlign w:val="bottom"/>
            <w:tcBorders>
              <w:bottom w:val="single" w:sz="8" w:color="0000EE"/>
            </w:tcBorders>
            <w:gridSpan w:val="19"/>
          </w:tcPr>
          <w:p>
            <w:pPr>
              <w:spacing w:after="0" w:line="176" w:lineRule="exact"/>
              <w:rPr>
                <w:rFonts w:ascii="Times New Roman" w:cs="Times New Roman" w:eastAsia="Times New Roman" w:hAnsi="Times New Roman"/>
                <w:sz w:val="16"/>
                <w:szCs w:val="16"/>
                <w:color w:val="0000EE"/>
              </w:rPr>
            </w:pPr>
            <w:hyperlink w:anchor="page65">
              <w:r>
                <w:rPr>
                  <w:rFonts w:ascii="Times New Roman" w:cs="Times New Roman" w:eastAsia="Times New Roman" w:hAnsi="Times New Roman"/>
                  <w:sz w:val="16"/>
                  <w:szCs w:val="16"/>
                  <w:color w:val="0000EE"/>
                </w:rPr>
                <w:t>MANAGEMENT’S DISCUSSION AND ANALYSIS OF FINANCIAL CONDITION AND RESULTS OF OPERATIONS</w:t>
              </w:r>
            </w:hyperlink>
          </w:p>
        </w:tc>
        <w:tc>
          <w:tcPr>
            <w:tcW w:w="1560" w:type="dxa"/>
            <w:vAlign w:val="bottom"/>
            <w:gridSpan w:val="3"/>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0000EE"/>
            </w:tcBorders>
            <w:gridSpan w:val="2"/>
          </w:tcPr>
          <w:p>
            <w:pPr>
              <w:spacing w:after="0" w:line="176" w:lineRule="exact"/>
              <w:rPr>
                <w:rFonts w:ascii="Times New Roman" w:cs="Times New Roman" w:eastAsia="Times New Roman" w:hAnsi="Times New Roman"/>
                <w:sz w:val="16"/>
                <w:szCs w:val="16"/>
                <w:color w:val="0000EE"/>
              </w:rPr>
            </w:pPr>
            <w:hyperlink w:anchor="page89">
              <w:r>
                <w:rPr>
                  <w:rFonts w:ascii="Times New Roman" w:cs="Times New Roman" w:eastAsia="Times New Roman" w:hAnsi="Times New Roman"/>
                  <w:sz w:val="16"/>
                  <w:szCs w:val="16"/>
                  <w:color w:val="0000EE"/>
                </w:rPr>
                <w:t>BUSINESS</w:t>
              </w:r>
            </w:hyperlink>
          </w:p>
        </w:tc>
        <w:tc>
          <w:tcPr>
            <w:tcW w:w="8880" w:type="dxa"/>
            <w:vAlign w:val="bottom"/>
            <w:gridSpan w:val="20"/>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60" w:type="dxa"/>
            <w:vAlign w:val="bottom"/>
            <w:gridSpan w:val="22"/>
          </w:tcPr>
          <w:p>
            <w:pPr>
              <w:spacing w:after="0" w:line="176" w:lineRule="exact"/>
              <w:rPr>
                <w:rFonts w:ascii="Times New Roman" w:cs="Times New Roman" w:eastAsia="Times New Roman" w:hAnsi="Times New Roman"/>
                <w:sz w:val="16"/>
                <w:szCs w:val="16"/>
                <w:color w:val="0000EE"/>
              </w:rPr>
            </w:pPr>
            <w:hyperlink w:anchor="page99">
              <w:r>
                <w:rPr>
                  <w:rFonts w:ascii="Times New Roman" w:cs="Times New Roman" w:eastAsia="Times New Roman" w:hAnsi="Times New Roman"/>
                  <w:sz w:val="16"/>
                  <w:szCs w:val="16"/>
                  <w:color w:val="0000EE"/>
                </w:rPr>
                <w:t>MANAGEMENT</w:t>
              </w:r>
            </w:hyperlink>
          </w:p>
        </w:tc>
        <w:tc>
          <w:tcPr>
            <w:tcW w:w="3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60" w:type="dxa"/>
            <w:vAlign w:val="bottom"/>
            <w:gridSpan w:val="22"/>
          </w:tcPr>
          <w:p>
            <w:pPr>
              <w:spacing w:after="0" w:line="176" w:lineRule="exact"/>
              <w:rPr>
                <w:rFonts w:ascii="Times New Roman" w:cs="Times New Roman" w:eastAsia="Times New Roman" w:hAnsi="Times New Roman"/>
                <w:sz w:val="16"/>
                <w:szCs w:val="16"/>
                <w:color w:val="0000EE"/>
              </w:rPr>
            </w:pPr>
            <w:hyperlink w:anchor="page105">
              <w:r>
                <w:rPr>
                  <w:rFonts w:ascii="Times New Roman" w:cs="Times New Roman" w:eastAsia="Times New Roman" w:hAnsi="Times New Roman"/>
                  <w:sz w:val="16"/>
                  <w:szCs w:val="16"/>
                  <w:color w:val="0000EE"/>
                </w:rPr>
                <w:t>EXECUTIVE COMPENSATION</w:t>
              </w:r>
            </w:hyperlink>
          </w:p>
        </w:tc>
        <w:tc>
          <w:tcPr>
            <w:tcW w:w="32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60" w:type="dxa"/>
            <w:vAlign w:val="bottom"/>
            <w:gridSpan w:val="22"/>
          </w:tcPr>
          <w:p>
            <w:pPr>
              <w:spacing w:after="0" w:line="176" w:lineRule="exact"/>
              <w:rPr>
                <w:rFonts w:ascii="Times New Roman" w:cs="Times New Roman" w:eastAsia="Times New Roman" w:hAnsi="Times New Roman"/>
                <w:sz w:val="16"/>
                <w:szCs w:val="16"/>
                <w:color w:val="0000EE"/>
              </w:rPr>
            </w:pPr>
            <w:hyperlink w:anchor="page115">
              <w:r>
                <w:rPr>
                  <w:rFonts w:ascii="Times New Roman" w:cs="Times New Roman" w:eastAsia="Times New Roman" w:hAnsi="Times New Roman"/>
                  <w:sz w:val="16"/>
                  <w:szCs w:val="16"/>
                  <w:color w:val="0000EE"/>
                </w:rPr>
                <w:t>CERTAIN RELATIONSHIPS AND RELATED PARTY TRANSACTIONS</w:t>
              </w:r>
            </w:hyperlink>
          </w:p>
        </w:tc>
        <w:tc>
          <w:tcPr>
            <w:tcW w:w="3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111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Borders>
              <w:top w:val="single" w:sz="8" w:color="0000EE"/>
            </w:tcBorders>
            <w:gridSpan w:val="16"/>
          </w:tcPr>
          <w:p>
            <w:pPr>
              <w:spacing w:after="0" w:line="176" w:lineRule="exact"/>
              <w:rPr>
                <w:rFonts w:ascii="Times New Roman" w:cs="Times New Roman" w:eastAsia="Times New Roman" w:hAnsi="Times New Roman"/>
                <w:sz w:val="16"/>
                <w:szCs w:val="16"/>
                <w:color w:val="0000EE"/>
              </w:rPr>
            </w:pPr>
            <w:hyperlink w:anchor="page121">
              <w:r>
                <w:rPr>
                  <w:rFonts w:ascii="Times New Roman" w:cs="Times New Roman" w:eastAsia="Times New Roman" w:hAnsi="Times New Roman"/>
                  <w:sz w:val="16"/>
                  <w:szCs w:val="16"/>
                  <w:color w:val="0000EE"/>
                </w:rPr>
                <w:t>BENEFICIAL OWNERSHIP OF SECURITIES</w:t>
              </w:r>
            </w:hyperlink>
          </w:p>
        </w:tc>
        <w:tc>
          <w:tcPr>
            <w:tcW w:w="4700" w:type="dxa"/>
            <w:vAlign w:val="bottom"/>
            <w:gridSpan w:val="6"/>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176"/>
        </w:trPr>
        <w:tc>
          <w:tcPr>
            <w:tcW w:w="2280" w:type="dxa"/>
            <w:vAlign w:val="bottom"/>
            <w:tcBorders>
              <w:top w:val="single" w:sz="8" w:color="0000EE"/>
              <w:bottom w:val="single" w:sz="8" w:color="0000EE"/>
            </w:tcBorders>
            <w:gridSpan w:val="13"/>
          </w:tcPr>
          <w:p>
            <w:pPr>
              <w:spacing w:after="0" w:line="176" w:lineRule="exact"/>
              <w:rPr>
                <w:rFonts w:ascii="Times New Roman" w:cs="Times New Roman" w:eastAsia="Times New Roman" w:hAnsi="Times New Roman"/>
                <w:sz w:val="16"/>
                <w:szCs w:val="16"/>
                <w:color w:val="0000EE"/>
              </w:rPr>
            </w:pPr>
            <w:hyperlink w:anchor="page123">
              <w:r>
                <w:rPr>
                  <w:rFonts w:ascii="Times New Roman" w:cs="Times New Roman" w:eastAsia="Times New Roman" w:hAnsi="Times New Roman"/>
                  <w:sz w:val="16"/>
                  <w:szCs w:val="16"/>
                  <w:color w:val="0000EE"/>
                </w:rPr>
                <w:t>SELLING SECURITYHOLDERS</w:t>
              </w:r>
            </w:hyperlink>
          </w:p>
        </w:tc>
        <w:tc>
          <w:tcPr>
            <w:tcW w:w="880" w:type="dxa"/>
            <w:vAlign w:val="bottom"/>
            <w:tcBorders>
              <w:top w:val="single" w:sz="8" w:color="0000EE"/>
            </w:tcBorders>
          </w:tcPr>
          <w:p>
            <w:pPr>
              <w:spacing w:after="0"/>
              <w:rPr>
                <w:sz w:val="15"/>
                <w:szCs w:val="15"/>
                <w:color w:val="auto"/>
              </w:rPr>
            </w:pPr>
          </w:p>
        </w:tc>
        <w:tc>
          <w:tcPr>
            <w:tcW w:w="6500" w:type="dxa"/>
            <w:vAlign w:val="bottom"/>
            <w:gridSpan w:val="8"/>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76"/>
        </w:trPr>
        <w:tc>
          <w:tcPr>
            <w:tcW w:w="9660" w:type="dxa"/>
            <w:vAlign w:val="bottom"/>
            <w:gridSpan w:val="22"/>
          </w:tcPr>
          <w:p>
            <w:pPr>
              <w:spacing w:after="0" w:line="176" w:lineRule="exact"/>
              <w:rPr>
                <w:rFonts w:ascii="Times New Roman" w:cs="Times New Roman" w:eastAsia="Times New Roman" w:hAnsi="Times New Roman"/>
                <w:sz w:val="16"/>
                <w:szCs w:val="16"/>
                <w:color w:val="0000EE"/>
              </w:rPr>
            </w:pPr>
            <w:hyperlink w:anchor="page130">
              <w:r>
                <w:rPr>
                  <w:rFonts w:ascii="Times New Roman" w:cs="Times New Roman" w:eastAsia="Times New Roman" w:hAnsi="Times New Roman"/>
                  <w:sz w:val="16"/>
                  <w:szCs w:val="16"/>
                  <w:color w:val="0000EE"/>
                </w:rPr>
                <w:t>DESCRIPTION OF SECURITIES</w:t>
              </w:r>
            </w:hyperlink>
          </w:p>
        </w:tc>
        <w:tc>
          <w:tcPr>
            <w:tcW w:w="32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60" w:type="dxa"/>
            <w:vAlign w:val="bottom"/>
            <w:gridSpan w:val="22"/>
          </w:tcPr>
          <w:p>
            <w:pPr>
              <w:spacing w:after="0" w:line="176" w:lineRule="exact"/>
              <w:rPr>
                <w:rFonts w:ascii="Times New Roman" w:cs="Times New Roman" w:eastAsia="Times New Roman" w:hAnsi="Times New Roman"/>
                <w:sz w:val="16"/>
                <w:szCs w:val="16"/>
                <w:color w:val="0000EE"/>
              </w:rPr>
            </w:pPr>
            <w:hyperlink w:anchor="page140">
              <w:r>
                <w:rPr>
                  <w:rFonts w:ascii="Times New Roman" w:cs="Times New Roman" w:eastAsia="Times New Roman" w:hAnsi="Times New Roman"/>
                  <w:sz w:val="16"/>
                  <w:szCs w:val="16"/>
                  <w:color w:val="0000EE"/>
                </w:rPr>
                <w:t>SECURITIES ACT RESTRICTIONS ON RESALE OF OUR SECURITIES</w:t>
              </w:r>
            </w:hyperlink>
          </w:p>
        </w:tc>
        <w:tc>
          <w:tcPr>
            <w:tcW w:w="32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60" w:type="dxa"/>
            <w:vAlign w:val="bottom"/>
            <w:gridSpan w:val="22"/>
          </w:tcPr>
          <w:p>
            <w:pPr>
              <w:spacing w:after="0" w:line="176" w:lineRule="exact"/>
              <w:rPr>
                <w:rFonts w:ascii="Times New Roman" w:cs="Times New Roman" w:eastAsia="Times New Roman" w:hAnsi="Times New Roman"/>
                <w:sz w:val="16"/>
                <w:szCs w:val="16"/>
                <w:color w:val="0000EE"/>
              </w:rPr>
            </w:pPr>
            <w:hyperlink w:anchor="page142">
              <w:r>
                <w:rPr>
                  <w:rFonts w:ascii="Times New Roman" w:cs="Times New Roman" w:eastAsia="Times New Roman" w:hAnsi="Times New Roman"/>
                  <w:sz w:val="16"/>
                  <w:szCs w:val="16"/>
                  <w:color w:val="0000EE"/>
                </w:rPr>
                <w:t>MATERIAL U.S. FEDERAL INCOME TAX CONSIDERATIONS FOR NON-U.S. HOLDERS OF OUR CLASS A COMMON STOCK</w:t>
              </w:r>
            </w:hyperlink>
          </w:p>
        </w:tc>
        <w:tc>
          <w:tcPr>
            <w:tcW w:w="32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176"/>
        </w:trPr>
        <w:tc>
          <w:tcPr>
            <w:tcW w:w="9020" w:type="dxa"/>
            <w:vAlign w:val="bottom"/>
            <w:tcBorders>
              <w:top w:val="single" w:sz="8" w:color="0000EE"/>
            </w:tcBorders>
            <w:gridSpan w:val="21"/>
          </w:tcPr>
          <w:p>
            <w:pPr>
              <w:spacing w:after="0" w:line="176" w:lineRule="exact"/>
              <w:rPr>
                <w:rFonts w:ascii="Times New Roman" w:cs="Times New Roman" w:eastAsia="Times New Roman" w:hAnsi="Times New Roman"/>
                <w:sz w:val="16"/>
                <w:szCs w:val="16"/>
                <w:color w:val="0000EE"/>
              </w:rPr>
            </w:pPr>
            <w:hyperlink w:anchor="page146">
              <w:r>
                <w:rPr>
                  <w:rFonts w:ascii="Times New Roman" w:cs="Times New Roman" w:eastAsia="Times New Roman" w:hAnsi="Times New Roman"/>
                  <w:sz w:val="16"/>
                  <w:szCs w:val="16"/>
                  <w:color w:val="0000EE"/>
                </w:rPr>
                <w:t>PLAN OF DISTRIBUTION</w:t>
              </w:r>
            </w:hyperlink>
          </w:p>
        </w:tc>
        <w:tc>
          <w:tcPr>
            <w:tcW w:w="640" w:type="dxa"/>
            <w:vAlign w:val="bottom"/>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176"/>
        </w:trPr>
        <w:tc>
          <w:tcPr>
            <w:tcW w:w="1860" w:type="dxa"/>
            <w:vAlign w:val="bottom"/>
            <w:tcBorders>
              <w:top w:val="single" w:sz="8" w:color="0000EE"/>
            </w:tcBorders>
            <w:gridSpan w:val="9"/>
          </w:tcPr>
          <w:p>
            <w:pPr>
              <w:spacing w:after="0" w:line="176" w:lineRule="exact"/>
              <w:rPr>
                <w:rFonts w:ascii="Times New Roman" w:cs="Times New Roman" w:eastAsia="Times New Roman" w:hAnsi="Times New Roman"/>
                <w:sz w:val="16"/>
                <w:szCs w:val="16"/>
                <w:color w:val="0000EE"/>
              </w:rPr>
            </w:pPr>
            <w:hyperlink w:anchor="page151">
              <w:r>
                <w:rPr>
                  <w:rFonts w:ascii="Times New Roman" w:cs="Times New Roman" w:eastAsia="Times New Roman" w:hAnsi="Times New Roman"/>
                  <w:sz w:val="16"/>
                  <w:szCs w:val="16"/>
                  <w:color w:val="0000EE"/>
                </w:rPr>
                <w:t>LEGAL MATTERS</w:t>
              </w:r>
            </w:hyperlink>
          </w:p>
        </w:tc>
        <w:tc>
          <w:tcPr>
            <w:tcW w:w="7800" w:type="dxa"/>
            <w:vAlign w:val="bottom"/>
            <w:gridSpan w:val="13"/>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176"/>
        </w:trPr>
        <w:tc>
          <w:tcPr>
            <w:tcW w:w="1320" w:type="dxa"/>
            <w:vAlign w:val="bottom"/>
            <w:tcBorders>
              <w:top w:val="single" w:sz="8" w:color="0000EE"/>
            </w:tcBorders>
            <w:gridSpan w:val="6"/>
          </w:tcPr>
          <w:p>
            <w:pPr>
              <w:spacing w:after="0" w:line="176" w:lineRule="exact"/>
              <w:rPr>
                <w:rFonts w:ascii="Times New Roman" w:cs="Times New Roman" w:eastAsia="Times New Roman" w:hAnsi="Times New Roman"/>
                <w:sz w:val="16"/>
                <w:szCs w:val="16"/>
                <w:color w:val="0000EE"/>
              </w:rPr>
            </w:pPr>
            <w:hyperlink w:anchor="page152">
              <w:r>
                <w:rPr>
                  <w:rFonts w:ascii="Times New Roman" w:cs="Times New Roman" w:eastAsia="Times New Roman" w:hAnsi="Times New Roman"/>
                  <w:sz w:val="16"/>
                  <w:szCs w:val="16"/>
                  <w:color w:val="0000EE"/>
                </w:rPr>
                <w:t>EXPERTS</w:t>
              </w:r>
            </w:hyperlink>
          </w:p>
        </w:tc>
        <w:tc>
          <w:tcPr>
            <w:tcW w:w="8340" w:type="dxa"/>
            <w:vAlign w:val="bottom"/>
            <w:gridSpan w:val="16"/>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3300" w:type="dxa"/>
            <w:vAlign w:val="bottom"/>
            <w:gridSpan w:val="14"/>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60" w:type="dxa"/>
            <w:vAlign w:val="bottom"/>
            <w:gridSpan w:val="22"/>
          </w:tcPr>
          <w:p>
            <w:pPr>
              <w:spacing w:after="0" w:line="176" w:lineRule="exact"/>
              <w:rPr>
                <w:rFonts w:ascii="Times New Roman" w:cs="Times New Roman" w:eastAsia="Times New Roman" w:hAnsi="Times New Roman"/>
                <w:sz w:val="16"/>
                <w:szCs w:val="16"/>
                <w:color w:val="0000EE"/>
              </w:rPr>
            </w:pPr>
            <w:hyperlink w:anchor="page154">
              <w:r>
                <w:rPr>
                  <w:rFonts w:ascii="Times New Roman" w:cs="Times New Roman" w:eastAsia="Times New Roman" w:hAnsi="Times New Roman"/>
                  <w:sz w:val="16"/>
                  <w:szCs w:val="16"/>
                  <w:color w:val="0000EE"/>
                </w:rPr>
                <w:t>WHERE YOU CAN FIND ADDITIONAL INFORMATION</w:t>
              </w:r>
            </w:hyperlink>
          </w:p>
        </w:tc>
        <w:tc>
          <w:tcPr>
            <w:tcW w:w="32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
        </w:trPr>
        <w:tc>
          <w:tcPr>
            <w:tcW w:w="4000" w:type="dxa"/>
            <w:vAlign w:val="bottom"/>
            <w:gridSpan w:val="15"/>
            <w:shd w:val="clear" w:color="auto" w:fill="0000EE"/>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60" w:type="dxa"/>
            <w:vAlign w:val="bottom"/>
            <w:gridSpan w:val="22"/>
          </w:tcPr>
          <w:p>
            <w:pPr>
              <w:spacing w:after="0" w:line="176" w:lineRule="exact"/>
              <w:rPr>
                <w:rFonts w:ascii="Times New Roman" w:cs="Times New Roman" w:eastAsia="Times New Roman" w:hAnsi="Times New Roman"/>
                <w:sz w:val="16"/>
                <w:szCs w:val="16"/>
                <w:color w:val="0000EE"/>
              </w:rPr>
            </w:pPr>
            <w:hyperlink w:anchor="page155">
              <w:r>
                <w:rPr>
                  <w:rFonts w:ascii="Times New Roman" w:cs="Times New Roman" w:eastAsia="Times New Roman" w:hAnsi="Times New Roman"/>
                  <w:sz w:val="16"/>
                  <w:szCs w:val="16"/>
                  <w:color w:val="0000EE"/>
                </w:rPr>
                <w:t>INDEX TO CONSOLIDATED FINANCIAL STATEMENTS</w:t>
              </w:r>
            </w:hyperlink>
          </w:p>
        </w:tc>
        <w:tc>
          <w:tcPr>
            <w:tcW w:w="32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10580"/>
          </w:cols>
          <w:pgMar w:left="320" w:top="452" w:right="999" w:bottom="1440" w:gutter="0" w:footer="0" w:header="0"/>
        </w:sectPr>
      </w:pPr>
    </w:p>
    <w:bookmarkStart w:id="4" w:name="page5"/>
    <w:bookmarkEnd w:id="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212" w:lineRule="exact"/>
        <w:rPr>
          <w:sz w:val="20"/>
          <w:szCs w:val="20"/>
          <w:color w:val="auto"/>
        </w:rPr>
      </w:pPr>
    </w:p>
    <w:p>
      <w:pPr>
        <w:ind w:left="620" w:right="120"/>
        <w:spacing w:after="0" w:line="264" w:lineRule="auto"/>
        <w:rPr>
          <w:sz w:val="20"/>
          <w:szCs w:val="20"/>
          <w:color w:val="auto"/>
        </w:rPr>
      </w:pPr>
      <w:r>
        <w:rPr>
          <w:rFonts w:ascii="Times New Roman" w:cs="Times New Roman" w:eastAsia="Times New Roman" w:hAnsi="Times New Roman"/>
          <w:sz w:val="16"/>
          <w:szCs w:val="16"/>
          <w:color w:val="auto"/>
        </w:rPr>
        <w:t>You should rely only on the information contained in this prospectus or in any applicable prospectus supplement prepared by us or on our behalf. Neither we nor the Selling Securityholders have authorized any other person to provide you with different information. If anyone provides you with different or inconsistent information, you should not rely on it. Neither we nor the Selling Securityholders are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65"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This prospectus is part of a registration statement on Form S-1 that we filed with the Securities and Exchange Commission (the “SEC”) using the “shelf” registration process. Under this shelf registration process, the Selling Securityholders hereunder may, from time to time, sell the securities offered by them described in this prospectus. We will not receive any proceeds from the sale by such Selling Securityholders of the securities offered by them described in this prospectus.</w:t>
      </w:r>
    </w:p>
    <w:p>
      <w:pPr>
        <w:spacing w:after="0" w:line="162" w:lineRule="exact"/>
        <w:rPr>
          <w:sz w:val="20"/>
          <w:szCs w:val="20"/>
          <w:color w:val="auto"/>
        </w:rPr>
      </w:pPr>
    </w:p>
    <w:p>
      <w:pPr>
        <w:ind w:left="620" w:right="100"/>
        <w:spacing w:after="0" w:line="267" w:lineRule="auto"/>
        <w:rPr>
          <w:sz w:val="20"/>
          <w:szCs w:val="20"/>
          <w:color w:val="auto"/>
        </w:rPr>
      </w:pPr>
      <w:r>
        <w:rPr>
          <w:rFonts w:ascii="Times New Roman" w:cs="Times New Roman" w:eastAsia="Times New Roman" w:hAnsi="Times New Roman"/>
          <w:sz w:val="16"/>
          <w:szCs w:val="16"/>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Times New Roman" w:cs="Times New Roman" w:eastAsia="Times New Roman" w:hAnsi="Times New Roman"/>
          <w:sz w:val="16"/>
          <w:szCs w:val="16"/>
          <w:i w:val="1"/>
          <w:iCs w:val="1"/>
          <w:color w:val="auto"/>
        </w:rPr>
        <w:t>Where You Can Find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Additional Information</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620" w:right="40"/>
        <w:spacing w:after="0" w:line="238" w:lineRule="auto"/>
        <w:rPr>
          <w:sz w:val="20"/>
          <w:szCs w:val="20"/>
          <w:color w:val="auto"/>
        </w:rPr>
      </w:pPr>
      <w:r>
        <w:rPr>
          <w:rFonts w:ascii="Times New Roman" w:cs="Times New Roman" w:eastAsia="Times New Roman" w:hAnsi="Times New Roman"/>
          <w:sz w:val="16"/>
          <w:szCs w:val="16"/>
          <w:color w:val="auto"/>
        </w:rPr>
        <w:t xml:space="preserve">This document contains references to trademarks, trade names and service marks belonging to other entities. Solely for convenience, trademarks, trade names and service marks referred to in this prospectus may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85" w:lineRule="exact"/>
        <w:rPr>
          <w:sz w:val="20"/>
          <w:szCs w:val="20"/>
          <w:color w:val="auto"/>
        </w:rPr>
      </w:pPr>
    </w:p>
    <w:p>
      <w:pPr>
        <w:ind w:left="620" w:right="20"/>
        <w:spacing w:after="0" w:line="260" w:lineRule="auto"/>
        <w:rPr>
          <w:sz w:val="20"/>
          <w:szCs w:val="20"/>
          <w:color w:val="auto"/>
        </w:rPr>
      </w:pPr>
      <w:r>
        <w:rPr>
          <w:rFonts w:ascii="Times New Roman" w:cs="Times New Roman" w:eastAsia="Times New Roman" w:hAnsi="Times New Roman"/>
          <w:sz w:val="16"/>
          <w:szCs w:val="16"/>
          <w:color w:val="auto"/>
        </w:rPr>
        <w:t>Information contained in this prospectus concerning the market and the industry in which we compete, including our market position, general expectations of market opportunity, size and growth rates, is based on information from various third-party sources, on assumptions made by us based on such sources and our knowledge of the markets for our services and solutions. This information and any estimates provided herein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We have not independently verified this third-party information. The industry in which we operate is subject to a high degree of uncertainty and risk. As a result, the estimates and market and industry information provided in this prospectus are subject to change based on various factors, including those described in the sections titled “</w:t>
      </w:r>
      <w:r>
        <w:rPr>
          <w:rFonts w:ascii="Times New Roman" w:cs="Times New Roman" w:eastAsia="Times New Roman" w:hAnsi="Times New Roman"/>
          <w:sz w:val="16"/>
          <w:szCs w:val="16"/>
          <w:i w:val="1"/>
          <w:iCs w:val="1"/>
          <w:color w:val="auto"/>
        </w:rPr>
        <w:t>Cautionary Note Regarding Forward-Looking Statements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620" w:right="60"/>
        <w:spacing w:after="0" w:line="260" w:lineRule="auto"/>
        <w:rPr>
          <w:sz w:val="20"/>
          <w:szCs w:val="20"/>
          <w:color w:val="auto"/>
        </w:rPr>
      </w:pPr>
      <w:r>
        <w:rPr>
          <w:rFonts w:ascii="Times New Roman" w:cs="Times New Roman" w:eastAsia="Times New Roman" w:hAnsi="Times New Roman"/>
          <w:sz w:val="16"/>
          <w:szCs w:val="16"/>
          <w:color w:val="auto"/>
        </w:rPr>
        <w:t>Reference is made in this prospectus to the business combination that Bakkt Holdings, Inc., a Delaware corporation (f/k/a VPC Impact Acquisition Holdings, a Cayman Islands exempted company (the “Company”)), consummated on October 15, 2021 (the “Closing”) pursuant to that certain Agreement and Plan of Merger, dated as of January 11, 2021 (as amended, the “Merger Agreement”), by and among the Company, Pylon Merger Company LLC, a Delaware limited liability company and wholly owned subsidiary of the Company (“Merger Sub”), and Bakkt Opco Holdings, LLC, a Delaware limited liability company (f/k/a/ Bakkt Holdings, LLC (“Opco”)). Pursuant to the terms of the Merger Agreement, Merger Sub merged with and into Opco, with Opco surviving as a direct subsidiary of the Company (the “Merger”). Unless otherwise noted or the context otherwise requires, references to “we,” “us,” “our,” “Bakkt” and like terms refer (i) prior to the Closing, to Opco and its subsidiaries and (ii) after the Closing, to Bakkt Holdings, Inc. and its subsidiaries, including Opco.</w:t>
      </w:r>
    </w:p>
    <w:p>
      <w:pPr>
        <w:spacing w:after="0" w:line="1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620"/>
          </w:cols>
          <w:pgMar w:left="320" w:top="452" w:right="959" w:bottom="1440" w:gutter="0" w:footer="0" w:header="0"/>
        </w:sectPr>
      </w:pPr>
    </w:p>
    <w:bookmarkStart w:id="5" w:name="page6"/>
    <w:bookmarkEnd w:id="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40"/>
        <w:spacing w:after="0" w:line="267" w:lineRule="auto"/>
        <w:rPr>
          <w:sz w:val="20"/>
          <w:szCs w:val="20"/>
          <w:color w:val="auto"/>
        </w:rPr>
      </w:pPr>
      <w:r>
        <w:rPr>
          <w:rFonts w:ascii="Times New Roman" w:cs="Times New Roman" w:eastAsia="Times New Roman" w:hAnsi="Times New Roman"/>
          <w:sz w:val="16"/>
          <w:szCs w:val="16"/>
          <w:color w:val="auto"/>
        </w:rPr>
        <w:t>In connection with the transactions contemplated by the Merger Agreement (the “Business Combination”), the Company effected a deregistration under the Cayman Islands Companies Law (2020 Revision) and a domestication under Section 388 of the Delaware General Corporation Law (“DGCL”), pursuant to which the Company’s jurisdiction of incorporation was changed from the Cayman Islands to the State of Delaware (the “Domestication”), and changed its name to “Bakkt Holdings, Inc.”</w:t>
      </w:r>
    </w:p>
    <w:p>
      <w:pPr>
        <w:spacing w:after="0" w:line="162" w:lineRule="exact"/>
        <w:rPr>
          <w:sz w:val="20"/>
          <w:szCs w:val="20"/>
          <w:color w:val="auto"/>
        </w:rPr>
      </w:pPr>
    </w:p>
    <w:p>
      <w:pPr>
        <w:ind w:left="620" w:right="120"/>
        <w:spacing w:after="0" w:line="260" w:lineRule="auto"/>
        <w:rPr>
          <w:sz w:val="20"/>
          <w:szCs w:val="20"/>
          <w:color w:val="auto"/>
        </w:rPr>
      </w:pPr>
      <w:r>
        <w:rPr>
          <w:rFonts w:ascii="Times New Roman" w:cs="Times New Roman" w:eastAsia="Times New Roman" w:hAnsi="Times New Roman"/>
          <w:sz w:val="16"/>
          <w:szCs w:val="16"/>
          <w:color w:val="auto"/>
        </w:rPr>
        <w:t>As a result of the Domestication, (i) all 12,285,160 outstanding Class A ordinary shares of the Company, par value $0.0001 per share (the “Class A Ordinary Shares”), and 5,184,300 Class B ordinary shares of the Company, par value $0.0001 per share (the “Founder Shares” or “Class B Ordinary Shares”), issued to the Sponsor and certain of its affiliates, were exchanged for an equivalent number of shares of Class A Common Stock and (ii) all 10,368,601 outstanding warrants to purchase Class A Ordinary Shares at $11.50 per share issued in connection with the Company’s initial public offering (the “IPO”) and the 6,147,440 warrants issued to the Sponsor in a private placement concurrently with the IPO (the “Private Placement Warrants”) were exchanged for an equivalent number of warrants to purchase Class A Common Stock. On November 17, 2021, in accordance with the terms of the Warrant Agreement governing the Company’s warrants (as amended, the “Warrant Agreement”), the Company issued and delivered the Private Warrant Shares to the Sponsor in satisfaction of the “cashless exercise” of all 6,147,440 of the Private Placement Warrants. The Company received no consideration from the delivery of the Private Warrant Shares.</w:t>
      </w:r>
    </w:p>
    <w:p>
      <w:pPr>
        <w:spacing w:after="0" w:line="167" w:lineRule="exact"/>
        <w:rPr>
          <w:sz w:val="20"/>
          <w:szCs w:val="20"/>
          <w:color w:val="auto"/>
        </w:rPr>
      </w:pPr>
    </w:p>
    <w:p>
      <w:pPr>
        <w:ind w:left="620" w:right="180"/>
        <w:spacing w:after="0" w:line="261" w:lineRule="auto"/>
        <w:rPr>
          <w:sz w:val="20"/>
          <w:szCs w:val="20"/>
          <w:color w:val="auto"/>
        </w:rPr>
      </w:pPr>
      <w:r>
        <w:rPr>
          <w:rFonts w:ascii="Times New Roman" w:cs="Times New Roman" w:eastAsia="Times New Roman" w:hAnsi="Times New Roman"/>
          <w:sz w:val="16"/>
          <w:szCs w:val="16"/>
          <w:color w:val="auto"/>
        </w:rPr>
        <w:t>At the Closing, in accordance with the Merger Agreement, Opco equity holders (the “Opco Equity Holders”) received an aggregate of 208,200,000 common units of Opco (“Opco Common Units”) and a corresponding number of shares of Class V common stock, par value $0.0001 per share, of the Company (“Class V Common Stock,” and each share of Class V Common Stock, when coupled with one Opco Common Unit, a “Paired Interest”) or warrants to purchase Opco Common Units and an equal number of Class V Common Stock. Pursuant to the Third Amended and Restated LLC Agreement of Opco (the “Opco LLC Agreement”), and an exchange agreement among the Company, Opco and the Opco Equity Holders (the “Exchange Agreement”), each entered into in connection with the Business Combination, each Paired Interest may be exchanged for one share of Class A Common Stock or a specified cash amount, subject to certain limitations.</w:t>
      </w:r>
    </w:p>
    <w:p>
      <w:pPr>
        <w:spacing w:after="0" w:line="168"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In connection with the consummation of the Business Combination, certain qualified institutional buyers and accredited investors (the “PIPE Investors”) purchased the PIPE Shares from the Company for a purchase price of $10.00 per share and an aggregate purchase price of $325 million (the “PIPE Financing”), pursuant to Subscription Agreements between the several PIPE Investors and the Company (the “Subscription Agreements”). Pursuant to the Subscription Agreements, the Company gave certain registration rights to the PIPE Investors with respect to the PIPE Shares.</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600"/>
          </w:cols>
          <w:pgMar w:left="320" w:top="452" w:right="979" w:bottom="1440" w:gutter="0" w:footer="0" w:header="0"/>
        </w:sectPr>
      </w:pPr>
    </w:p>
    <w:bookmarkStart w:id="6" w:name="page7"/>
    <w:bookmarkEnd w:id="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12" w:lineRule="exact"/>
        <w:rPr>
          <w:sz w:val="20"/>
          <w:szCs w:val="20"/>
          <w:color w:val="auto"/>
        </w:rPr>
      </w:pPr>
    </w:p>
    <w:p>
      <w:pPr>
        <w:ind w:left="620"/>
        <w:spacing w:after="0" w:line="260" w:lineRule="auto"/>
        <w:rPr>
          <w:sz w:val="20"/>
          <w:szCs w:val="20"/>
          <w:color w:val="auto"/>
        </w:rPr>
      </w:pPr>
      <w:r>
        <w:rPr>
          <w:rFonts w:ascii="Times New Roman" w:cs="Times New Roman" w:eastAsia="Times New Roman" w:hAnsi="Times New Roman"/>
          <w:sz w:val="16"/>
          <w:szCs w:val="16"/>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 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prospectus may include, for example, statements about:</w:t>
      </w:r>
    </w:p>
    <w:p>
      <w:pPr>
        <w:spacing w:after="0" w:line="85" w:lineRule="exact"/>
        <w:rPr>
          <w:sz w:val="20"/>
          <w:szCs w:val="20"/>
          <w:color w:val="auto"/>
        </w:rPr>
      </w:pPr>
    </w:p>
    <w:p>
      <w:pPr>
        <w:ind w:left="1500" w:hanging="387"/>
        <w:spacing w:after="0"/>
        <w:tabs>
          <w:tab w:leader="none" w:pos="15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financial performance;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market for our products and services;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plans and opportunities.</w:t>
      </w:r>
    </w:p>
    <w:p>
      <w:pPr>
        <w:spacing w:after="0" w:line="208"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These forward-looking statements are based on information available as of the date of this prospectus and management’s current expectations, forecasts and assumptions, and involve a number of judgments, known and/ or unknown risks and uncertainties. Accordingly, forward-looking statements should not be relied upon as representing our views as of any subsequent date. We do not undertake any obligation to update any forward- looking statement to reflect events or circumstances after the date they were made, whether as a result of new information, future events or otherwise, except as may be required under applicable law.</w:t>
      </w:r>
    </w:p>
    <w:p>
      <w:pPr>
        <w:spacing w:after="0" w:line="165" w:lineRule="exact"/>
        <w:rPr>
          <w:sz w:val="20"/>
          <w:szCs w:val="20"/>
          <w:color w:val="auto"/>
        </w:rPr>
      </w:pPr>
    </w:p>
    <w:p>
      <w:pPr>
        <w:ind w:left="620" w:right="220"/>
        <w:spacing w:after="0" w:line="273" w:lineRule="auto"/>
        <w:rPr>
          <w:sz w:val="20"/>
          <w:szCs w:val="20"/>
          <w:color w:val="auto"/>
        </w:rPr>
      </w:pPr>
      <w:r>
        <w:rPr>
          <w:rFonts w:ascii="Times New Roman" w:cs="Times New Roman" w:eastAsia="Times New Roman" w:hAnsi="Times New Roman"/>
          <w:sz w:val="16"/>
          <w:szCs w:val="16"/>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 looking statements. Some factors that could cause actual results to differ include, but are not limited to:</w:t>
      </w:r>
    </w:p>
    <w:p>
      <w:pPr>
        <w:spacing w:after="0" w:line="71" w:lineRule="exact"/>
        <w:rPr>
          <w:sz w:val="20"/>
          <w:szCs w:val="20"/>
          <w:color w:val="auto"/>
        </w:rPr>
      </w:pPr>
    </w:p>
    <w:p>
      <w:pPr>
        <w:ind w:left="1500" w:hanging="387"/>
        <w:spacing w:after="0"/>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grow and manage growth profitably;</w:t>
      </w:r>
    </w:p>
    <w:p>
      <w:pPr>
        <w:spacing w:after="0" w:line="122" w:lineRule="exact"/>
        <w:rPr>
          <w:rFonts w:ascii="Times New Roman" w:cs="Times New Roman" w:eastAsia="Times New Roman" w:hAnsi="Times New Roman"/>
          <w:sz w:val="16"/>
          <w:szCs w:val="16"/>
          <w:color w:val="auto"/>
        </w:rPr>
      </w:pPr>
    </w:p>
    <w:p>
      <w:pPr>
        <w:ind w:left="1500" w:right="340" w:hanging="387"/>
        <w:spacing w:after="0" w:line="291" w:lineRule="auto"/>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market in which we compete, including with respect to our competitive landscape, technology evolution or changes in applicable laws or regulations;</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digital asset markets that we target;</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our relationships within the payment ecosystem;</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launch new services and products or to profitably expand into new markets and services;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execute our growth strategies, including identifying and executing acquisitions;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develop and maintain effective internal controls and procedures;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exposure to any liability, protracted and costly litigation or reputational damage relating to our data security;</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we may be adversely affected by other economic, business, and/or competitive factors;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novel coronavirus pandemic;</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maintain the listing of our Class A Common Stock and Warrants on the NYSE; and</w:t>
      </w:r>
    </w:p>
    <w:p>
      <w:pPr>
        <w:spacing w:after="0" w:line="120"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and uncertainties indicated in this prospectus, including those set forth under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14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40"/>
          </w:cols>
          <w:pgMar w:left="320" w:top="452" w:right="1039" w:bottom="1440" w:gutter="0" w:footer="0" w:header="0"/>
        </w:sectPr>
      </w:pPr>
    </w:p>
    <w:bookmarkStart w:id="7" w:name="page8"/>
    <w:bookmarkEnd w:id="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187960</wp:posOffset>
            </wp:positionV>
            <wp:extent cx="6355715" cy="5569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55715" cy="556958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PROSPECTUS SUMMARY</w:t>
      </w:r>
    </w:p>
    <w:p>
      <w:pPr>
        <w:spacing w:after="0" w:line="210" w:lineRule="exact"/>
        <w:rPr>
          <w:sz w:val="20"/>
          <w:szCs w:val="20"/>
          <w:color w:val="auto"/>
        </w:rPr>
      </w:pPr>
    </w:p>
    <w:p>
      <w:pPr>
        <w:ind w:left="780" w:right="140"/>
        <w:spacing w:after="0" w:line="265" w:lineRule="auto"/>
        <w:rPr>
          <w:sz w:val="20"/>
          <w:szCs w:val="20"/>
          <w:color w:val="auto"/>
        </w:rPr>
      </w:pPr>
      <w:r>
        <w:rPr>
          <w:rFonts w:ascii="Times New Roman" w:cs="Times New Roman" w:eastAsia="Times New Roman" w:hAnsi="Times New Roman"/>
          <w:sz w:val="16"/>
          <w:szCs w:val="16"/>
          <w:i w:val="1"/>
          <w:iCs w:val="1"/>
          <w:color w:val="auto"/>
        </w:rPr>
        <w:t>The following summary highlights information contained elsewhere in this prospectus. It does not contain all the information you should consider before investing in our Class A Common Stock or Warrants. You should read this entire prospectus carefully, including the sections titled “Risk Factors,” and “Management’s Discussion and Analysis of Financial Condition and Results of Operations” and our consolidated financial statements and related notes included elsewhere in this prospectus, before making an investment decision. For certain defined terms and background information, please see “About this Prospectus.”</w:t>
      </w:r>
    </w:p>
    <w:p>
      <w:pPr>
        <w:spacing w:after="0" w:line="2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14" w:lineRule="exact"/>
        <w:rPr>
          <w:sz w:val="20"/>
          <w:szCs w:val="20"/>
          <w:color w:val="auto"/>
        </w:rPr>
      </w:pPr>
    </w:p>
    <w:p>
      <w:pPr>
        <w:ind w:left="780" w:right="480"/>
        <w:spacing w:after="0" w:line="273" w:lineRule="auto"/>
        <w:rPr>
          <w:sz w:val="20"/>
          <w:szCs w:val="20"/>
          <w:color w:val="auto"/>
        </w:rPr>
      </w:pPr>
      <w:r>
        <w:rPr>
          <w:rFonts w:ascii="Times New Roman" w:cs="Times New Roman" w:eastAsia="Times New Roman" w:hAnsi="Times New Roman"/>
          <w:sz w:val="16"/>
          <w:szCs w:val="16"/>
          <w:color w:val="auto"/>
        </w:rPr>
        <w:t>Bakkt was formed in 2018. Our vision is to connect the digital economy. Our platform, which operates at the intersection of cryptoassets (“crypto”), loyalty and rewards, and payments – and, in the future, other types of digital assets – is uniquely positioned to enable consumers, brands, and financial institutions to better manage, transact with and monetize those assets in exciting new ways.</w:t>
      </w:r>
    </w:p>
    <w:p>
      <w:pPr>
        <w:spacing w:after="0" w:line="157" w:lineRule="exact"/>
        <w:rPr>
          <w:sz w:val="20"/>
          <w:szCs w:val="20"/>
          <w:color w:val="auto"/>
        </w:rPr>
      </w:pPr>
    </w:p>
    <w:p>
      <w:pPr>
        <w:ind w:left="780" w:right="260"/>
        <w:spacing w:after="0" w:line="291" w:lineRule="auto"/>
        <w:rPr>
          <w:sz w:val="20"/>
          <w:szCs w:val="20"/>
          <w:color w:val="auto"/>
        </w:rPr>
      </w:pPr>
      <w:r>
        <w:rPr>
          <w:rFonts w:ascii="Times New Roman" w:cs="Times New Roman" w:eastAsia="Times New Roman" w:hAnsi="Times New Roman"/>
          <w:sz w:val="16"/>
          <w:szCs w:val="16"/>
          <w:color w:val="auto"/>
        </w:rPr>
        <w:t>The global market for digital assets, while nascent, is rapidly evolving and expanding. We believe we are well-positioned to provide innovative, multi-faceted product solutions and grow with this evolving market.</w:t>
      </w:r>
    </w:p>
    <w:p>
      <w:pPr>
        <w:spacing w:after="0" w:line="142" w:lineRule="exact"/>
        <w:rPr>
          <w:sz w:val="20"/>
          <w:szCs w:val="20"/>
          <w:color w:val="auto"/>
        </w:rPr>
      </w:pPr>
    </w:p>
    <w:p>
      <w:pPr>
        <w:ind w:left="780" w:right="60"/>
        <w:spacing w:after="0" w:line="273" w:lineRule="auto"/>
        <w:rPr>
          <w:sz w:val="20"/>
          <w:szCs w:val="20"/>
          <w:color w:val="auto"/>
        </w:rPr>
      </w:pPr>
      <w:r>
        <w:rPr>
          <w:rFonts w:ascii="Times New Roman" w:cs="Times New Roman" w:eastAsia="Times New Roman" w:hAnsi="Times New Roman"/>
          <w:sz w:val="16"/>
          <w:szCs w:val="16"/>
          <w:color w:val="auto"/>
        </w:rPr>
        <w:t>Our platform consists of three complementary aspects: a digital asset marketplace, loyalty redemption services and an alternative payment method. Our institutional grade technology platform is at the core of everything we do. It is secure and regulated, born out of our heritage with our former parent company, Intercontinental Exchange, Inc. (“ICE”) (NYSE: “ICE”).</w:t>
      </w:r>
    </w:p>
    <w:p>
      <w:pPr>
        <w:spacing w:after="0" w:line="157" w:lineRule="exact"/>
        <w:rPr>
          <w:sz w:val="20"/>
          <w:szCs w:val="20"/>
          <w:color w:val="auto"/>
        </w:rPr>
      </w:pPr>
    </w:p>
    <w:p>
      <w:pPr>
        <w:ind w:left="780" w:right="80"/>
        <w:spacing w:after="0" w:line="260" w:lineRule="auto"/>
        <w:rPr>
          <w:sz w:val="20"/>
          <w:szCs w:val="20"/>
          <w:color w:val="auto"/>
        </w:rPr>
      </w:pPr>
      <w:r>
        <w:rPr>
          <w:rFonts w:ascii="Times New Roman" w:cs="Times New Roman" w:eastAsia="Times New Roman" w:hAnsi="Times New Roman"/>
          <w:sz w:val="16"/>
          <w:szCs w:val="16"/>
          <w:color w:val="auto"/>
        </w:rPr>
        <w:t>As Bakkt’s business model evolved, starting first from a crypto futures and custody heritage, we saw the opportunity to expand our offerings into numerous classes of digital assets. Our acquisition of Bridge2 Solutions and its affiliated companies (collectively, “Bridge2 Solutions”), including their then-parent company B2S Holdings, Inc., in February 2020 accelerated our connection to loyalty and rewards asset classes, and the launch of our branded consumer app and a number of key partnerships in 2021 furthered our payments and consumer crypto offerings. We have thoughtfully built a unique and powerful platform, melding together institutional-grade loyalty services to complement our institutional grade crypto capabilities. Our platform capabilities include end-to-end services for our partners, which includes easily digestible technology services, 24/7 customer support and marketing playbooks. The power of these activities on our platform drives our vision – connecting the digital economy – for Bakkt and our partners.</w:t>
      </w:r>
    </w:p>
    <w:p>
      <w:pPr>
        <w:spacing w:after="0" w:line="17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We file annual, quarterly and current reports, proxy statements and other information with the SEC. The SEC maintains an Internet website</w:t>
      </w:r>
    </w:p>
    <w:p>
      <w:pPr>
        <w:spacing w:after="0" w:line="28" w:lineRule="exact"/>
        <w:rPr>
          <w:sz w:val="20"/>
          <w:szCs w:val="20"/>
          <w:color w:val="auto"/>
        </w:rPr>
      </w:pPr>
    </w:p>
    <w:p>
      <w:pPr>
        <w:ind w:left="780" w:right="120"/>
        <w:spacing w:after="0" w:line="255" w:lineRule="auto"/>
        <w:rPr>
          <w:sz w:val="20"/>
          <w:szCs w:val="20"/>
          <w:color w:val="auto"/>
        </w:rPr>
      </w:pPr>
      <w:r>
        <w:rPr>
          <w:rFonts w:ascii="Times New Roman" w:cs="Times New Roman" w:eastAsia="Times New Roman" w:hAnsi="Times New Roman"/>
          <w:sz w:val="16"/>
          <w:szCs w:val="16"/>
          <w:color w:val="auto"/>
        </w:rPr>
        <w:t xml:space="preserve">at </w:t>
      </w:r>
      <w:r>
        <w:rPr>
          <w:rFonts w:ascii="Times New Roman" w:cs="Times New Roman" w:eastAsia="Times New Roman" w:hAnsi="Times New Roman"/>
          <w:sz w:val="16"/>
          <w:szCs w:val="16"/>
          <w:i w:val="1"/>
          <w:iCs w:val="1"/>
          <w:color w:val="auto"/>
        </w:rPr>
        <w:t>www.bakkt.com</w:t>
      </w:r>
      <w:r>
        <w:rPr>
          <w:rFonts w:ascii="Times New Roman" w:cs="Times New Roman" w:eastAsia="Times New Roman" w:hAnsi="Times New Roman"/>
          <w:sz w:val="16"/>
          <w:szCs w:val="16"/>
          <w:color w:val="auto"/>
        </w:rPr>
        <w:t xml:space="preserve"> that contains reports, proxy and information statements and other information about issuers, like us, that file electronically with the SEC. We also maintain a website at </w:t>
      </w:r>
      <w:r>
        <w:rPr>
          <w:rFonts w:ascii="Times New Roman" w:cs="Times New Roman" w:eastAsia="Times New Roman" w:hAnsi="Times New Roman"/>
          <w:sz w:val="16"/>
          <w:szCs w:val="16"/>
          <w:i w:val="1"/>
          <w:iCs w:val="1"/>
          <w:color w:val="auto"/>
        </w:rPr>
        <w:t>www.bakkt.com</w:t>
      </w:r>
      <w:r>
        <w:rPr>
          <w:rFonts w:ascii="Times New Roman" w:cs="Times New Roman" w:eastAsia="Times New Roman" w:hAnsi="Times New Roman"/>
          <w:sz w:val="16"/>
          <w:szCs w:val="16"/>
          <w:color w:val="auto"/>
        </w:rPr>
        <w:t xml:space="preserve"> . We make available, free of charge, on our investor relations website</w:t>
      </w:r>
    </w:p>
    <w:p>
      <w:pPr>
        <w:spacing w:after="0" w:line="1" w:lineRule="exact"/>
        <w:rPr>
          <w:sz w:val="20"/>
          <w:szCs w:val="20"/>
          <w:color w:val="auto"/>
        </w:rPr>
      </w:pPr>
    </w:p>
    <w:p>
      <w:pPr>
        <w:ind w:left="780" w:right="20"/>
        <w:spacing w:after="0" w:line="261" w:lineRule="auto"/>
        <w:rPr>
          <w:sz w:val="20"/>
          <w:szCs w:val="20"/>
          <w:color w:val="auto"/>
        </w:rPr>
      </w:pPr>
      <w:r>
        <w:rPr>
          <w:rFonts w:ascii="Times New Roman" w:cs="Times New Roman" w:eastAsia="Times New Roman" w:hAnsi="Times New Roman"/>
          <w:sz w:val="16"/>
          <w:szCs w:val="16"/>
          <w:color w:val="auto"/>
        </w:rPr>
        <w:t>at https://investors.bakkt.com our Annual Reports on Form 10-K, Quarterly Reports on Form 10-Q, Current Reports on Form 8-K and amendments to these reports as soon as reasonably practicable after electronically filing or furnishing those reports to the SEC. Information contained on our website is not a part of or incorporated by reference into this prospectus and the inclusion of our website and investor relations website addresses in this prospectus is an inactive textual reference only.</w:t>
      </w:r>
    </w:p>
    <w:p>
      <w:pPr>
        <w:spacing w:after="0" w:line="25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Organizational Structure</w:t>
      </w:r>
    </w:p>
    <w:p>
      <w:pPr>
        <w:spacing w:after="0" w:line="114" w:lineRule="exact"/>
        <w:rPr>
          <w:sz w:val="20"/>
          <w:szCs w:val="20"/>
          <w:color w:val="auto"/>
        </w:rPr>
      </w:pPr>
    </w:p>
    <w:p>
      <w:pPr>
        <w:ind w:left="780"/>
        <w:spacing w:after="0" w:line="273" w:lineRule="auto"/>
        <w:rPr>
          <w:sz w:val="20"/>
          <w:szCs w:val="20"/>
          <w:color w:val="auto"/>
        </w:rPr>
      </w:pPr>
      <w:r>
        <w:rPr>
          <w:rFonts w:ascii="Times New Roman" w:cs="Times New Roman" w:eastAsia="Times New Roman" w:hAnsi="Times New Roman"/>
          <w:sz w:val="16"/>
          <w:szCs w:val="16"/>
          <w:color w:val="auto"/>
        </w:rPr>
        <w:t>The following diagram illustrates our ownership structure as of March 25, 2022. The equity interests reflected in the diagram include (i) 43,645,635 shares of Class A Common Stock that are publicly traded or, following the effectiveness of the registration statement of which this prospectus forms a part, will be available to be publicly</w:t>
      </w:r>
    </w:p>
    <w:p>
      <w:pPr>
        <w:spacing w:after="0" w:line="2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460"/>
          </w:cols>
          <w:pgMar w:left="320" w:top="452" w:right="1119" w:bottom="1440" w:gutter="0" w:footer="0" w:header="0"/>
        </w:sectPr>
      </w:pPr>
    </w:p>
    <w:bookmarkStart w:id="8" w:name="page9"/>
    <w:bookmarkEnd w:id="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187960</wp:posOffset>
            </wp:positionV>
            <wp:extent cx="6355715" cy="5958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5715" cy="595884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780"/>
        <w:spacing w:after="0" w:line="262" w:lineRule="auto"/>
        <w:rPr>
          <w:sz w:val="20"/>
          <w:szCs w:val="20"/>
          <w:color w:val="auto"/>
        </w:rPr>
      </w:pPr>
      <w:r>
        <w:rPr>
          <w:rFonts w:ascii="Times New Roman" w:cs="Times New Roman" w:eastAsia="Times New Roman" w:hAnsi="Times New Roman"/>
          <w:sz w:val="16"/>
          <w:szCs w:val="16"/>
          <w:color w:val="auto"/>
        </w:rPr>
        <w:t>traded, (ii) 206,796,622 shares of Class V Common Stock (206,003,270 of which are outstanding and 793,352 of which are issuable upon exercise of a warrant, and which, along with an equal number of Opco Units, comprise an equal number of Paired Interests) and 5,296,659 shares of Class A Common Stock held by the Opco Equityholders, including ICE, (iii) 8,222,194 shares of Class A Common Stock held by the Sponsor and (iv)</w:t>
      </w:r>
    </w:p>
    <w:p>
      <w:pPr>
        <w:spacing w:after="0" w:line="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7,140,929 Warrants that are traded publicly.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60" w:hanging="371"/>
        <w:spacing w:after="0"/>
        <w:tabs>
          <w:tab w:leader="none" w:pos="11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Opco Equityholders are entitled to certain payments under the Tax Receivable Agreement (as defined below).</w:t>
      </w:r>
    </w:p>
    <w:p>
      <w:pPr>
        <w:spacing w:after="0" w:line="27" w:lineRule="exact"/>
        <w:rPr>
          <w:rFonts w:ascii="Times New Roman" w:cs="Times New Roman" w:eastAsia="Times New Roman" w:hAnsi="Times New Roman"/>
          <w:sz w:val="16"/>
          <w:szCs w:val="16"/>
          <w:color w:val="auto"/>
        </w:rPr>
      </w:pPr>
    </w:p>
    <w:p>
      <w:pPr>
        <w:ind w:left="1160" w:hanging="371"/>
        <w:spacing w:after="0" w:line="271" w:lineRule="auto"/>
        <w:tabs>
          <w:tab w:leader="none" w:pos="11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Opco Common Unit, together with one share of Class V Common Stock, are exchangeable in accordance with the Exchange Agreement for one share of Class A Common Stock or, at the Company’s election, cash in lieu of Class A Common Stock.</w:t>
      </w:r>
    </w:p>
    <w:p>
      <w:pPr>
        <w:spacing w:after="0" w:line="25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Risk Factors Summary</w:t>
      </w:r>
    </w:p>
    <w:p>
      <w:pPr>
        <w:spacing w:after="0" w:line="112" w:lineRule="exact"/>
        <w:rPr>
          <w:sz w:val="20"/>
          <w:szCs w:val="20"/>
          <w:color w:val="auto"/>
        </w:rPr>
      </w:pPr>
    </w:p>
    <w:p>
      <w:pPr>
        <w:ind w:left="780" w:right="700"/>
        <w:spacing w:after="0" w:line="294" w:lineRule="auto"/>
        <w:rPr>
          <w:sz w:val="20"/>
          <w:szCs w:val="20"/>
          <w:color w:val="auto"/>
        </w:rPr>
      </w:pPr>
      <w:r>
        <w:rPr>
          <w:rFonts w:ascii="Times New Roman" w:cs="Times New Roman" w:eastAsia="Times New Roman" w:hAnsi="Times New Roman"/>
          <w:sz w:val="16"/>
          <w:szCs w:val="16"/>
          <w:color w:val="auto"/>
        </w:rPr>
        <w:t>Our business is subject to numerous risks and uncertainties, including those highlighted in the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immediately following this prospectus summary. The following is a summary of the principal risks we face:</w:t>
      </w:r>
    </w:p>
    <w:p>
      <w:pPr>
        <w:spacing w:after="0" w:line="23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Risks Related to Our Business, Finances and Operations</w:t>
      </w:r>
    </w:p>
    <w:p>
      <w:pPr>
        <w:spacing w:after="0" w:line="124" w:lineRule="exact"/>
        <w:rPr>
          <w:sz w:val="20"/>
          <w:szCs w:val="20"/>
          <w:color w:val="auto"/>
        </w:rPr>
      </w:pPr>
    </w:p>
    <w:p>
      <w:pPr>
        <w:ind w:left="5580" w:right="1260" w:hanging="4313"/>
        <w:spacing w:after="0" w:line="457" w:lineRule="auto"/>
        <w:tabs>
          <w:tab w:leader="none" w:pos="16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model is newly developed and may encounter additional risks and challenges as it grows and changes; 5</w:t>
      </w:r>
    </w:p>
    <w:p>
      <w:pPr>
        <w:sectPr>
          <w:pgSz w:w="11900" w:h="16838" w:orient="portrait"/>
          <w:cols w:equalWidth="0" w:num="1">
            <w:col w:w="10440"/>
          </w:cols>
          <w:pgMar w:left="320" w:top="452" w:right="1139" w:bottom="1440" w:gutter="0" w:footer="0" w:header="0"/>
        </w:sectPr>
      </w:pPr>
    </w:p>
    <w:bookmarkStart w:id="9" w:name="page10"/>
    <w:bookmarkEnd w:id="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187960</wp:posOffset>
            </wp:positionV>
            <wp:extent cx="6355715" cy="6099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5715" cy="609917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640" w:hanging="373"/>
        <w:spacing w:after="0"/>
        <w:tabs>
          <w:tab w:leader="none" w:pos="1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platform is still in the early stages of its release and is largely untested;</w:t>
      </w:r>
    </w:p>
    <w:p>
      <w:pPr>
        <w:spacing w:after="0" w:line="122" w:lineRule="exact"/>
        <w:rPr>
          <w:rFonts w:ascii="Times New Roman" w:cs="Times New Roman" w:eastAsia="Times New Roman" w:hAnsi="Times New Roman"/>
          <w:sz w:val="16"/>
          <w:szCs w:val="16"/>
          <w:color w:val="auto"/>
        </w:rPr>
      </w:pPr>
    </w:p>
    <w:p>
      <w:pPr>
        <w:ind w:left="1640" w:hanging="373"/>
        <w:spacing w:after="0"/>
        <w:tabs>
          <w:tab w:leader="none" w:pos="1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add additional functionalities and digital assets to our platform may adversely affect future growth;</w:t>
      </w:r>
    </w:p>
    <w:p>
      <w:pPr>
        <w:spacing w:after="0" w:line="122" w:lineRule="exact"/>
        <w:rPr>
          <w:rFonts w:ascii="Times New Roman" w:cs="Times New Roman" w:eastAsia="Times New Roman" w:hAnsi="Times New Roman"/>
          <w:sz w:val="16"/>
          <w:szCs w:val="16"/>
          <w:color w:val="auto"/>
        </w:rPr>
      </w:pPr>
    </w:p>
    <w:p>
      <w:pPr>
        <w:ind w:left="1640" w:hanging="373"/>
        <w:spacing w:after="0"/>
        <w:tabs>
          <w:tab w:leader="none" w:pos="1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limited operating history and a history of operating losses;</w:t>
      </w:r>
    </w:p>
    <w:p>
      <w:pPr>
        <w:spacing w:after="0" w:line="122" w:lineRule="exact"/>
        <w:rPr>
          <w:rFonts w:ascii="Times New Roman" w:cs="Times New Roman" w:eastAsia="Times New Roman" w:hAnsi="Times New Roman"/>
          <w:sz w:val="16"/>
          <w:szCs w:val="16"/>
          <w:color w:val="auto"/>
        </w:rPr>
      </w:pPr>
    </w:p>
    <w:p>
      <w:pPr>
        <w:ind w:left="1640" w:hanging="373"/>
        <w:spacing w:after="0"/>
        <w:tabs>
          <w:tab w:leader="none" w:pos="1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estimates of market opportunity and forecasts of market growth may be inaccurate;</w:t>
      </w:r>
    </w:p>
    <w:p>
      <w:pPr>
        <w:spacing w:after="0" w:line="122" w:lineRule="exact"/>
        <w:rPr>
          <w:rFonts w:ascii="Times New Roman" w:cs="Times New Roman" w:eastAsia="Times New Roman" w:hAnsi="Times New Roman"/>
          <w:sz w:val="16"/>
          <w:szCs w:val="16"/>
          <w:color w:val="auto"/>
        </w:rPr>
      </w:pPr>
    </w:p>
    <w:p>
      <w:pPr>
        <w:ind w:left="1640" w:right="80" w:hanging="373"/>
        <w:spacing w:after="0" w:line="291" w:lineRule="auto"/>
        <w:tabs>
          <w:tab w:leader="none" w:pos="1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attract additional enterprise or loyalty partners and retain and grow our relationships with our existing enterprise or loyalty partners;</w:t>
      </w:r>
    </w:p>
    <w:p>
      <w:pPr>
        <w:spacing w:after="0" w:line="56" w:lineRule="exact"/>
        <w:rPr>
          <w:rFonts w:ascii="Times New Roman" w:cs="Times New Roman" w:eastAsia="Times New Roman" w:hAnsi="Times New Roman"/>
          <w:sz w:val="16"/>
          <w:szCs w:val="16"/>
          <w:color w:val="auto"/>
        </w:rPr>
      </w:pPr>
    </w:p>
    <w:p>
      <w:pPr>
        <w:ind w:left="1640" w:hanging="373"/>
        <w:spacing w:after="0"/>
        <w:tabs>
          <w:tab w:leader="none" w:pos="1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increasingly intense competition in our markets;</w:t>
      </w:r>
    </w:p>
    <w:p>
      <w:pPr>
        <w:spacing w:after="0" w:line="122" w:lineRule="exact"/>
        <w:rPr>
          <w:rFonts w:ascii="Times New Roman" w:cs="Times New Roman" w:eastAsia="Times New Roman" w:hAnsi="Times New Roman"/>
          <w:sz w:val="16"/>
          <w:szCs w:val="16"/>
          <w:color w:val="auto"/>
        </w:rPr>
      </w:pPr>
    </w:p>
    <w:p>
      <w:pPr>
        <w:ind w:left="1640" w:hanging="373"/>
        <w:spacing w:after="0"/>
        <w:tabs>
          <w:tab w:leader="none" w:pos="1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fail to maintain consistently high levels of user satisfaction and trust;</w:t>
      </w:r>
    </w:p>
    <w:p>
      <w:pPr>
        <w:spacing w:after="0" w:line="122" w:lineRule="exact"/>
        <w:rPr>
          <w:rFonts w:ascii="Times New Roman" w:cs="Times New Roman" w:eastAsia="Times New Roman" w:hAnsi="Times New Roman"/>
          <w:sz w:val="16"/>
          <w:szCs w:val="16"/>
          <w:color w:val="auto"/>
        </w:rPr>
      </w:pPr>
    </w:p>
    <w:p>
      <w:pPr>
        <w:ind w:left="1640" w:hanging="373"/>
        <w:spacing w:after="0"/>
        <w:tabs>
          <w:tab w:leader="none" w:pos="1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successfully transition certain services provided to us by ICE in the past;</w:t>
      </w:r>
    </w:p>
    <w:p>
      <w:pPr>
        <w:spacing w:after="0" w:line="122" w:lineRule="exact"/>
        <w:rPr>
          <w:rFonts w:ascii="Times New Roman" w:cs="Times New Roman" w:eastAsia="Times New Roman" w:hAnsi="Times New Roman"/>
          <w:sz w:val="16"/>
          <w:szCs w:val="16"/>
          <w:color w:val="auto"/>
        </w:rPr>
      </w:pPr>
    </w:p>
    <w:p>
      <w:pPr>
        <w:ind w:left="1640" w:hanging="373"/>
        <w:spacing w:after="0"/>
        <w:tabs>
          <w:tab w:leader="none" w:pos="1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the availability of third-party services and they may experience disruption or performance or regulatory problems;</w:t>
      </w:r>
    </w:p>
    <w:p>
      <w:pPr>
        <w:spacing w:after="0" w:line="122" w:lineRule="exact"/>
        <w:rPr>
          <w:rFonts w:ascii="Times New Roman" w:cs="Times New Roman" w:eastAsia="Times New Roman" w:hAnsi="Times New Roman"/>
          <w:sz w:val="16"/>
          <w:szCs w:val="16"/>
          <w:color w:val="auto"/>
        </w:rPr>
      </w:pPr>
    </w:p>
    <w:p>
      <w:pPr>
        <w:ind w:left="1640" w:right="380" w:hanging="373"/>
        <w:spacing w:after="0" w:line="291" w:lineRule="auto"/>
        <w:tabs>
          <w:tab w:leader="none" w:pos="1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experience rapid growth, our operational, administrative and financial resources may be strained and unable to sustain such growth; and</w:t>
      </w:r>
    </w:p>
    <w:p>
      <w:pPr>
        <w:spacing w:after="0" w:line="56" w:lineRule="exact"/>
        <w:rPr>
          <w:rFonts w:ascii="Times New Roman" w:cs="Times New Roman" w:eastAsia="Times New Roman" w:hAnsi="Times New Roman"/>
          <w:sz w:val="16"/>
          <w:szCs w:val="16"/>
          <w:color w:val="auto"/>
        </w:rPr>
      </w:pPr>
    </w:p>
    <w:p>
      <w:pPr>
        <w:ind w:left="1640" w:hanging="373"/>
        <w:spacing w:after="0"/>
        <w:tabs>
          <w:tab w:leader="none" w:pos="1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COVID-19 pandemic may significantly affect our business and operations.</w:t>
      </w:r>
    </w:p>
    <w:p>
      <w:pPr>
        <w:spacing w:after="0" w:line="30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Risks Related to Cryptoassets</w:t>
      </w:r>
    </w:p>
    <w:p>
      <w:pPr>
        <w:spacing w:after="0" w:line="124" w:lineRule="exact"/>
        <w:rPr>
          <w:sz w:val="20"/>
          <w:szCs w:val="20"/>
          <w:color w:val="auto"/>
        </w:rPr>
      </w:pPr>
    </w:p>
    <w:p>
      <w:pPr>
        <w:ind w:left="1640" w:right="60" w:hanging="373"/>
        <w:spacing w:after="0" w:line="291" w:lineRule="auto"/>
        <w:tabs>
          <w:tab w:leader="none" w:pos="1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cryptoasset custodial solutions and related technology, which may experience theft, employee or vendor sabotage, security and cybersecurity risks, system failures and other operational issues which could damage our reputation and brand;</w:t>
      </w:r>
    </w:p>
    <w:p>
      <w:pPr>
        <w:spacing w:after="0" w:line="56" w:lineRule="exact"/>
        <w:rPr>
          <w:rFonts w:ascii="Times New Roman" w:cs="Times New Roman" w:eastAsia="Times New Roman" w:hAnsi="Times New Roman"/>
          <w:sz w:val="16"/>
          <w:szCs w:val="16"/>
          <w:color w:val="auto"/>
        </w:rPr>
      </w:pPr>
    </w:p>
    <w:p>
      <w:pPr>
        <w:ind w:left="1640" w:hanging="373"/>
        <w:spacing w:after="0"/>
        <w:tabs>
          <w:tab w:leader="none" w:pos="1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cryptoasset business’s pricing model and incentive arrangements may create conflicts of interest and affect our revenues;</w:t>
      </w:r>
    </w:p>
    <w:p>
      <w:pPr>
        <w:spacing w:after="0" w:line="122" w:lineRule="exact"/>
        <w:rPr>
          <w:rFonts w:ascii="Times New Roman" w:cs="Times New Roman" w:eastAsia="Times New Roman" w:hAnsi="Times New Roman"/>
          <w:sz w:val="16"/>
          <w:szCs w:val="16"/>
          <w:color w:val="auto"/>
        </w:rPr>
      </w:pPr>
    </w:p>
    <w:p>
      <w:pPr>
        <w:ind w:left="1640" w:right="300" w:hanging="373"/>
        <w:spacing w:after="0" w:line="291" w:lineRule="auto"/>
        <w:tabs>
          <w:tab w:leader="none" w:pos="1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a general perception among regulators and others that cryptoassets are used to facilitate illegal activity such as fraud, money laundering, tax evasion and ransomware scams;</w:t>
      </w:r>
    </w:p>
    <w:p>
      <w:pPr>
        <w:spacing w:after="0" w:line="56" w:lineRule="exact"/>
        <w:rPr>
          <w:rFonts w:ascii="Times New Roman" w:cs="Times New Roman" w:eastAsia="Times New Roman" w:hAnsi="Times New Roman"/>
          <w:sz w:val="16"/>
          <w:szCs w:val="16"/>
          <w:color w:val="auto"/>
        </w:rPr>
      </w:pPr>
    </w:p>
    <w:p>
      <w:pPr>
        <w:ind w:left="1640" w:right="460" w:hanging="373"/>
        <w:spacing w:after="0" w:line="291" w:lineRule="auto"/>
        <w:tabs>
          <w:tab w:leader="none" w:pos="1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cryptoassets, such as bitcoin, do not have extensive historical precedence and distributed ledger technology continues to rapidly evolve;</w:t>
      </w:r>
    </w:p>
    <w:p>
      <w:pPr>
        <w:spacing w:after="0" w:line="56" w:lineRule="exact"/>
        <w:rPr>
          <w:rFonts w:ascii="Times New Roman" w:cs="Times New Roman" w:eastAsia="Times New Roman" w:hAnsi="Times New Roman"/>
          <w:sz w:val="16"/>
          <w:szCs w:val="16"/>
          <w:color w:val="auto"/>
        </w:rPr>
      </w:pPr>
    </w:p>
    <w:p>
      <w:pPr>
        <w:ind w:left="1640" w:hanging="373"/>
        <w:spacing w:after="0"/>
        <w:tabs>
          <w:tab w:leader="none" w:pos="1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cryptoassets are subject to volatile price fluctuations which can impact our business;</w:t>
      </w:r>
    </w:p>
    <w:p>
      <w:pPr>
        <w:spacing w:after="0" w:line="122" w:lineRule="exact"/>
        <w:rPr>
          <w:rFonts w:ascii="Times New Roman" w:cs="Times New Roman" w:eastAsia="Times New Roman" w:hAnsi="Times New Roman"/>
          <w:sz w:val="16"/>
          <w:szCs w:val="16"/>
          <w:color w:val="auto"/>
        </w:rPr>
      </w:pPr>
    </w:p>
    <w:p>
      <w:pPr>
        <w:ind w:left="1640" w:right="400" w:hanging="373"/>
        <w:spacing w:after="0" w:line="291" w:lineRule="auto"/>
        <w:tabs>
          <w:tab w:leader="none" w:pos="1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results and the market price of our securities may be adversely affected if price volatility of cryptoassets causes our internal market maker algorithm to malfunction;</w:t>
      </w:r>
    </w:p>
    <w:p>
      <w:pPr>
        <w:spacing w:after="0" w:line="56" w:lineRule="exact"/>
        <w:rPr>
          <w:rFonts w:ascii="Times New Roman" w:cs="Times New Roman" w:eastAsia="Times New Roman" w:hAnsi="Times New Roman"/>
          <w:sz w:val="16"/>
          <w:szCs w:val="16"/>
          <w:color w:val="auto"/>
        </w:rPr>
      </w:pPr>
    </w:p>
    <w:p>
      <w:pPr>
        <w:ind w:left="1640" w:right="640" w:hanging="373"/>
        <w:spacing w:after="0" w:line="291" w:lineRule="auto"/>
        <w:tabs>
          <w:tab w:leader="none" w:pos="1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underlying smart contracts for cryptoassets do not operate as expected, they could lose value and our business could be adversely affected; and</w:t>
      </w:r>
    </w:p>
    <w:p>
      <w:pPr>
        <w:spacing w:after="0" w:line="56" w:lineRule="exact"/>
        <w:rPr>
          <w:rFonts w:ascii="Times New Roman" w:cs="Times New Roman" w:eastAsia="Times New Roman" w:hAnsi="Times New Roman"/>
          <w:sz w:val="16"/>
          <w:szCs w:val="16"/>
          <w:color w:val="auto"/>
        </w:rPr>
      </w:pPr>
    </w:p>
    <w:p>
      <w:pPr>
        <w:ind w:left="1640" w:right="340" w:hanging="373"/>
        <w:spacing w:after="0" w:line="291" w:lineRule="auto"/>
        <w:tabs>
          <w:tab w:leader="none" w:pos="1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encounter technical issues in connection with the integration of supported cryptoassets and changes and upgrades to their underlying networks, which could adversely affect our business.</w:t>
      </w:r>
    </w:p>
    <w:p>
      <w:pPr>
        <w:spacing w:after="0" w:line="2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Risks Related to Regulation, Taxation and Laws</w:t>
      </w:r>
    </w:p>
    <w:p>
      <w:pPr>
        <w:spacing w:after="0" w:line="124" w:lineRule="exact"/>
        <w:rPr>
          <w:sz w:val="20"/>
          <w:szCs w:val="20"/>
          <w:color w:val="auto"/>
        </w:rPr>
      </w:pPr>
    </w:p>
    <w:p>
      <w:pPr>
        <w:ind w:left="1640" w:hanging="373"/>
        <w:spacing w:after="0" w:line="291" w:lineRule="auto"/>
        <w:tabs>
          <w:tab w:leader="none" w:pos="1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extensive government regulation, oversight, licensure and appraisals and our failure to comply could materially harm our business;</w:t>
      </w:r>
    </w:p>
    <w:p>
      <w:pPr>
        <w:spacing w:after="0" w:line="56" w:lineRule="exact"/>
        <w:rPr>
          <w:rFonts w:ascii="Times New Roman" w:cs="Times New Roman" w:eastAsia="Times New Roman" w:hAnsi="Times New Roman"/>
          <w:sz w:val="16"/>
          <w:szCs w:val="16"/>
          <w:color w:val="auto"/>
        </w:rPr>
      </w:pPr>
    </w:p>
    <w:p>
      <w:pPr>
        <w:ind w:left="1640" w:right="20" w:hanging="373"/>
        <w:spacing w:after="0" w:line="291" w:lineRule="auto"/>
        <w:tabs>
          <w:tab w:leader="none" w:pos="1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state and federal regulatory regime governing blockchain technologies and cryptocurrencies is uncertain, and new regulations or policies may alter our business practices with respect to cryptocurrencies;</w:t>
      </w: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440"/>
          </w:cols>
          <w:pgMar w:left="320" w:top="452" w:right="1139" w:bottom="1440" w:gutter="0" w:footer="0" w:header="0"/>
        </w:sectPr>
      </w:pPr>
    </w:p>
    <w:bookmarkStart w:id="10" w:name="page11"/>
    <w:bookmarkEnd w:id="1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187960</wp:posOffset>
            </wp:positionV>
            <wp:extent cx="6355715" cy="5764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5715" cy="576453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640" w:right="60" w:hanging="373"/>
        <w:spacing w:after="0" w:line="291" w:lineRule="auto"/>
        <w:tabs>
          <w:tab w:leader="none" w:pos="1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assets are currently subject to many different, and potentially overlapping, regulatory regimes, and may in the future be subject to different regulatory regimes than those that are currently in effect; and</w:t>
      </w:r>
    </w:p>
    <w:p>
      <w:pPr>
        <w:spacing w:after="0" w:line="56" w:lineRule="exact"/>
        <w:rPr>
          <w:rFonts w:ascii="Times New Roman" w:cs="Times New Roman" w:eastAsia="Times New Roman" w:hAnsi="Times New Roman"/>
          <w:sz w:val="16"/>
          <w:szCs w:val="16"/>
          <w:color w:val="auto"/>
        </w:rPr>
      </w:pPr>
    </w:p>
    <w:p>
      <w:pPr>
        <w:ind w:left="1640" w:right="60" w:hanging="373"/>
        <w:spacing w:after="0" w:line="291" w:lineRule="auto"/>
        <w:tabs>
          <w:tab w:leader="none" w:pos="1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complying with evolving privacy and other data related laws and requirements may be expensive and force us to make changes to our business.</w:t>
      </w:r>
    </w:p>
    <w:p>
      <w:pPr>
        <w:spacing w:after="0" w:line="2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Risks Related to Information Technology and Data</w:t>
      </w:r>
    </w:p>
    <w:p>
      <w:pPr>
        <w:spacing w:after="0" w:line="124" w:lineRule="exact"/>
        <w:rPr>
          <w:sz w:val="20"/>
          <w:szCs w:val="20"/>
          <w:color w:val="auto"/>
        </w:rPr>
      </w:pPr>
    </w:p>
    <w:p>
      <w:pPr>
        <w:ind w:left="1640" w:right="140" w:hanging="373"/>
        <w:spacing w:after="0" w:line="291" w:lineRule="auto"/>
        <w:tabs>
          <w:tab w:leader="none" w:pos="1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perceived cyberattacks, security incidents, or breaches could result in serious harm to our reputation, business and financial condition.</w:t>
      </w:r>
    </w:p>
    <w:p>
      <w:pPr>
        <w:spacing w:after="0" w:line="2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Risks Related to Risk Management and Financial Reporting</w:t>
      </w:r>
    </w:p>
    <w:p>
      <w:pPr>
        <w:spacing w:after="0" w:line="124" w:lineRule="exact"/>
        <w:rPr>
          <w:sz w:val="20"/>
          <w:szCs w:val="20"/>
          <w:color w:val="auto"/>
        </w:rPr>
      </w:pPr>
    </w:p>
    <w:p>
      <w:pPr>
        <w:ind w:left="1640" w:right="360" w:hanging="373"/>
        <w:spacing w:after="0" w:line="291" w:lineRule="auto"/>
        <w:tabs>
          <w:tab w:leader="none" w:pos="1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maintain effective internal controls over financial reporting, we may be unable to produce timely and accurate financial statements, which could have a material effect on our business.</w:t>
      </w:r>
    </w:p>
    <w:p>
      <w:pPr>
        <w:spacing w:after="0" w:line="2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Risks Related to Our Securities</w:t>
      </w:r>
    </w:p>
    <w:p>
      <w:pPr>
        <w:spacing w:after="0" w:line="124" w:lineRule="exact"/>
        <w:rPr>
          <w:sz w:val="20"/>
          <w:szCs w:val="20"/>
          <w:color w:val="auto"/>
        </w:rPr>
      </w:pPr>
    </w:p>
    <w:p>
      <w:pPr>
        <w:ind w:left="1640" w:right="20" w:hanging="373"/>
        <w:spacing w:after="0" w:line="291" w:lineRule="auto"/>
        <w:tabs>
          <w:tab w:leader="none" w:pos="1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significant portion of our total outstanding securities are restricted from immediate resale but may be sold into the market in the near future, which could cause the market price of our securities to drop significantly, even if our business is doing well.</w:t>
      </w:r>
    </w:p>
    <w:p>
      <w:pPr>
        <w:spacing w:after="0" w:line="23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114" w:lineRule="exact"/>
        <w:rPr>
          <w:sz w:val="20"/>
          <w:szCs w:val="20"/>
          <w:color w:val="auto"/>
        </w:rPr>
      </w:pPr>
    </w:p>
    <w:p>
      <w:pPr>
        <w:ind w:left="780" w:right="60"/>
        <w:spacing w:after="0" w:line="273" w:lineRule="auto"/>
        <w:rPr>
          <w:sz w:val="20"/>
          <w:szCs w:val="20"/>
          <w:color w:val="auto"/>
        </w:rPr>
      </w:pPr>
      <w:r>
        <w:rPr>
          <w:rFonts w:ascii="Times New Roman" w:cs="Times New Roman" w:eastAsia="Times New Roman" w:hAnsi="Times New Roman"/>
          <w:sz w:val="16"/>
          <w:szCs w:val="16"/>
          <w:color w:val="auto"/>
        </w:rPr>
        <w:t xml:space="preserve">Our principal executive offices are located at 10000 Avalon Boulevard, Suite 1000, Alpharetta, Georgia 30009. Our telephone number is (678) 534-5849. Our website is </w:t>
      </w:r>
      <w:r>
        <w:rPr>
          <w:rFonts w:ascii="Times New Roman" w:cs="Times New Roman" w:eastAsia="Times New Roman" w:hAnsi="Times New Roman"/>
          <w:sz w:val="16"/>
          <w:szCs w:val="16"/>
          <w:i w:val="1"/>
          <w:iCs w:val="1"/>
          <w:color w:val="auto"/>
        </w:rPr>
        <w:t>https://www.bakkt.com</w:t>
      </w:r>
      <w:r>
        <w:rPr>
          <w:rFonts w:ascii="Times New Roman" w:cs="Times New Roman" w:eastAsia="Times New Roman" w:hAnsi="Times New Roman"/>
          <w:sz w:val="16"/>
          <w:szCs w:val="16"/>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5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Implications of Being an Emerging Growth Company and a Smaller Reporting Company</w:t>
      </w:r>
    </w:p>
    <w:p>
      <w:pPr>
        <w:spacing w:after="0" w:line="114" w:lineRule="exact"/>
        <w:rPr>
          <w:sz w:val="20"/>
          <w:szCs w:val="20"/>
          <w:color w:val="auto"/>
        </w:rPr>
      </w:pPr>
    </w:p>
    <w:p>
      <w:pPr>
        <w:ind w:left="780"/>
        <w:spacing w:after="0" w:line="291" w:lineRule="auto"/>
        <w:rPr>
          <w:sz w:val="20"/>
          <w:szCs w:val="20"/>
          <w:color w:val="auto"/>
        </w:rPr>
      </w:pPr>
      <w:r>
        <w:rPr>
          <w:rFonts w:ascii="Times New Roman" w:cs="Times New Roman" w:eastAsia="Times New Roman" w:hAnsi="Times New Roman"/>
          <w:sz w:val="16"/>
          <w:szCs w:val="16"/>
          <w:color w:val="auto"/>
        </w:rPr>
        <w:t>We are an “emerging growth company” as defined in the Jumpstart Our Business Startups Act of 2012, as amended, (the “JOBS Act”). As such, we may take advantage of reduced disclosure and other requirements otherwise generally applicable to public companies, including:</w:t>
      </w:r>
    </w:p>
    <w:p>
      <w:pPr>
        <w:spacing w:after="0" w:line="56" w:lineRule="exact"/>
        <w:rPr>
          <w:sz w:val="20"/>
          <w:szCs w:val="20"/>
          <w:color w:val="auto"/>
        </w:rPr>
      </w:pPr>
    </w:p>
    <w:p>
      <w:pPr>
        <w:ind w:left="1640" w:hanging="373"/>
        <w:spacing w:after="0"/>
        <w:tabs>
          <w:tab w:leader="none" w:pos="1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presentation of only two years of audited financial statements and related financial disclosure;</w:t>
      </w:r>
    </w:p>
    <w:p>
      <w:pPr>
        <w:spacing w:after="0" w:line="122" w:lineRule="exact"/>
        <w:rPr>
          <w:rFonts w:ascii="Times New Roman" w:cs="Times New Roman" w:eastAsia="Times New Roman" w:hAnsi="Times New Roman"/>
          <w:sz w:val="16"/>
          <w:szCs w:val="16"/>
          <w:color w:val="auto"/>
        </w:rPr>
      </w:pPr>
    </w:p>
    <w:p>
      <w:pPr>
        <w:ind w:left="1640" w:right="120" w:hanging="373"/>
        <w:spacing w:after="0" w:line="291" w:lineRule="auto"/>
        <w:tabs>
          <w:tab w:leader="none" w:pos="1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 from the requirement to have our registered independent public accounting firm attest to management’s assessment of our internal control over financial reporting;</w:t>
      </w:r>
    </w:p>
    <w:p>
      <w:pPr>
        <w:spacing w:after="0" w:line="56" w:lineRule="exact"/>
        <w:rPr>
          <w:rFonts w:ascii="Times New Roman" w:cs="Times New Roman" w:eastAsia="Times New Roman" w:hAnsi="Times New Roman"/>
          <w:sz w:val="16"/>
          <w:szCs w:val="16"/>
          <w:color w:val="auto"/>
        </w:rPr>
      </w:pPr>
    </w:p>
    <w:p>
      <w:pPr>
        <w:ind w:left="1640" w:right="340" w:hanging="373"/>
        <w:spacing w:after="0" w:line="291" w:lineRule="auto"/>
        <w:tabs>
          <w:tab w:leader="none" w:pos="1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 from compliance with the requirement of the Public Company Accounting Oversight Board, or PCAOB, regarding the communication of critical audit matters in the auditor’s report on the financial statements;</w:t>
      </w:r>
    </w:p>
    <w:p>
      <w:pPr>
        <w:spacing w:after="0" w:line="56" w:lineRule="exact"/>
        <w:rPr>
          <w:rFonts w:ascii="Times New Roman" w:cs="Times New Roman" w:eastAsia="Times New Roman" w:hAnsi="Times New Roman"/>
          <w:sz w:val="16"/>
          <w:szCs w:val="16"/>
          <w:color w:val="auto"/>
        </w:rPr>
      </w:pPr>
    </w:p>
    <w:p>
      <w:pPr>
        <w:ind w:left="1640" w:hanging="373"/>
        <w:spacing w:after="0"/>
        <w:tabs>
          <w:tab w:leader="none" w:pos="1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disclosure about our executive compensation arrangements; and</w:t>
      </w:r>
    </w:p>
    <w:p>
      <w:pPr>
        <w:spacing w:after="0" w:line="122" w:lineRule="exact"/>
        <w:rPr>
          <w:rFonts w:ascii="Times New Roman" w:cs="Times New Roman" w:eastAsia="Times New Roman" w:hAnsi="Times New Roman"/>
          <w:sz w:val="16"/>
          <w:szCs w:val="16"/>
          <w:color w:val="auto"/>
        </w:rPr>
      </w:pPr>
    </w:p>
    <w:p>
      <w:pPr>
        <w:ind w:left="1640" w:hanging="373"/>
        <w:spacing w:after="0"/>
        <w:tabs>
          <w:tab w:leader="none" w:pos="1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 from the requirement to hold non-binding advisory votes on executive compensation or golden parachute arrangements.</w:t>
      </w:r>
    </w:p>
    <w:p>
      <w:pPr>
        <w:spacing w:after="0" w:line="208" w:lineRule="exact"/>
        <w:rPr>
          <w:sz w:val="20"/>
          <w:szCs w:val="20"/>
          <w:color w:val="auto"/>
        </w:rPr>
      </w:pPr>
    </w:p>
    <w:p>
      <w:pPr>
        <w:ind w:left="780" w:right="60"/>
        <w:spacing w:after="0" w:line="273" w:lineRule="auto"/>
        <w:rPr>
          <w:sz w:val="20"/>
          <w:szCs w:val="20"/>
          <w:color w:val="auto"/>
        </w:rPr>
      </w:pPr>
      <w:r>
        <w:rPr>
          <w:rFonts w:ascii="Times New Roman" w:cs="Times New Roman" w:eastAsia="Times New Roman" w:hAnsi="Times New Roman"/>
          <w:sz w:val="16"/>
          <w:szCs w:val="16"/>
          <w:color w:val="auto"/>
        </w:rPr>
        <w:t>We will remain an emerging growth company until the earliest to occur of: (1) the last day of the fiscal year in which we have at least $1.07 billion in annual revenue; (2) the date we qualify as a “large accelerated filer, ” with at least $700.0 million of equity securities held by non-affiliates; (3) the date on which we have issued more than</w:t>
      </w:r>
    </w:p>
    <w:p>
      <w:pPr>
        <w:spacing w:after="0" w:line="2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440"/>
          </w:cols>
          <w:pgMar w:left="320" w:top="453" w:right="1139" w:bottom="1440" w:gutter="0" w:footer="0" w:header="0"/>
        </w:sectPr>
      </w:pPr>
    </w:p>
    <w:bookmarkStart w:id="11" w:name="page12"/>
    <w:bookmarkEnd w:id="1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187960</wp:posOffset>
            </wp:positionV>
            <wp:extent cx="6355715" cy="3079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55715" cy="307911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80" w:right="580"/>
        <w:spacing w:after="0" w:line="291" w:lineRule="auto"/>
        <w:rPr>
          <w:sz w:val="20"/>
          <w:szCs w:val="20"/>
          <w:color w:val="auto"/>
        </w:rPr>
      </w:pPr>
      <w:r>
        <w:rPr>
          <w:rFonts w:ascii="Times New Roman" w:cs="Times New Roman" w:eastAsia="Times New Roman" w:hAnsi="Times New Roman"/>
          <w:sz w:val="16"/>
          <w:szCs w:val="16"/>
          <w:color w:val="auto"/>
        </w:rPr>
        <w:t>$1.0 billion in non-convertible debt securities during the prior three-year period; and (4) the last day of the fiscal year ending after the fifth anniversary of the IPO.</w:t>
      </w:r>
    </w:p>
    <w:p>
      <w:pPr>
        <w:spacing w:after="0" w:line="142" w:lineRule="exact"/>
        <w:rPr>
          <w:sz w:val="20"/>
          <w:szCs w:val="20"/>
          <w:color w:val="auto"/>
        </w:rPr>
      </w:pPr>
    </w:p>
    <w:p>
      <w:pPr>
        <w:ind w:left="780"/>
        <w:spacing w:after="0" w:line="259" w:lineRule="auto"/>
        <w:rPr>
          <w:sz w:val="20"/>
          <w:szCs w:val="20"/>
          <w:color w:val="auto"/>
        </w:rPr>
      </w:pPr>
      <w:r>
        <w:rPr>
          <w:rFonts w:ascii="Times New Roman" w:cs="Times New Roman" w:eastAsia="Times New Roman" w:hAnsi="Times New Roman"/>
          <w:sz w:val="16"/>
          <w:szCs w:val="16"/>
          <w:color w:val="auto"/>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only two years of related management’s discussion and analysis of financial condition and results of operations, and we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172" w:lineRule="exact"/>
        <w:rPr>
          <w:sz w:val="20"/>
          <w:szCs w:val="20"/>
          <w:color w:val="auto"/>
        </w:rPr>
      </w:pPr>
    </w:p>
    <w:p>
      <w:pPr>
        <w:ind w:left="780" w:right="160"/>
        <w:spacing w:after="0" w:line="260" w:lineRule="auto"/>
        <w:rPr>
          <w:sz w:val="20"/>
          <w:szCs w:val="20"/>
          <w:color w:val="auto"/>
        </w:rPr>
      </w:pPr>
      <w:r>
        <w:rPr>
          <w:rFonts w:ascii="Times New Roman" w:cs="Times New Roman" w:eastAsia="Times New Roman" w:hAnsi="Times New Roman"/>
          <w:sz w:val="16"/>
          <w:szCs w:val="16"/>
          <w:color w:val="auto"/>
        </w:rPr>
        <w:t>We are also a “smaller reporting company” as defined in Rule 12b-2 promulgated under the Exchange Act. We will remain a smaller reporting company until the last day of the fiscal year in which the aggregate market value of our common stock that is held by non-affiliates is at least $250 million or the last day of the fiscal year in which we have at least $100 million in revenue and the aggregate market value of our common stock that is held by non-affiliates is at least $700 million (in each case, with respect to the aggregate market value of our common stock held by non-affiliates, as measured as of the last business day of the second quarter of such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440"/>
          </w:cols>
          <w:pgMar w:left="320" w:top="453" w:right="1139" w:bottom="1440" w:gutter="0" w:footer="0" w:header="0"/>
        </w:sectPr>
      </w:pPr>
    </w:p>
    <w:bookmarkStart w:id="12" w:name="page13"/>
    <w:bookmarkEnd w:id="1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6" w:lineRule="exact"/>
        <w:rPr>
          <w:sz w:val="20"/>
          <w:szCs w:val="20"/>
          <w:color w:val="auto"/>
        </w:rPr>
      </w:pPr>
    </w:p>
    <w:tbl>
      <w:tblPr>
        <w:tblLayout w:type="fixed"/>
        <w:tblInd w:w="630" w:type="dxa"/>
        <w:tblCellMar>
          <w:top w:w="0" w:type="dxa"/>
          <w:left w:w="0" w:type="dxa"/>
          <w:bottom w:w="0" w:type="dxa"/>
          <w:right w:w="0" w:type="dxa"/>
        </w:tblCellMar>
      </w:tblPr>
      <w:tr>
        <w:trPr>
          <w:trHeight w:val="371"/>
        </w:trPr>
        <w:tc>
          <w:tcPr>
            <w:tcW w:w="3560" w:type="dxa"/>
            <w:vAlign w:val="bottom"/>
            <w:tcBorders>
              <w:top w:val="single" w:sz="8" w:color="auto"/>
              <w:left w:val="single" w:sz="8" w:color="auto"/>
            </w:tcBorders>
          </w:tcPr>
          <w:p>
            <w:pPr>
              <w:spacing w:after="0"/>
              <w:rPr>
                <w:sz w:val="24"/>
                <w:szCs w:val="24"/>
                <w:color w:val="auto"/>
              </w:rPr>
            </w:pPr>
          </w:p>
        </w:tc>
        <w:tc>
          <w:tcPr>
            <w:tcW w:w="644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THE OFFERING</w:t>
            </w:r>
          </w:p>
        </w:tc>
      </w:tr>
      <w:tr>
        <w:trPr>
          <w:trHeight w:val="401"/>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Shares of Common Stock and Warrants Offered</w:t>
            </w: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We are registering the issuance by us, and the resale by the Selling Securityholders, of up</w:t>
            </w:r>
          </w:p>
        </w:tc>
      </w:tr>
      <w:tr>
        <w:trPr>
          <w:trHeight w:val="196"/>
        </w:trPr>
        <w:tc>
          <w:tcPr>
            <w:tcW w:w="35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Hereunder</w:t>
            </w: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to 190,726,638 shares of Class A Common Stock issuable upon the exchange of a</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corresponding number of outstanding or issuable Paired Interests. We are also registering</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the resale by the Selling Securityholders of (i) 32,500,000 PIPE Shares, (ii) 5,184,300</w:t>
            </w:r>
          </w:p>
        </w:tc>
      </w:tr>
      <w:tr>
        <w:trPr>
          <w:trHeight w:val="212"/>
        </w:trPr>
        <w:tc>
          <w:tcPr>
            <w:tcW w:w="356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Founder Shares and (iii) 3,151,890 Private Warrant Shares.</w:t>
            </w:r>
          </w:p>
        </w:tc>
      </w:tr>
      <w:tr>
        <w:trPr>
          <w:trHeight w:val="401"/>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Use of Proceeds</w:t>
            </w: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All of the securities offered by the Selling Securityholders pursuant to this prospectus will</w:t>
            </w:r>
          </w:p>
        </w:tc>
      </w:tr>
      <w:tr>
        <w:trPr>
          <w:trHeight w:val="194"/>
        </w:trPr>
        <w:tc>
          <w:tcPr>
            <w:tcW w:w="3560" w:type="dxa"/>
            <w:vAlign w:val="bottom"/>
            <w:tcBorders>
              <w:left w:val="single" w:sz="8" w:color="auto"/>
            </w:tcBorders>
          </w:tcPr>
          <w:p>
            <w:pPr>
              <w:spacing w:after="0"/>
              <w:rPr>
                <w:sz w:val="16"/>
                <w:szCs w:val="16"/>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be sold by the Selling Securityholders for their respective accounts. We will not receive</w:t>
            </w:r>
          </w:p>
        </w:tc>
      </w:tr>
      <w:tr>
        <w:trPr>
          <w:trHeight w:val="198"/>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any of the proceeds from the sale of the securities hereunder. See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for</w:t>
            </w:r>
          </w:p>
        </w:tc>
      </w:tr>
      <w:tr>
        <w:trPr>
          <w:trHeight w:val="212"/>
        </w:trPr>
        <w:tc>
          <w:tcPr>
            <w:tcW w:w="356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more information.</w:t>
            </w:r>
          </w:p>
        </w:tc>
      </w:tr>
      <w:tr>
        <w:trPr>
          <w:trHeight w:val="417"/>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Common Stock Outstanding</w:t>
            </w: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57,164,488 shares of Class A Common Stock as of March 25, 2022.</w:t>
            </w:r>
          </w:p>
        </w:tc>
      </w:tr>
      <w:tr>
        <w:trPr>
          <w:trHeight w:val="414"/>
        </w:trPr>
        <w:tc>
          <w:tcPr>
            <w:tcW w:w="3560" w:type="dxa"/>
            <w:vAlign w:val="bottom"/>
            <w:tcBorders>
              <w:left w:val="single" w:sz="8" w:color="auto"/>
            </w:tcBorders>
          </w:tcPr>
          <w:p>
            <w:pPr>
              <w:spacing w:after="0"/>
              <w:rPr>
                <w:sz w:val="24"/>
                <w:szCs w:val="24"/>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206,003,270 shares of Class V Common Stock (which, together with an equal number of</w:t>
            </w:r>
          </w:p>
        </w:tc>
      </w:tr>
      <w:tr>
        <w:trPr>
          <w:trHeight w:val="194"/>
        </w:trPr>
        <w:tc>
          <w:tcPr>
            <w:tcW w:w="3560" w:type="dxa"/>
            <w:vAlign w:val="bottom"/>
            <w:tcBorders>
              <w:left w:val="single" w:sz="8" w:color="auto"/>
            </w:tcBorders>
          </w:tcPr>
          <w:p>
            <w:pPr>
              <w:spacing w:after="0"/>
              <w:rPr>
                <w:sz w:val="16"/>
                <w:szCs w:val="16"/>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Opco Common Units comprise an equal number of Paired Interests, please see</w:t>
            </w:r>
          </w:p>
        </w:tc>
      </w:tr>
      <w:tr>
        <w:trPr>
          <w:trHeight w:val="198"/>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Description of Securities—Common Stock</w:t>
            </w:r>
            <w:r>
              <w:rPr>
                <w:rFonts w:ascii="Times New Roman" w:cs="Times New Roman" w:eastAsia="Times New Roman" w:hAnsi="Times New Roman"/>
                <w:sz w:val="16"/>
                <w:szCs w:val="16"/>
                <w:color w:val="auto"/>
              </w:rPr>
              <w:t>” for more information). An additional 793,352</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shares of Class V Common Stock (along with an equal number of Opco Common Units)</w:t>
            </w:r>
          </w:p>
        </w:tc>
      </w:tr>
      <w:tr>
        <w:trPr>
          <w:trHeight w:val="212"/>
        </w:trPr>
        <w:tc>
          <w:tcPr>
            <w:tcW w:w="356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are issuable upon the exercise of a warrant.</w:t>
            </w:r>
          </w:p>
        </w:tc>
      </w:tr>
      <w:tr>
        <w:trPr>
          <w:trHeight w:val="401"/>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Risk Factors</w:t>
            </w: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and other information included in this prospectus for a discussion of</w:t>
            </w:r>
          </w:p>
        </w:tc>
      </w:tr>
      <w:tr>
        <w:trPr>
          <w:trHeight w:val="212"/>
        </w:trPr>
        <w:tc>
          <w:tcPr>
            <w:tcW w:w="356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factors that you should consider carefully before deciding to invest in our common stock.</w:t>
            </w:r>
          </w:p>
        </w:tc>
      </w:tr>
      <w:tr>
        <w:trPr>
          <w:trHeight w:val="417"/>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NYSE Symbol</w:t>
            </w: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“BKKT” for our Class A Common Stock and “BKKT WS” for our Warrants.</w:t>
            </w:r>
          </w:p>
        </w:tc>
      </w:tr>
      <w:tr>
        <w:trPr>
          <w:trHeight w:val="412"/>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Lock-Up Restrictions</w:t>
            </w: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Pursuant to the Stockholders Agreement and the Insider Letter Agreement (each as</w:t>
            </w:r>
          </w:p>
        </w:tc>
      </w:tr>
      <w:tr>
        <w:trPr>
          <w:trHeight w:val="198"/>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described in “</w:t>
            </w:r>
            <w:r>
              <w:rPr>
                <w:rFonts w:ascii="Times New Roman" w:cs="Times New Roman" w:eastAsia="Times New Roman" w:hAnsi="Times New Roman"/>
                <w:sz w:val="16"/>
                <w:szCs w:val="16"/>
                <w:i w:val="1"/>
                <w:iCs w:val="1"/>
                <w:color w:val="auto"/>
              </w:rPr>
              <w:t>Certain Relationships and Related Party Transactions</w:t>
            </w:r>
            <w:r>
              <w:rPr>
                <w:rFonts w:ascii="Times New Roman" w:cs="Times New Roman" w:eastAsia="Times New Roman" w:hAnsi="Times New Roman"/>
                <w:sz w:val="16"/>
                <w:szCs w:val="16"/>
                <w:color w:val="auto"/>
              </w:rPr>
              <w:t>”), other than for</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certain permitted transfers: (i) Opco Equity Holders may not transfer, or make a public</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announcement of any intention to transfer, any of our equity securities (other than any</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PIPE Shares) or Opco’s equity securities of Opco before April 16, 2022 (the “Opco</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Lock-Up Period”) and (ii) the Sponsor and the Insiders may not transfer, or make a public</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announcement of any intention to transfer any Founder Shares until the earlier of</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(a) October 15, 2022 and (b) subsequent to the Closing, (i) if the closing price of our</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Class A Common Stock equals or exceeds $12.00 per share (subject to customary</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adjustments) for any 20 trading days within any 30-trading day period commencing at least</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150 days after the Closing or (ii) the date on which we complete a liquidation, merger</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amalgamation, capital stock exchange, reorganization or other similar transaction that</w:t>
            </w:r>
          </w:p>
        </w:tc>
      </w:tr>
      <w:tr>
        <w:trPr>
          <w:trHeight w:val="212"/>
        </w:trPr>
        <w:tc>
          <w:tcPr>
            <w:tcW w:w="356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results in the holders of our Class A Common Stock having the right to exchange their</w:t>
            </w:r>
          </w:p>
        </w:tc>
      </w:tr>
      <w:tr>
        <w:trPr>
          <w:trHeight w:val="144"/>
        </w:trPr>
        <w:tc>
          <w:tcPr>
            <w:tcW w:w="3560" w:type="dxa"/>
            <w:vAlign w:val="bottom"/>
            <w:tcBorders>
              <w:left w:val="single" w:sz="8" w:color="auto"/>
              <w:bottom w:val="single" w:sz="8" w:color="auto"/>
            </w:tcBorders>
          </w:tcPr>
          <w:p>
            <w:pPr>
              <w:spacing w:after="0"/>
              <w:rPr>
                <w:sz w:val="12"/>
                <w:szCs w:val="12"/>
                <w:color w:val="auto"/>
              </w:rPr>
            </w:pPr>
          </w:p>
        </w:tc>
        <w:tc>
          <w:tcPr>
            <w:tcW w:w="6440" w:type="dxa"/>
            <w:vAlign w:val="bottom"/>
            <w:tcBorders>
              <w:bottom w:val="single" w:sz="8" w:color="auto"/>
              <w:right w:val="single" w:sz="8" w:color="auto"/>
            </w:tcBorders>
          </w:tcPr>
          <w:p>
            <w:pPr>
              <w:spacing w:after="0"/>
              <w:rPr>
                <w:sz w:val="12"/>
                <w:szCs w:val="12"/>
                <w:color w:val="auto"/>
              </w:rPr>
            </w:pPr>
          </w:p>
        </w:tc>
      </w:tr>
      <w:tr>
        <w:trPr>
          <w:trHeight w:val="326"/>
        </w:trPr>
        <w:tc>
          <w:tcPr>
            <w:tcW w:w="3560" w:type="dxa"/>
            <w:vAlign w:val="bottom"/>
          </w:tcPr>
          <w:p>
            <w:pPr>
              <w:spacing w:after="0"/>
              <w:rPr>
                <w:sz w:val="24"/>
                <w:szCs w:val="24"/>
                <w:color w:val="auto"/>
              </w:rPr>
            </w:pPr>
          </w:p>
        </w:tc>
        <w:tc>
          <w:tcPr>
            <w:tcW w:w="644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9</w:t>
            </w:r>
          </w:p>
        </w:tc>
      </w:tr>
    </w:tbl>
    <w:p>
      <w:pPr>
        <w:sectPr>
          <w:pgSz w:w="11900" w:h="16838" w:orient="portrait"/>
          <w:cols w:equalWidth="0" w:num="1">
            <w:col w:w="10620"/>
          </w:cols>
          <w:pgMar w:left="320" w:top="453" w:right="959" w:bottom="1440" w:gutter="0" w:footer="0" w:header="0"/>
        </w:sectPr>
      </w:pPr>
    </w:p>
    <w:bookmarkStart w:id="13" w:name="page14"/>
    <w:bookmarkEnd w:id="1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187960</wp:posOffset>
            </wp:positionV>
            <wp:extent cx="6355715" cy="970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55715" cy="97028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460"/>
        <w:spacing w:after="0" w:line="263" w:lineRule="auto"/>
        <w:rPr>
          <w:sz w:val="20"/>
          <w:szCs w:val="20"/>
          <w:color w:val="auto"/>
        </w:rPr>
      </w:pPr>
      <w:r>
        <w:rPr>
          <w:rFonts w:ascii="Times New Roman" w:cs="Times New Roman" w:eastAsia="Times New Roman" w:hAnsi="Times New Roman"/>
          <w:sz w:val="16"/>
          <w:szCs w:val="16"/>
          <w:color w:val="auto"/>
        </w:rPr>
        <w:t>Class A Common Stock for cash, securities or other property (the “Founder Shares Lock-Up Period” and, together with the Opco Lock-Up Period, the “Lock-Up Periods”). See “</w:t>
      </w:r>
      <w:r>
        <w:rPr>
          <w:rFonts w:ascii="Times New Roman" w:cs="Times New Roman" w:eastAsia="Times New Roman" w:hAnsi="Times New Roman"/>
          <w:sz w:val="16"/>
          <w:szCs w:val="16"/>
          <w:i w:val="1"/>
          <w:iCs w:val="1"/>
          <w:color w:val="auto"/>
        </w:rPr>
        <w:t>Certain Relationships and Related Party Transactions—Company Related Person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Transactions—Insider Letter Agreement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Certain Relationships and Related Party Transactions—Transactions Related to the Business Combination—Stockholders Agreement</w:t>
      </w:r>
      <w:r>
        <w:rPr>
          <w:rFonts w:ascii="Times New Roman" w:cs="Times New Roman" w:eastAsia="Times New Roman" w:hAnsi="Times New Roman"/>
          <w:sz w:val="16"/>
          <w:szCs w:val="16"/>
          <w:color w:val="auto"/>
        </w:rPr>
        <w:t>” for more information.</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220"/>
          </w:cols>
          <w:pgMar w:left="320" w:top="453" w:right="1359" w:bottom="1440" w:gutter="0" w:footer="0" w:header="0"/>
        </w:sectPr>
      </w:pPr>
    </w:p>
    <w:bookmarkStart w:id="14" w:name="page15"/>
    <w:bookmarkEnd w:id="1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210" w:lineRule="exact"/>
        <w:rPr>
          <w:sz w:val="20"/>
          <w:szCs w:val="20"/>
          <w:color w:val="auto"/>
        </w:rPr>
      </w:pPr>
    </w:p>
    <w:p>
      <w:pPr>
        <w:ind w:left="620" w:right="100"/>
        <w:spacing w:after="0" w:line="263" w:lineRule="auto"/>
        <w:rPr>
          <w:sz w:val="20"/>
          <w:szCs w:val="20"/>
          <w:color w:val="auto"/>
        </w:rPr>
      </w:pPr>
      <w:r>
        <w:rPr>
          <w:rFonts w:ascii="Times New Roman" w:cs="Times New Roman" w:eastAsia="Times New Roman" w:hAnsi="Times New Roman"/>
          <w:sz w:val="16"/>
          <w:szCs w:val="16"/>
          <w:i w:val="1"/>
          <w:iCs w:val="1"/>
          <w:color w:val="auto"/>
        </w:rPr>
        <w:t>Investing in our securities involves a high degree of risk. Before making an investment decision, you should consider carefully the risks and uncertainties described below, together with all of the other information in this prospectus, including “Management’s Discussion and Analysis of Financial Condition and Results of Operations” and our consolidated financial statements and related notes thereto included elsewhere in this prospectus. 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Risks Related to Our Business, Finances and Operations</w:t>
      </w:r>
    </w:p>
    <w:p>
      <w:pPr>
        <w:spacing w:after="0" w:line="110" w:lineRule="exact"/>
        <w:rPr>
          <w:sz w:val="20"/>
          <w:szCs w:val="20"/>
          <w:color w:val="auto"/>
        </w:rPr>
      </w:pPr>
    </w:p>
    <w:p>
      <w:pPr>
        <w:ind w:left="620" w:right="8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Our business model is newly developed, untested and continually evolving and may encounter additional risks and challenges as it grows and changes.</w:t>
      </w:r>
    </w:p>
    <w:p>
      <w:pPr>
        <w:spacing w:after="0" w:line="39" w:lineRule="exact"/>
        <w:rPr>
          <w:sz w:val="20"/>
          <w:szCs w:val="20"/>
          <w:color w:val="auto"/>
        </w:rPr>
      </w:pPr>
    </w:p>
    <w:p>
      <w:pPr>
        <w:ind w:left="620" w:right="60" w:firstLine="400"/>
        <w:spacing w:after="0" w:line="259" w:lineRule="auto"/>
        <w:rPr>
          <w:sz w:val="20"/>
          <w:szCs w:val="20"/>
          <w:color w:val="auto"/>
        </w:rPr>
      </w:pPr>
      <w:r>
        <w:rPr>
          <w:rFonts w:ascii="Times New Roman" w:cs="Times New Roman" w:eastAsia="Times New Roman" w:hAnsi="Times New Roman"/>
          <w:sz w:val="16"/>
          <w:szCs w:val="16"/>
          <w:color w:val="auto"/>
        </w:rPr>
        <w:t>Our vision is that our users, which include consumers, enterprises and financial institutions, will utilize our platform as the go-to solution for buying, selling, converting, spending, redeeming and sending multiple types of digital assets. Most of the digital assets that we have incorporated and intend to incorporate into our platform in the future are already being handled by incumbent providers, as well as other competitors who have established payment programs. Our business model also assumes that there will be multiple synergies and benefits for users arising out of a single platform to buy, sell, convert, spend, redeem and send digital assets that have traditionally been usable only via individual solutions. To be successful, we must attract users to our platform and away from these existing solutions and platforms; and failure to achieve acceptance would impede our ability to develop and sustain a commercial business. There can be no assurance that our platform will gain the acceptance of users, consumers or other market participants, or generate the anticipated synergies. Because some of the digital assets that are anticipated to be available on our platform have not previously been available for these types of usage, it is difficult to predict the preferences and requirements of users, consumers or other market participants, and our platform, design and technology may not appeal to such users or other market participants, or be incompatible with new or emerging forms of digital assets or related technologies. Failure to achieve acceptance would impede our ability to develop and sustain a commercial business.</w:t>
      </w:r>
    </w:p>
    <w:p>
      <w:pPr>
        <w:spacing w:after="0" w:line="365"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color w:val="auto"/>
        </w:rPr>
        <w:t>We primarily generate revenue when users, largely acquired through our partners, buy, sell, convert, spend, redeem and send digital assets through our platform. Our success depends on both bringing on these partners and in the transaction volume from end users of our services. If we are not able to bring new partners onto the platform, many of whom will pay us subscription fees for our platform services, our revenue and business concern could be negatively impacted. Additionally, much of our future revenue depends on transaction fees earned from users buying, selling, converting, redeeming and spending digital assets and the margin we charge in connection with consumer purchase and sale of cryptoassets. If we are not able to continue to grow our base of active users, we will not be able to continue to grow our revenues or our business, which could negatively impact our business, financial condition and results of operations and may cause us to be unable to continue as a going concern.</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The attractiveness of our platform to users depends upon, among other things:</w:t>
      </w:r>
    </w:p>
    <w:p>
      <w:pPr>
        <w:spacing w:after="0" w:line="122" w:lineRule="exact"/>
        <w:rPr>
          <w:sz w:val="20"/>
          <w:szCs w:val="20"/>
          <w:color w:val="auto"/>
        </w:rPr>
      </w:pPr>
    </w:p>
    <w:p>
      <w:pPr>
        <w:ind w:left="1500" w:hanging="387"/>
        <w:spacing w:after="0"/>
        <w:tabs>
          <w:tab w:leader="none" w:pos="1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variety of digital assets that users may buy, sell, convert, spend, redeem and send through our platform;</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brand and reputation, as well as users’ experience and satisfaction with, and trust and perception of, our solutions;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technological innovation;</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compliance and data security;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services and products offered by competitors.</w:t>
      </w:r>
    </w:p>
    <w:p>
      <w:pPr>
        <w:spacing w:after="0" w:line="1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600"/>
          </w:cols>
          <w:pgMar w:left="320" w:top="453" w:right="979" w:bottom="1440" w:gutter="0" w:footer="0" w:header="0"/>
        </w:sectPr>
      </w:pPr>
    </w:p>
    <w:bookmarkStart w:id="15" w:name="page16"/>
    <w:bookmarkEnd w:id="1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0" w:firstLine="400"/>
        <w:spacing w:after="0" w:line="267" w:lineRule="auto"/>
        <w:rPr>
          <w:sz w:val="20"/>
          <w:szCs w:val="20"/>
          <w:color w:val="auto"/>
        </w:rPr>
      </w:pPr>
      <w:r>
        <w:rPr>
          <w:rFonts w:ascii="Times New Roman" w:cs="Times New Roman" w:eastAsia="Times New Roman" w:hAnsi="Times New Roman"/>
          <w:sz w:val="16"/>
          <w:szCs w:val="16"/>
          <w:color w:val="auto"/>
        </w:rPr>
        <w:t>Moreover, loyalty partners may choose to modify their rewards programs in a way that makes them less appealing to consumers or terminate their programs entirely, either of which could make our platform less attractive to consumers. If we fail to retain existing relationships with, or attract new, loyalty partners, enterprises and financial institutions, attract new consumers to our platform, or continually expand usage and transaction volume on our platform, our business, financial condition, results of operations and prospects will be materially and adversely affected.</w:t>
      </w:r>
    </w:p>
    <w:p>
      <w:pPr>
        <w:spacing w:after="0" w:line="162" w:lineRule="exact"/>
        <w:rPr>
          <w:sz w:val="20"/>
          <w:szCs w:val="20"/>
          <w:color w:val="auto"/>
        </w:rPr>
      </w:pPr>
    </w:p>
    <w:p>
      <w:pPr>
        <w:ind w:left="620" w:right="20" w:firstLine="400"/>
        <w:spacing w:after="0" w:line="263" w:lineRule="auto"/>
        <w:rPr>
          <w:sz w:val="20"/>
          <w:szCs w:val="20"/>
          <w:color w:val="auto"/>
        </w:rPr>
      </w:pPr>
      <w:r>
        <w:rPr>
          <w:rFonts w:ascii="Times New Roman" w:cs="Times New Roman" w:eastAsia="Times New Roman" w:hAnsi="Times New Roman"/>
          <w:sz w:val="16"/>
          <w:szCs w:val="16"/>
          <w:color w:val="auto"/>
        </w:rPr>
        <w:t>We will have both increased financial and reputational risks if there is a failure to launch one or more features, or if the launch of a new feature is unsuccessful. Also, there can be no assurance that we will receive support partners to launch features as planned or that we will operate as anticipated. We may also require regulatory approvals, including, for our example, adding crypto rewards and open loop crypto wallet functionality to our platform, and may require additional licenses and/or consultation with regulators to add, modify or discontinue certain aspects of our business model, which could lead to delays or other complexities in effectuating such changes and have a materially adverse effect on our business and plan of operations. Furthermore, our business model entails numerous risks, including risks relating to our ability to:</w:t>
      </w:r>
    </w:p>
    <w:p>
      <w:pPr>
        <w:spacing w:after="0" w:line="77" w:lineRule="exact"/>
        <w:rPr>
          <w:sz w:val="20"/>
          <w:szCs w:val="20"/>
          <w:color w:val="auto"/>
        </w:rPr>
      </w:pPr>
    </w:p>
    <w:p>
      <w:pPr>
        <w:ind w:left="1500" w:hanging="387"/>
        <w:spacing w:after="0"/>
        <w:tabs>
          <w:tab w:leader="none" w:pos="1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 the complexity of our business model to stay current with the industry and new technologies;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enter new categories, markets and jurisdictions in which we may have limited or no prior experience;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integrate into multiple distributed ledger technologies as they currently exist and as they evolve;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develop and integrate products, systems and personnel into our business operations;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required licenses and regulatory approvals for our business.</w:t>
      </w:r>
    </w:p>
    <w:p>
      <w:pPr>
        <w:spacing w:after="0" w:line="302" w:lineRule="exact"/>
        <w:rPr>
          <w:sz w:val="20"/>
          <w:szCs w:val="20"/>
          <w:color w:val="auto"/>
        </w:rPr>
      </w:pPr>
    </w:p>
    <w:p>
      <w:pPr>
        <w:ind w:left="620" w:right="6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Our platform is in its early stages of release, will be further developed, and is largely untested. Any failure by us to successfully execute on the development of our platform would have an adverse effect on our business, results of operations and financial condition.</w:t>
      </w:r>
    </w:p>
    <w:p>
      <w:pPr>
        <w:spacing w:after="0" w:line="39"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Our integrated platform is in the early stages of release and will be further refined and developed, and certain areas of our platform are still under development and largely untested on a commercial scale. We are continually working to expand our service offerings, including, for example offering crypto rewards. Any failure by us to execute on the development of our platform may have a material adverse effect on our business, financial condition and results of operations. There can be no assurance that our platform, and its planned functionality, will be successfully developed. Our platform will require significant additional development in order to add all of the additional functionality and features planned by our management and discussed in this prospectus. There can be no assurance that the additional functionality and features currently planned for our platform will be successfully developed, including those intended to be included in our consumer app, in a timely fashion or at all. Any problems that we encounter with the operation of our platform, including technical, legal and regulatory problems, could have a material adverse effect on our business, financial condition and results of operations.</w:t>
      </w:r>
    </w:p>
    <w:p>
      <w:pPr>
        <w:spacing w:after="0" w:line="2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add additional functionalities and digital assets to our platform, our prospects for future growth may be adversely affected.</w:t>
      </w:r>
    </w:p>
    <w:p>
      <w:pPr>
        <w:spacing w:after="0" w:line="114" w:lineRule="exact"/>
        <w:rPr>
          <w:sz w:val="20"/>
          <w:szCs w:val="20"/>
          <w:color w:val="auto"/>
        </w:rPr>
      </w:pPr>
    </w:p>
    <w:p>
      <w:pPr>
        <w:ind w:left="620" w:firstLine="400"/>
        <w:spacing w:after="0" w:line="263" w:lineRule="auto"/>
        <w:rPr>
          <w:sz w:val="20"/>
          <w:szCs w:val="20"/>
          <w:color w:val="auto"/>
        </w:rPr>
      </w:pPr>
      <w:r>
        <w:rPr>
          <w:rFonts w:ascii="Times New Roman" w:cs="Times New Roman" w:eastAsia="Times New Roman" w:hAnsi="Times New Roman"/>
          <w:sz w:val="16"/>
          <w:szCs w:val="16"/>
          <w:color w:val="auto"/>
        </w:rPr>
        <w:t>Our platform currently reflects a subset of the planned functionalities and digital assets and a limited number of enterprise and loyalty partners and financial institutions. Our ability to attract and retain users to our platform, and therefore increase revenues, depends on our ability to successfully expand our platform’s functionalities and digital assets over time. Accordingly, we intend to add enterprise and additional loyalty partners, financial institutions and digital assets, including additional cryptoassets, in the future, but our management has not yet determined either the order that additional partners and digital assets will be included or the timing of any such additions. Any substantial delay in the inclusion of additional partners and digital assets</w:t>
      </w: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0620"/>
          </w:cols>
          <w:pgMar w:left="320" w:top="452" w:right="959" w:bottom="1440" w:gutter="0" w:footer="0" w:header="0"/>
        </w:sectPr>
      </w:pPr>
    </w:p>
    <w:bookmarkStart w:id="16" w:name="page17"/>
    <w:bookmarkEnd w:id="1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60"/>
        <w:spacing w:after="0" w:line="267" w:lineRule="auto"/>
        <w:rPr>
          <w:sz w:val="20"/>
          <w:szCs w:val="20"/>
          <w:color w:val="auto"/>
        </w:rPr>
      </w:pPr>
      <w:r>
        <w:rPr>
          <w:rFonts w:ascii="Times New Roman" w:cs="Times New Roman" w:eastAsia="Times New Roman" w:hAnsi="Times New Roman"/>
          <w:sz w:val="16"/>
          <w:szCs w:val="16"/>
          <w:color w:val="auto"/>
        </w:rPr>
        <w:t>may have an adverse effect on our business, financial condition and results of operations. We will have both increased financial and reputational risks if there is a failure to launch one or more functionalities, or if the launch of a new functionality or digital asset is unsuccessful. Also, there can be no assurance that we will receive the necessary regulatory approvals or support from partners to launch features as planned or that we will operate as anticipated.</w:t>
      </w:r>
    </w:p>
    <w:p>
      <w:pPr>
        <w:spacing w:after="0" w:line="162" w:lineRule="exact"/>
        <w:rPr>
          <w:sz w:val="20"/>
          <w:szCs w:val="20"/>
          <w:color w:val="auto"/>
        </w:rPr>
      </w:pPr>
    </w:p>
    <w:p>
      <w:pPr>
        <w:ind w:left="620" w:firstLine="400"/>
        <w:spacing w:after="0" w:line="259" w:lineRule="auto"/>
        <w:rPr>
          <w:sz w:val="20"/>
          <w:szCs w:val="20"/>
          <w:color w:val="auto"/>
        </w:rPr>
      </w:pPr>
      <w:r>
        <w:rPr>
          <w:rFonts w:ascii="Times New Roman" w:cs="Times New Roman" w:eastAsia="Times New Roman" w:hAnsi="Times New Roman"/>
          <w:sz w:val="16"/>
          <w:szCs w:val="16"/>
          <w:color w:val="auto"/>
        </w:rPr>
        <w:t>To penetrate new markets and add new functionalities, we will need to develop an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regulation could limit our ability to introduce new platform opportunities. For instance, the equity securities trading and lending industries are highly regulated. Our proposed operations in these fields could take an extended period of time to be approved by regulatory authorities, or may not be approved at all, and, if approved, would require us to devote additional resources to compliance. Further, as digital assets and distributed ledger technologies evolve, we may add, modify or discontinue certain aspects of our business model relating to the product mix and service offerings. Future additions and modifications to our business will increase the complexity of our business and place significant strain on our management, personnel, operations, systems, technical performance, financial resources and internal financial control and reporting functions. We cannot offer any assurance that these or any other additions or modifications will be successful or will not result in harm to our business. If we fail to penetrate new markets successfully, our revenue may grow at a slower rate than we anticipate and our business, financial condition and results of operations could be materially and adversely affected.</w:t>
      </w:r>
    </w:p>
    <w:p>
      <w:pPr>
        <w:spacing w:after="0" w:line="263" w:lineRule="exact"/>
        <w:rPr>
          <w:sz w:val="20"/>
          <w:szCs w:val="20"/>
          <w:color w:val="auto"/>
        </w:rPr>
      </w:pPr>
    </w:p>
    <w:p>
      <w:pPr>
        <w:jc w:val="both"/>
        <w:ind w:left="620" w:right="380" w:firstLine="40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have a limited operating history and a history of operating losses, which make it difficult to forecast our future results of operations. Further, we expect our operating expenses to increase significantly in the foreseeable future, and we may not achieve or sustain profitability to satisfy such increased expenses.</w:t>
      </w:r>
    </w:p>
    <w:p>
      <w:pPr>
        <w:spacing w:after="0" w:line="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We were founded in 2018 and have experienced net losses in the periods from inception through December 31, 2021. For example, our revenue</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was $11.5 million, $28.0 million, and $28.5 million in the periods of October 15, 2021 through December 31, 2021 (Successor) and January 1, 2021</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through October 14, 2021 (Predecessor), and the year ended December 31, 2020, respectively, and we generated net losses of $153.1 million,</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$139.2 million, and $79.6 million in the periods of October 15, 2021 through December 31, 2021 (Successor) and January 1, 2021 through October 14,</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2021 (Predecessor), and the year ended December 31, 2020, respectively. You should not rely on the revenue growth of any prior quarterly or annual</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period as an indication of our future performance. As a result of our limited operating history, our ability to accurately forecast our future results of</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operations is limited and subject to a number of uncertainties, including our ability to plan for and model future growth. Our historical revenue was</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achieved largely as the result of our white-labeled loyalty redemption product to loyalty partners reflects little revenue from the launch of our broader</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platform or our initial attempt at attracting consumers directly through the launch of our consumer app, and therefore should not be considered</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indicative of our future performance.</w:t>
      </w:r>
    </w:p>
    <w:p>
      <w:pPr>
        <w:spacing w:after="0" w:line="193" w:lineRule="exact"/>
        <w:rPr>
          <w:sz w:val="20"/>
          <w:szCs w:val="20"/>
          <w:color w:val="auto"/>
        </w:rPr>
      </w:pPr>
    </w:p>
    <w:p>
      <w:pPr>
        <w:ind w:left="620" w:right="40" w:firstLine="400"/>
        <w:spacing w:after="0" w:line="261" w:lineRule="auto"/>
        <w:rPr>
          <w:sz w:val="20"/>
          <w:szCs w:val="20"/>
          <w:color w:val="auto"/>
        </w:rPr>
      </w:pPr>
      <w:r>
        <w:rPr>
          <w:rFonts w:ascii="Times New Roman" w:cs="Times New Roman" w:eastAsia="Times New Roman" w:hAnsi="Times New Roman"/>
          <w:sz w:val="16"/>
          <w:szCs w:val="16"/>
          <w:color w:val="auto"/>
        </w:rPr>
        <w:t>Because of our limited operating history and the fact that our current and historical revenue was largely not derived from our currently planned business model, our future revenue growth is difficult to predict. Even if we experience strong revenue growth, in future periods our revenue or revenue growth could decline for a number of reasons, including slowing demand for our platform, increased competition, changes to technology, a decrease in the growth of our overall market, or our failure, for any reason,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68" w:lineRule="exact"/>
        <w:rPr>
          <w:sz w:val="20"/>
          <w:szCs w:val="20"/>
          <w:color w:val="auto"/>
        </w:rPr>
      </w:pPr>
    </w:p>
    <w:p>
      <w:pPr>
        <w:ind w:left="620" w:right="500" w:firstLine="400"/>
        <w:spacing w:after="0" w:line="291" w:lineRule="auto"/>
        <w:rPr>
          <w:sz w:val="20"/>
          <w:szCs w:val="20"/>
          <w:color w:val="auto"/>
        </w:rPr>
      </w:pPr>
      <w:r>
        <w:rPr>
          <w:rFonts w:ascii="Times New Roman" w:cs="Times New Roman" w:eastAsia="Times New Roman" w:hAnsi="Times New Roman"/>
          <w:sz w:val="16"/>
          <w:szCs w:val="16"/>
          <w:color w:val="auto"/>
        </w:rPr>
        <w:t>We expect our operating costs and expenses to increase substantially in the foreseeable future. In particular, we intend to continue to invest significant resources to further develop our platform and expand our sales,</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0600"/>
          </w:cols>
          <w:pgMar w:left="320" w:top="453" w:right="979" w:bottom="1440" w:gutter="0" w:footer="0" w:header="0"/>
        </w:sectPr>
      </w:pPr>
    </w:p>
    <w:bookmarkStart w:id="17" w:name="page18"/>
    <w:bookmarkEnd w:id="1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color w:val="auto"/>
        </w:rPr>
        <w:t>marketing and professional services teams. We will also incur increased general and administrative expenses associated with our growth, including legal and accounting expenses and costs related to internal systems and operating as a public company. Our efforts to grow our business may be costlier than we expect, or our revenue growth rate may be slower than we expect, and we may not be able to increase our revenue enough to offset the increase in operating expenses resulting from these investments. If we are unable to achieve the revenue growth that we expect from these investments, or achieve profitability, it would have an adverse effect on our business, financial condition and results of operations, and the value of our business and our securities may significantly decrease.</w:t>
      </w:r>
    </w:p>
    <w:p>
      <w:pPr>
        <w:spacing w:after="0" w:line="257" w:lineRule="exact"/>
        <w:rPr>
          <w:sz w:val="20"/>
          <w:szCs w:val="20"/>
          <w:color w:val="auto"/>
        </w:rPr>
      </w:pPr>
    </w:p>
    <w:p>
      <w:pPr>
        <w:ind w:left="620" w:right="100" w:firstLine="40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Substantially all of our net revenues each quarter come from transactions that occur during that quarter, which may result in significant fluctuations in our operating results that could adversely affect our business, financial condition, results of operations and cash flows and may not fully reflect the underlying performance of our business.</w:t>
      </w:r>
    </w:p>
    <w:p>
      <w:pPr>
        <w:spacing w:after="0" w:line="56" w:lineRule="exact"/>
        <w:rPr>
          <w:sz w:val="20"/>
          <w:szCs w:val="20"/>
          <w:color w:val="auto"/>
        </w:rPr>
      </w:pPr>
    </w:p>
    <w:p>
      <w:pPr>
        <w:ind w:left="620" w:right="20" w:firstLine="400"/>
        <w:spacing w:after="0" w:line="260" w:lineRule="auto"/>
        <w:rPr>
          <w:sz w:val="20"/>
          <w:szCs w:val="20"/>
          <w:color w:val="auto"/>
        </w:rPr>
      </w:pPr>
      <w:r>
        <w:rPr>
          <w:rFonts w:ascii="Times New Roman" w:cs="Times New Roman" w:eastAsia="Times New Roman" w:hAnsi="Times New Roman"/>
          <w:sz w:val="16"/>
          <w:szCs w:val="16"/>
          <w:color w:val="auto"/>
        </w:rPr>
        <w:t>Our quarterly results, including revenue, expenses, consumer metrics and other key metrics, will be derived from transactions that occur during that quarter. Accordingly, our quarterly results are likely to fluctuate significantly. It is difficult for us to forecast accurately the level or source of our revenues or earnings, and the results for any one quarter are not necessarily an indication of future performance. Our quarterly results are likely to fluctuate due to a variety of factors, some of which are outside of our control. Due to the inherent difficulty in forecasting revenues, it is also difficult to forecast expenses. Quarterly and annual expenses reflected in our financial statements may be significantly different from historical or projected rates. Fluctuations in quarterly results may adversely affect the price of our securities. In addition, many of the factors that affect our quarterly results are difficult for us to predict. If our revenue, expenses, or key metrics in future quarters fall short of the expectations of our investors and financial analysts, the price of our securities could be adversely affected.</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Other factors that may cause fluctuations in our quarterly results include:</w:t>
      </w:r>
    </w:p>
    <w:p>
      <w:pPr>
        <w:spacing w:after="0" w:line="122" w:lineRule="exact"/>
        <w:rPr>
          <w:sz w:val="20"/>
          <w:szCs w:val="20"/>
          <w:color w:val="auto"/>
        </w:rPr>
      </w:pPr>
    </w:p>
    <w:p>
      <w:pPr>
        <w:ind w:left="1500" w:hanging="387"/>
        <w:spacing w:after="0"/>
        <w:tabs>
          <w:tab w:leader="none" w:pos="1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new users;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volume and mix;</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rates of repeat transaction and fluctuations in usage of our platform, including seasonality;</w:t>
      </w:r>
    </w:p>
    <w:p>
      <w:pPr>
        <w:spacing w:after="0" w:line="122" w:lineRule="exact"/>
        <w:rPr>
          <w:rFonts w:ascii="Times New Roman" w:cs="Times New Roman" w:eastAsia="Times New Roman" w:hAnsi="Times New Roman"/>
          <w:sz w:val="16"/>
          <w:szCs w:val="16"/>
          <w:color w:val="auto"/>
        </w:rPr>
      </w:pPr>
    </w:p>
    <w:p>
      <w:pPr>
        <w:ind w:left="1500" w:right="420" w:hanging="387"/>
        <w:spacing w:after="0" w:line="291" w:lineRule="auto"/>
        <w:tabs>
          <w:tab w:leader="none" w:pos="1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our expenses related to acquiring users and the maintenance and expansion of our business, operations and infrastructure;</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our relationships with our enterprise and loyalty partners;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market conditions, including the COVID-19 pandemic;</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emphasis on user experience instead of near-term growth;</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competitive dynamics in the industry in which we operate;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stock-based compensation expenses;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network outages, cyberattacks, or other actual or perceived security incidents or breaches or data privacy violations;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and regulations that impact our business;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and potential outcomes of potential claims or litigation; and</w:t>
      </w:r>
    </w:p>
    <w:p>
      <w:pPr>
        <w:spacing w:after="0" w:line="122" w:lineRule="exact"/>
        <w:rPr>
          <w:rFonts w:ascii="Times New Roman" w:cs="Times New Roman" w:eastAsia="Times New Roman" w:hAnsi="Times New Roman"/>
          <w:sz w:val="16"/>
          <w:szCs w:val="16"/>
          <w:color w:val="auto"/>
        </w:rPr>
      </w:pPr>
    </w:p>
    <w:p>
      <w:pPr>
        <w:ind w:left="1500" w:right="60" w:hanging="387"/>
        <w:spacing w:after="0" w:line="291" w:lineRule="auto"/>
        <w:tabs>
          <w:tab w:leader="none" w:pos="1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expenses related to the development or acquisition of technologies or businesses and potential future charges for impairment of goodwill from acquired technologies or businesses.</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0580"/>
          </w:cols>
          <w:pgMar w:left="320" w:top="453" w:right="999" w:bottom="1440" w:gutter="0" w:footer="0" w:header="0"/>
        </w:sectPr>
      </w:pPr>
    </w:p>
    <w:bookmarkStart w:id="18" w:name="page19"/>
    <w:bookmarkEnd w:id="1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right="180" w:firstLine="40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Sales efforts to large enterprise and loyalty partners involve risks that may not be present or that are present to a lesser extent with respect to sales to smaller organizations. If we are unable to attract additional enterprise or loyalty partners and retain and grow our relationships with our existing enterprise or loyalty partners, our business, financial condition, results of operations and future prospects would be materially and adversely affected.</w:t>
      </w:r>
    </w:p>
    <w:p>
      <w:pPr>
        <w:spacing w:after="0" w:line="62" w:lineRule="exact"/>
        <w:rPr>
          <w:sz w:val="20"/>
          <w:szCs w:val="20"/>
          <w:color w:val="auto"/>
        </w:rPr>
      </w:pPr>
    </w:p>
    <w:p>
      <w:pPr>
        <w:ind w:left="620" w:right="20" w:firstLine="400"/>
        <w:spacing w:after="0" w:line="260" w:lineRule="auto"/>
        <w:rPr>
          <w:sz w:val="20"/>
          <w:szCs w:val="20"/>
          <w:color w:val="auto"/>
        </w:rPr>
      </w:pPr>
      <w:r>
        <w:rPr>
          <w:rFonts w:ascii="Times New Roman" w:cs="Times New Roman" w:eastAsia="Times New Roman" w:hAnsi="Times New Roman"/>
          <w:sz w:val="16"/>
          <w:szCs w:val="16"/>
          <w:color w:val="auto"/>
        </w:rPr>
        <w:t>For our platform to be successful, we must continue our existing, and successfully develop new, partnerships with large enterprise and loyalty partners, such as airlines, hotel chains, ecosystem providers, financial institutions and other organizations that sponsor loyalty and rewards programs, have first party rights to consumers and/or manage digital assets. Our ability to retain and grow our relationships with our enterprise and loyalty partners depends on the willingness of those partners to establish a commercial relationship with us. Moreover, our growth plan includes significant marketing expense to incentivize large organizations with whom we develop partnerships to market our consumer app and platform to their customers, which we expect would accelerate consumer adoption of our platform and lower our overall consumer acquisition cost. If large enterprise and loyalty partners with whom we develop partnerships fail to market or do not effectively market our platform to their customers, or consumers fail to adopt our platform through these marketing efforts in such numbers as we have projected, we may be required to increase spending on direct to consumer marketing and adoption efforts, our consumer acquisition costs may increase and our business, financial condition and results of operations may be adversely affected.</w:t>
      </w:r>
    </w:p>
    <w:p>
      <w:pPr>
        <w:spacing w:after="0" w:line="167" w:lineRule="exact"/>
        <w:rPr>
          <w:sz w:val="20"/>
          <w:szCs w:val="20"/>
          <w:color w:val="auto"/>
        </w:rPr>
      </w:pPr>
    </w:p>
    <w:p>
      <w:pPr>
        <w:ind w:left="620" w:right="60" w:firstLine="400"/>
        <w:spacing w:after="0" w:line="260" w:lineRule="auto"/>
        <w:rPr>
          <w:sz w:val="20"/>
          <w:szCs w:val="20"/>
          <w:color w:val="auto"/>
        </w:rPr>
      </w:pPr>
      <w:r>
        <w:rPr>
          <w:rFonts w:ascii="Times New Roman" w:cs="Times New Roman" w:eastAsia="Times New Roman" w:hAnsi="Times New Roman"/>
          <w:sz w:val="16"/>
          <w:szCs w:val="16"/>
          <w:color w:val="auto"/>
        </w:rPr>
        <w:t>Sales to large enterprise and loyalty partners involve risks that may not be present or that are present to a lesser extent with sales to smaller organizations, such as longer sales cycles, more complex partner requirements and substantial upfront sales costs. For example, large enterprise and loyalty partners may require considerable time to evaluate and test our platform prior to making a decision, or may request compensation that may decrease our potential margins. Several factors influence the length and variability of our sales cycle, including the need to educate potential partners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enterprise and loyalty partner, with sales to large enterprises typically taking longer to complete. If we fail to effectively manage the risks associated with sales cycles and sales to large enterprise and loyalty partners, our business, financial condition and results of operations may be adversely affected.</w:t>
      </w:r>
    </w:p>
    <w:p>
      <w:pPr>
        <w:spacing w:after="0" w:line="167" w:lineRule="exact"/>
        <w:rPr>
          <w:sz w:val="20"/>
          <w:szCs w:val="20"/>
          <w:color w:val="auto"/>
        </w:rPr>
      </w:pPr>
    </w:p>
    <w:p>
      <w:pPr>
        <w:jc w:val="both"/>
        <w:ind w:left="620" w:right="100" w:firstLine="400"/>
        <w:spacing w:after="0" w:line="264" w:lineRule="auto"/>
        <w:rPr>
          <w:sz w:val="20"/>
          <w:szCs w:val="20"/>
          <w:color w:val="auto"/>
        </w:rPr>
      </w:pPr>
      <w:r>
        <w:rPr>
          <w:rFonts w:ascii="Times New Roman" w:cs="Times New Roman" w:eastAsia="Times New Roman" w:hAnsi="Times New Roman"/>
          <w:sz w:val="16"/>
          <w:szCs w:val="16"/>
          <w:color w:val="auto"/>
        </w:rPr>
        <w:t>Additionally, certain of our recently announced partnerships have not yet been memorialized in definitive written agreements, or certain terms of the written agreements relating to such partnerships remain subject to further discussion and refinement before they can be implemented. Our ability to realize the intended benefits of these partnerships will depend on our ability to finalize such agreements, and to do so on terms sufficiently favorable to us. While we continue to negotiate partnership terms, we may be unable to agree to terms with such partners on commercially advantageous terms or at all, which may adversely affect our business and prospects.</w:t>
      </w:r>
    </w:p>
    <w:p>
      <w:pPr>
        <w:spacing w:after="0" w:line="165"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color w:val="auto"/>
        </w:rPr>
        <w:t>Moreover, even when we execute an agreement with a large partner, we are still dependent on that partner to deploy our platform. Large partners often delay deployment for a lengthy period of time after executing an agreement. Even when large enterprise and loyalty partners begin their integration into our platform and consumer app,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partners will justify our upfront investment, which can be substantial. If a large partner delays deployment for lengthy periods of time, our consumer and revenue growth may not achieve expectations and our business, financial condition and results of operations may be adversely affected.</w:t>
      </w:r>
    </w:p>
    <w:p>
      <w:pPr>
        <w:spacing w:after="0" w:line="168" w:lineRule="exact"/>
        <w:rPr>
          <w:sz w:val="20"/>
          <w:szCs w:val="20"/>
          <w:color w:val="auto"/>
        </w:rPr>
      </w:pPr>
    </w:p>
    <w:p>
      <w:pPr>
        <w:ind w:left="620" w:right="380" w:firstLine="400"/>
        <w:spacing w:after="0" w:line="291" w:lineRule="auto"/>
        <w:rPr>
          <w:sz w:val="20"/>
          <w:szCs w:val="20"/>
          <w:color w:val="auto"/>
        </w:rPr>
      </w:pPr>
      <w:r>
        <w:rPr>
          <w:rFonts w:ascii="Times New Roman" w:cs="Times New Roman" w:eastAsia="Times New Roman" w:hAnsi="Times New Roman"/>
          <w:sz w:val="16"/>
          <w:szCs w:val="16"/>
          <w:color w:val="auto"/>
        </w:rPr>
        <w:t>Our agreements with our enterprise and loyalty partners have terms that range from approximately three to five years, and in some cases, our existing partners can generally terminate these agreements without cause upon</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0620"/>
          </w:cols>
          <w:pgMar w:left="320" w:top="453" w:right="959" w:bottom="1440" w:gutter="0" w:footer="0" w:header="0"/>
        </w:sectPr>
      </w:pPr>
    </w:p>
    <w:bookmarkStart w:id="19" w:name="page20"/>
    <w:bookmarkEnd w:id="1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jc w:val="both"/>
        <w:ind w:left="620" w:right="120"/>
        <w:spacing w:after="0" w:line="273" w:lineRule="auto"/>
        <w:rPr>
          <w:sz w:val="20"/>
          <w:szCs w:val="20"/>
          <w:color w:val="auto"/>
        </w:rPr>
      </w:pPr>
      <w:r>
        <w:rPr>
          <w:rFonts w:ascii="Times New Roman" w:cs="Times New Roman" w:eastAsia="Times New Roman" w:hAnsi="Times New Roman"/>
          <w:sz w:val="16"/>
          <w:szCs w:val="16"/>
          <w:color w:val="auto"/>
        </w:rPr>
        <w:t>30 to 90 days’ prior written notice. The termination of one or more of our agreements with a partner would result in a reduction in a loss of transacting accounts, transaction volume and revenue attributable to users generated from that partner relationship, and our business, financial condition, results of operations and future prospects would be materially and adversely affected.</w:t>
      </w:r>
    </w:p>
    <w:p>
      <w:pPr>
        <w:spacing w:after="0" w:line="157" w:lineRule="exact"/>
        <w:rPr>
          <w:sz w:val="20"/>
          <w:szCs w:val="20"/>
          <w:color w:val="auto"/>
        </w:rPr>
      </w:pPr>
    </w:p>
    <w:p>
      <w:pPr>
        <w:ind w:left="620" w:firstLine="400"/>
        <w:spacing w:after="0" w:line="264" w:lineRule="auto"/>
        <w:rPr>
          <w:sz w:val="20"/>
          <w:szCs w:val="20"/>
          <w:color w:val="auto"/>
        </w:rPr>
      </w:pPr>
      <w:r>
        <w:rPr>
          <w:rFonts w:ascii="Times New Roman" w:cs="Times New Roman" w:eastAsia="Times New Roman" w:hAnsi="Times New Roman"/>
          <w:sz w:val="16"/>
          <w:szCs w:val="16"/>
          <w:color w:val="auto"/>
        </w:rPr>
        <w:t>Large enterprise and loyalty partners, including future prospects we are pursuing, that have been adversely impacted by the ongoing COVID-19 pandemic have slowed all new business integrations, particularly those in the travel and hospitality industries. Their willingness to expend resources to integrate into our platform or support the consumer app has been, and may continue to be, hampered by the uncertainty resulting from the COVID-19 pandemic. Additionally, existing enterprise and loyalty partners may seek financial relief from obligations to us, or choose to cancel contracts with us, as a result of the COVID-19 pandemic or otherwise.</w:t>
      </w:r>
    </w:p>
    <w:p>
      <w:pPr>
        <w:spacing w:after="0" w:line="2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We face substantial and increasingly intense competition worldwide in the loyalty, rewards, payment, cryptoasset and investment industries.</w:t>
      </w:r>
    </w:p>
    <w:p>
      <w:pPr>
        <w:spacing w:after="0" w:line="114"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The loyalty, rewards, payment, cryptoasset and investment industries are highly competitive, rapidly changing, highly innovative, and increasingly subject to regulatory scrutiny and oversight. Although we do not believe that we have any single direct competitor for the full range of products we will provide through our platform, we compete against a wide range of businesses in the loyalty, rewards, payment and investment industries generally, including those that are larger than us, have greater name recognition, larger pools of deployable capital, longer operating histories, or a dominant or more secure position, or offer other products and services to users that we do not offer, as well as smaller or younger companies that may be more agile in responding quickly to regulatory and technological changes. Many of the areas in which we compete evolve rapidly with changing and disruptive technologies, shifting consumer needs, and frequent introductions of new products and services. Competition also may intensify as businesses enter into business combinations and partnerships, and established companies in other segments expand to become competitive with different aspects of our business.</w:t>
      </w:r>
    </w:p>
    <w:p>
      <w:pPr>
        <w:spacing w:after="0" w:line="3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We compete primarily on the basis of the following:</w:t>
      </w:r>
    </w:p>
    <w:p>
      <w:pPr>
        <w:spacing w:after="0" w:line="122" w:lineRule="exact"/>
        <w:rPr>
          <w:sz w:val="20"/>
          <w:szCs w:val="20"/>
          <w:color w:val="auto"/>
        </w:rPr>
      </w:pPr>
    </w:p>
    <w:p>
      <w:pPr>
        <w:ind w:left="1500" w:hanging="387"/>
        <w:spacing w:after="0"/>
        <w:tabs>
          <w:tab w:leader="none" w:pos="1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attract, retain and engage users on our platform;</w:t>
      </w:r>
    </w:p>
    <w:p>
      <w:pPr>
        <w:spacing w:after="0" w:line="122" w:lineRule="exact"/>
        <w:rPr>
          <w:rFonts w:ascii="Times New Roman" w:cs="Times New Roman" w:eastAsia="Times New Roman" w:hAnsi="Times New Roman"/>
          <w:sz w:val="16"/>
          <w:szCs w:val="16"/>
          <w:color w:val="auto"/>
        </w:rPr>
      </w:pPr>
    </w:p>
    <w:p>
      <w:pPr>
        <w:ind w:left="1500" w:right="240" w:hanging="387"/>
        <w:spacing w:after="0" w:line="291" w:lineRule="auto"/>
        <w:tabs>
          <w:tab w:leader="none" w:pos="1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demonstrate to enterprise and loyalty partners that they may achieve incremental sales and attract new customers by using and offering our services to consumers;</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strength of our integrated solution over other potential coalitions of disparate point solutions;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consumers’ confidence in the safety, security, privacy and control of their information on our platform;</w:t>
      </w:r>
    </w:p>
    <w:p>
      <w:pPr>
        <w:spacing w:after="0" w:line="122" w:lineRule="exact"/>
        <w:rPr>
          <w:rFonts w:ascii="Times New Roman" w:cs="Times New Roman" w:eastAsia="Times New Roman" w:hAnsi="Times New Roman"/>
          <w:sz w:val="16"/>
          <w:szCs w:val="16"/>
          <w:color w:val="auto"/>
        </w:rPr>
      </w:pPr>
    </w:p>
    <w:p>
      <w:pPr>
        <w:ind w:left="1500" w:right="260" w:hanging="387"/>
        <w:spacing w:after="0" w:line="291" w:lineRule="auto"/>
        <w:tabs>
          <w:tab w:leader="none" w:pos="1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develop products and services across multiple commerce channels, including mobile payments, payments at the retail point of sale, cryptoassets and loyalty/rewards points; and</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 reliability, regulatory compliance and data security.</w:t>
      </w:r>
    </w:p>
    <w:p>
      <w:pPr>
        <w:spacing w:after="0" w:line="208" w:lineRule="exact"/>
        <w:rPr>
          <w:sz w:val="20"/>
          <w:szCs w:val="20"/>
          <w:color w:val="auto"/>
        </w:rPr>
      </w:pPr>
    </w:p>
    <w:p>
      <w:pPr>
        <w:ind w:left="620" w:right="200" w:firstLine="400"/>
        <w:spacing w:after="0" w:line="273" w:lineRule="auto"/>
        <w:rPr>
          <w:sz w:val="20"/>
          <w:szCs w:val="20"/>
          <w:color w:val="auto"/>
        </w:rPr>
      </w:pPr>
      <w:r>
        <w:rPr>
          <w:rFonts w:ascii="Times New Roman" w:cs="Times New Roman" w:eastAsia="Times New Roman" w:hAnsi="Times New Roman"/>
          <w:sz w:val="16"/>
          <w:szCs w:val="16"/>
          <w:color w:val="auto"/>
        </w:rPr>
        <w:t>We partner with many businesses and consider the ability to continue establishing these partnerships important to our business. Competition for relationships with these enterprise and loyalty partners is intense and there can be no assurance that we will be able to continue to establish, grow, or maintain these partner relationships.</w:t>
      </w:r>
    </w:p>
    <w:p>
      <w:pPr>
        <w:spacing w:after="0" w:line="157" w:lineRule="exact"/>
        <w:rPr>
          <w:sz w:val="20"/>
          <w:szCs w:val="20"/>
          <w:color w:val="auto"/>
        </w:rPr>
      </w:pPr>
    </w:p>
    <w:p>
      <w:pPr>
        <w:ind w:left="620" w:right="60" w:firstLine="400"/>
        <w:spacing w:after="0" w:line="267" w:lineRule="auto"/>
        <w:rPr>
          <w:sz w:val="20"/>
          <w:szCs w:val="20"/>
          <w:color w:val="auto"/>
        </w:rPr>
      </w:pPr>
      <w:r>
        <w:rPr>
          <w:rFonts w:ascii="Times New Roman" w:cs="Times New Roman" w:eastAsia="Times New Roman" w:hAnsi="Times New Roman"/>
          <w:sz w:val="16"/>
          <w:szCs w:val="16"/>
          <w:color w:val="auto"/>
        </w:rPr>
        <w:t>Some of our current and potential competitors have larger customer bases, broader geographic scope, volume, scale, resources and market share than we do, which may provide them significant competitive advantages. Some competitors may also be subject to less burdensome licensing, anti-money laundering, counter-terrorist financing and other regulatory requirements. They may devote greater resources to the development, promotion and sale of products and services, and offer lower prices or more effectively offer their own innovative programs, products and services.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0620"/>
          </w:cols>
          <w:pgMar w:left="320" w:top="452" w:right="959" w:bottom="1440" w:gutter="0" w:footer="0" w:header="0"/>
        </w:sectPr>
      </w:pPr>
    </w:p>
    <w:bookmarkStart w:id="20" w:name="page21"/>
    <w:bookmarkEnd w:id="2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20" w:firstLine="400"/>
        <w:spacing w:after="0" w:line="291" w:lineRule="auto"/>
        <w:rPr>
          <w:sz w:val="20"/>
          <w:szCs w:val="20"/>
          <w:color w:val="auto"/>
        </w:rPr>
      </w:pPr>
      <w:r>
        <w:rPr>
          <w:rFonts w:ascii="Times New Roman" w:cs="Times New Roman" w:eastAsia="Times New Roman" w:hAnsi="Times New Roman"/>
          <w:sz w:val="16"/>
          <w:szCs w:val="16"/>
          <w:color w:val="auto"/>
        </w:rPr>
        <w:t>If we are not able to differentiate our products and services from those of our competitors, drive value for our users, or effectively and efficiently align our resources with our goals and objectives, we may not be able to compete effectively in the market.</w:t>
      </w:r>
    </w:p>
    <w:p>
      <w:pPr>
        <w:spacing w:after="0" w:line="2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If we fail to promote, protect and maintain our brand in a cost-effective manner, we may lose market share and our revenue may decrease.</w:t>
      </w:r>
    </w:p>
    <w:p>
      <w:pPr>
        <w:spacing w:after="0" w:line="114" w:lineRule="exact"/>
        <w:rPr>
          <w:sz w:val="20"/>
          <w:szCs w:val="20"/>
          <w:color w:val="auto"/>
        </w:rPr>
      </w:pPr>
    </w:p>
    <w:p>
      <w:pPr>
        <w:ind w:left="620" w:firstLine="400"/>
        <w:spacing w:after="0" w:line="259" w:lineRule="auto"/>
        <w:rPr>
          <w:sz w:val="20"/>
          <w:szCs w:val="20"/>
          <w:color w:val="auto"/>
        </w:rPr>
      </w:pPr>
      <w:r>
        <w:rPr>
          <w:rFonts w:ascii="Times New Roman" w:cs="Times New Roman" w:eastAsia="Times New Roman" w:hAnsi="Times New Roman"/>
          <w:sz w:val="16"/>
          <w:szCs w:val="16"/>
          <w:color w:val="auto"/>
        </w:rPr>
        <w:t>Our ability to further develop our business depends on our ability to build a strong and trusted brand. We are in the process of building our brand, and once achieved, we believe that developing, protecting and maintaining awareness of our brand in a cost-effective manner is critical to attracting and retaining users to our platform. To the extent our brand exists today, it is largely visible with respect to loyalty providers, financial institutions and institutional investment products and services. Successful promotion of our brand will entail broadening our brand to consumers and will depend largely on the effectiveness of our marketing efforts (including co-marketing efforts with partners) and the experience of users.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lose our existing users to our competitors or be unable to attract new users. Any such loss of existing users, or inability to attract new users, directly or through our partners, would have an adverse effect on our business, financial condition and results of operations.</w:t>
      </w:r>
    </w:p>
    <w:p>
      <w:pPr>
        <w:spacing w:after="0" w:line="263" w:lineRule="exact"/>
        <w:rPr>
          <w:sz w:val="20"/>
          <w:szCs w:val="20"/>
          <w:color w:val="auto"/>
        </w:rPr>
      </w:pPr>
    </w:p>
    <w:p>
      <w:pPr>
        <w:ind w:left="620" w:right="64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a consistently high level of user satisfaction and trust in our brand, our business, financial condition, results of operations and future prospects may be materially and adversely affected.</w:t>
      </w:r>
    </w:p>
    <w:p>
      <w:pPr>
        <w:spacing w:after="0" w:line="39" w:lineRule="exact"/>
        <w:rPr>
          <w:sz w:val="20"/>
          <w:szCs w:val="20"/>
          <w:color w:val="auto"/>
        </w:rPr>
      </w:pPr>
    </w:p>
    <w:p>
      <w:pPr>
        <w:ind w:left="620" w:right="60" w:firstLine="400"/>
        <w:spacing w:after="0" w:line="261" w:lineRule="auto"/>
        <w:rPr>
          <w:sz w:val="20"/>
          <w:szCs w:val="20"/>
          <w:color w:val="auto"/>
        </w:rPr>
      </w:pPr>
      <w:r>
        <w:rPr>
          <w:rFonts w:ascii="Times New Roman" w:cs="Times New Roman" w:eastAsia="Times New Roman" w:hAnsi="Times New Roman"/>
          <w:sz w:val="16"/>
          <w:szCs w:val="16"/>
          <w:color w:val="auto"/>
        </w:rPr>
        <w:t>If consumers do not trust our brand or do not have a positive experience, they may not use our platform. If enterprise and loyalty partners and financial institutions do not participate in our platform, our platform cannot attract or retain consumers, and vice versa. As a result, we have invested heavily in both our technology and our support team. If we are unable to maintain a consistently high level of positive user experience, we may lose existing users and consumers. In addition, our ability to attract new users is highly dependent on our reputation and on positive recommendations from our existing users and the partners we serve. Any failure to maintain a consistently high level of service, or a market perception that we do not maintain high-quality service, may adversely affect our reputation and the number of positive referrals that we receive. As a result, our business, financial condition, results of operations and future prospects may be materially and adversely affected.</w:t>
      </w:r>
    </w:p>
    <w:p>
      <w:pPr>
        <w:spacing w:after="0" w:line="2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If we fail to successfully transition certain services provided to us by ICE in the past, our business could be harmed.</w:t>
      </w:r>
    </w:p>
    <w:p>
      <w:pPr>
        <w:spacing w:after="0" w:line="114" w:lineRule="exact"/>
        <w:rPr>
          <w:sz w:val="20"/>
          <w:szCs w:val="20"/>
          <w:color w:val="auto"/>
        </w:rPr>
      </w:pPr>
    </w:p>
    <w:p>
      <w:pPr>
        <w:ind w:left="620" w:right="360" w:firstLine="400"/>
        <w:spacing w:after="0" w:line="291" w:lineRule="auto"/>
        <w:rPr>
          <w:sz w:val="20"/>
          <w:szCs w:val="20"/>
          <w:color w:val="auto"/>
        </w:rPr>
      </w:pPr>
      <w:r>
        <w:rPr>
          <w:rFonts w:ascii="Times New Roman" w:cs="Times New Roman" w:eastAsia="Times New Roman" w:hAnsi="Times New Roman"/>
          <w:sz w:val="16"/>
          <w:szCs w:val="16"/>
          <w:color w:val="auto"/>
        </w:rPr>
        <w:t>We have historically relied on ICE, a significant stockholder, to provide services with respect to certain aspects of our business, including the following:</w:t>
      </w:r>
    </w:p>
    <w:p>
      <w:pPr>
        <w:spacing w:after="0" w:line="56" w:lineRule="exact"/>
        <w:rPr>
          <w:sz w:val="20"/>
          <w:szCs w:val="20"/>
          <w:color w:val="auto"/>
        </w:rPr>
      </w:pPr>
    </w:p>
    <w:p>
      <w:pPr>
        <w:ind w:left="1500" w:hanging="387"/>
        <w:spacing w:after="0"/>
        <w:tabs>
          <w:tab w:leader="none" w:pos="1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credibility, regulatory and industry expertise and infrastructure support;</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critical infrastructure for custody of our cryptoassets;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institutional-grade services to support our custody arrangements, which leverage ICE’s robust platform of security protocols.</w:t>
      </w:r>
    </w:p>
    <w:p>
      <w:pPr>
        <w:spacing w:after="0" w:line="208" w:lineRule="exact"/>
        <w:rPr>
          <w:sz w:val="20"/>
          <w:szCs w:val="20"/>
          <w:color w:val="auto"/>
        </w:rPr>
      </w:pPr>
    </w:p>
    <w:p>
      <w:pPr>
        <w:ind w:left="620" w:right="20" w:firstLine="400"/>
        <w:spacing w:after="0" w:line="264" w:lineRule="auto"/>
        <w:rPr>
          <w:sz w:val="20"/>
          <w:szCs w:val="20"/>
          <w:color w:val="auto"/>
        </w:rPr>
      </w:pPr>
      <w:r>
        <w:rPr>
          <w:rFonts w:ascii="Times New Roman" w:cs="Times New Roman" w:eastAsia="Times New Roman" w:hAnsi="Times New Roman"/>
          <w:sz w:val="16"/>
          <w:szCs w:val="16"/>
          <w:color w:val="auto"/>
        </w:rPr>
        <w:t>Pursuant to a transition services agreement (the “Transition Services Agreement”) we signed with ICE on November 10, 2021, we have agreed to transition certain services, including technology and data center services, away from ICE that have been provided under an intercompany services agreement (“ISA”). There can be no assurance that we will be able to timely, efficiently or economically develop these capacities or provide these services without ICE, or that we will be able to procure alternative services from third parties. We may also be unable to provide the services at the level that they have historically been provided by ICE, or at all.</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0600"/>
          </w:cols>
          <w:pgMar w:left="320" w:top="452" w:right="979" w:bottom="1440" w:gutter="0" w:footer="0" w:header="0"/>
        </w:sectPr>
      </w:pPr>
    </w:p>
    <w:bookmarkStart w:id="21" w:name="page22"/>
    <w:bookmarkEnd w:id="2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In the interim, because we rely on ICE to provide support services and to facilitate certain of our business activities, we may face increased operational risk. Over time, we anticipate that ICE may sell down its ownership interest in us, thereby reducing the alignment of interests between us and ICE. With or without this sell down, ICE may be subject to financial, legal, regulatory and labor issues, cyberattacks, security incidents, privacy breaches, service terminations, disruptions or interruptions, or other problems, which may impose additional costs or requirements on us or prevent ICE from providing services to us or our users on our behalf, which could harm our business. In addition, ICE may disagree with our interpretation of contract terms or applicable laws and regulations, fail or refuse to process transactions or provide other services adequately, take actions that degrade the functionality of our services, impose additional costs or requirements on us or our users, or give preferential treatment to competitive services. As a result, we may be subject to business disruptions, losses related to costs to remediate any deficiencies, consumer dissatisfaction, reputational damage, legal or regulatory proceedings, or other adverse consequences, any of which could harm our business.</w:t>
      </w:r>
    </w:p>
    <w:p>
      <w:pPr>
        <w:spacing w:after="0" w:line="261" w:lineRule="exact"/>
        <w:rPr>
          <w:sz w:val="20"/>
          <w:szCs w:val="20"/>
          <w:color w:val="auto"/>
        </w:rPr>
      </w:pPr>
    </w:p>
    <w:p>
      <w:pPr>
        <w:ind w:left="620" w:right="6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We rely on third parties, over which we have no control, in our business, which creates additional risk, including risks related to the failure of third parties to provide various services that are important to our operations or to comply with legal or regulatory requirements.</w:t>
      </w:r>
    </w:p>
    <w:p>
      <w:pPr>
        <w:spacing w:after="0" w:line="39" w:lineRule="exact"/>
        <w:rPr>
          <w:sz w:val="20"/>
          <w:szCs w:val="20"/>
          <w:color w:val="auto"/>
        </w:rPr>
      </w:pPr>
    </w:p>
    <w:p>
      <w:pPr>
        <w:ind w:left="620" w:right="80" w:firstLine="400"/>
        <w:spacing w:after="0" w:line="273" w:lineRule="auto"/>
        <w:rPr>
          <w:sz w:val="20"/>
          <w:szCs w:val="20"/>
          <w:color w:val="auto"/>
        </w:rPr>
      </w:pPr>
      <w:r>
        <w:rPr>
          <w:rFonts w:ascii="Times New Roman" w:cs="Times New Roman" w:eastAsia="Times New Roman" w:hAnsi="Times New Roman"/>
          <w:sz w:val="16"/>
          <w:szCs w:val="16"/>
          <w:color w:val="auto"/>
        </w:rPr>
        <w:t>We have significant vendors that, among other things, provide us with financial, technology and other services to support our platforms and other activities, including, for example, marketing services, fulfillment services, cloud-based computer and data storage and other IT solutions and payment processing.</w:t>
      </w:r>
    </w:p>
    <w:p>
      <w:pPr>
        <w:spacing w:after="0" w:line="157" w:lineRule="exact"/>
        <w:rPr>
          <w:sz w:val="20"/>
          <w:szCs w:val="20"/>
          <w:color w:val="auto"/>
        </w:rPr>
      </w:pPr>
    </w:p>
    <w:p>
      <w:pPr>
        <w:ind w:left="620" w:right="60" w:firstLine="400"/>
        <w:spacing w:after="0" w:line="261" w:lineRule="auto"/>
        <w:rPr>
          <w:sz w:val="20"/>
          <w:szCs w:val="20"/>
          <w:color w:val="auto"/>
        </w:rPr>
      </w:pPr>
      <w:r>
        <w:rPr>
          <w:rFonts w:ascii="Times New Roman" w:cs="Times New Roman" w:eastAsia="Times New Roman" w:hAnsi="Times New Roman"/>
          <w:sz w:val="16"/>
          <w:szCs w:val="16"/>
          <w:color w:val="auto"/>
        </w:rPr>
        <w:t>Because we rely on third parties to provide certain of our services and to facilitate certain of our business activities, we face increased operational risk. These third parties may be subject to financial, legal, regulatory and labor issues, cyberattacks, security incidents, privacy breaches, service terminations, disruptions or interruptions, or other problems, which may impose additional costs or requirements on us or prevent these third parties from providing services to us or our users on our behalf, which could harm our business. Additionally, the Consumer Financial Protection Bureau (“CFPB”) and other regulators have issued guidance stating that institutions under their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168"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on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incident or breach, we could be subject to CFPB, Federal Trade Commission and other regulatory enforcement actions, claims from third parties, including our consumers, and suffer economic and reputational harm that could have an adverse effect on our business. Further, we may incur significant costs to resolve any such disruptions in service, which could adversely affect our business.</w:t>
      </w:r>
    </w:p>
    <w:p>
      <w:pPr>
        <w:spacing w:after="0" w:line="2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If our platform does not meet our service level commitments, our current and future revenue and reputation may be negatively impacted.</w:t>
      </w:r>
    </w:p>
    <w:p>
      <w:pPr>
        <w:spacing w:after="0" w:line="114" w:lineRule="exact"/>
        <w:rPr>
          <w:sz w:val="20"/>
          <w:szCs w:val="20"/>
          <w:color w:val="auto"/>
        </w:rPr>
      </w:pPr>
    </w:p>
    <w:p>
      <w:pPr>
        <w:ind w:left="620" w:right="80" w:firstLine="400"/>
        <w:spacing w:after="0" w:line="267" w:lineRule="auto"/>
        <w:rPr>
          <w:sz w:val="20"/>
          <w:szCs w:val="20"/>
          <w:color w:val="auto"/>
        </w:rPr>
      </w:pPr>
      <w:r>
        <w:rPr>
          <w:rFonts w:ascii="Times New Roman" w:cs="Times New Roman" w:eastAsia="Times New Roman" w:hAnsi="Times New Roman"/>
          <w:sz w:val="16"/>
          <w:szCs w:val="16"/>
          <w:color w:val="auto"/>
        </w:rPr>
        <w:t>We typically commit, through service level agreements or otherwise, to maintaining a minimum service levels with respect to our platform’s functionality, availability and response time. If we are unable to meet these commitments, we may be obligated to provide partners and users, including customers of our custody business and customers of ICE Futures U.S., Inc. (“IFUS”) and ICE Clear US, Inc. (“ICUS”) under our digital currency trading, clearing and custody services agreement with IFUS and ICUS (the “Triparty Agreement”), with</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0600"/>
          </w:cols>
          <w:pgMar w:left="320" w:top="453" w:right="979" w:bottom="1440" w:gutter="0" w:footer="0" w:header="0"/>
        </w:sectPr>
      </w:pPr>
    </w:p>
    <w:bookmarkStart w:id="22" w:name="page23"/>
    <w:bookmarkEnd w:id="2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color w:val="auto"/>
        </w:rPr>
        <w:t>remedies set forth below. A failure to meet service level commitments for a relatively short duration could cause us to be contractually obligated to issue credits or refunds to a large number of affected partners, institutions and consumers or result in the loss of partners, institutions and consumers. In addition, we cannot predict whether our partners, institutions and consumer participants will accept these credits, refunds, termination or extension rights in lieu of other legal remedies that may be available to them. Our failure to meet our commitments could also result in substantial consumer dissatisfaction or loss. Because of the loss of future revenues through the issuance of credits or the loss of partners, institutions and of consumers or other potential liabilities, our revenue could be significantly impacted if we cannot meet our service level commitments.</w:t>
      </w:r>
    </w:p>
    <w:p>
      <w:pPr>
        <w:spacing w:after="0" w:line="163" w:lineRule="exact"/>
        <w:rPr>
          <w:sz w:val="20"/>
          <w:szCs w:val="20"/>
          <w:color w:val="auto"/>
        </w:rPr>
      </w:pPr>
    </w:p>
    <w:p>
      <w:pPr>
        <w:jc w:val="both"/>
        <w:ind w:left="620" w:right="180" w:firstLine="400"/>
        <w:spacing w:after="0" w:line="273" w:lineRule="auto"/>
        <w:rPr>
          <w:sz w:val="20"/>
          <w:szCs w:val="20"/>
          <w:color w:val="auto"/>
        </w:rPr>
      </w:pPr>
      <w:r>
        <w:rPr>
          <w:rFonts w:ascii="Times New Roman" w:cs="Times New Roman" w:eastAsia="Times New Roman" w:hAnsi="Times New Roman"/>
          <w:sz w:val="16"/>
          <w:szCs w:val="16"/>
          <w:color w:val="auto"/>
        </w:rPr>
        <w:t>In addition, we rely on public cloud providers, such as Microsoft Azure and Google Cloud, and any availability interruption in the public cloud could result in us not meeting our service-level commitments. In some cases, we may not have a contractual right with our public cloud providers that compensates us for any losses due to availability interruptions in the public cloud.</w:t>
      </w:r>
    </w:p>
    <w:p>
      <w:pPr>
        <w:spacing w:after="0" w:line="157" w:lineRule="exact"/>
        <w:rPr>
          <w:sz w:val="20"/>
          <w:szCs w:val="20"/>
          <w:color w:val="auto"/>
        </w:rPr>
      </w:pPr>
    </w:p>
    <w:p>
      <w:pPr>
        <w:jc w:val="both"/>
        <w:ind w:left="620" w:right="20" w:firstLine="400"/>
        <w:spacing w:after="0" w:line="291" w:lineRule="auto"/>
        <w:rPr>
          <w:sz w:val="20"/>
          <w:szCs w:val="20"/>
          <w:color w:val="auto"/>
        </w:rPr>
      </w:pPr>
      <w:r>
        <w:rPr>
          <w:rFonts w:ascii="Times New Roman" w:cs="Times New Roman" w:eastAsia="Times New Roman" w:hAnsi="Times New Roman"/>
          <w:sz w:val="16"/>
          <w:szCs w:val="16"/>
          <w:color w:val="auto"/>
        </w:rPr>
        <w:t>Any of the above circumstances or events may harm our reputation, impair our ability to develop our platform and grow our base of users, subject us to financial penalties and liabilities under our service level agreements and otherwise harm our business, financial condition and results of operations.</w:t>
      </w:r>
    </w:p>
    <w:p>
      <w:pPr>
        <w:spacing w:after="0" w:line="236" w:lineRule="exact"/>
        <w:rPr>
          <w:sz w:val="20"/>
          <w:szCs w:val="20"/>
          <w:color w:val="auto"/>
        </w:rPr>
      </w:pPr>
    </w:p>
    <w:p>
      <w:pPr>
        <w:ind w:left="620" w:right="24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If we cannot keep pace with rapid technological developments to provide new and innovative products and services, the use of our products and services may not develop, and, consequently, our business would suffer.</w:t>
      </w:r>
    </w:p>
    <w:p>
      <w:pPr>
        <w:spacing w:after="0" w:line="39" w:lineRule="exact"/>
        <w:rPr>
          <w:sz w:val="20"/>
          <w:szCs w:val="20"/>
          <w:color w:val="auto"/>
        </w:rPr>
      </w:pPr>
    </w:p>
    <w:p>
      <w:pPr>
        <w:ind w:left="620" w:right="40" w:firstLine="400"/>
        <w:spacing w:after="0" w:line="258" w:lineRule="auto"/>
        <w:rPr>
          <w:sz w:val="20"/>
          <w:szCs w:val="20"/>
          <w:color w:val="auto"/>
        </w:rPr>
      </w:pPr>
      <w:r>
        <w:rPr>
          <w:rFonts w:ascii="Times New Roman" w:cs="Times New Roman" w:eastAsia="Times New Roman" w:hAnsi="Times New Roman"/>
          <w:sz w:val="16"/>
          <w:szCs w:val="16"/>
          <w:color w:val="auto"/>
        </w:rPr>
        <w:t>Rapid, significant and disruptive technological changes impact the industries in which we operate, including developments in payment card tokenization, mobile, social commerce (i.e., ecommerce through social networks), authentication, cryptoassets (including distributed ledger and blockchain technologies), and near-field communication and other proximity payment technology, such as contactless payments. As a result, we expect new services and technologies to continue to emerge and evolve, and we cannot predict the effects of technological changes on our business. In addition to our own initiatives and innovations, we rely in part on third parties for the development of and access to new or evolving technologies. These third parties may restrict or prevent our access to, or utilization of, those technologies, as well as their platforms or products. In addition, we may not be able to accurately predict which technological developments or innovations will become widely adopted and how those technologies may be regulated. We expect that new services and technologies applicable to the industries in which we operate will continue to emerge and may be superior to, or render obsolete, the technologies we currently use in our products and services. Developing and incorporating new technologies into our products and services may require substantial expenditures, take considerable time, and ultimately may not be successful. In addition, our ability to adopt new products and services and to develop new technologies may be inhibited by industry-wide standards, payments networks, changes to laws and regulations, resistance to change from users, third-party intellectual property rights, or other factors. Our success will depend on our ability to develop and incorporate new technologies and adapt to technological changes and evolving industry standards; if we are unable to do so in a timely or cost-effective manner, our business could be harmed.</w:t>
      </w:r>
    </w:p>
    <w:p>
      <w:pPr>
        <w:spacing w:after="0" w:line="267" w:lineRule="exact"/>
        <w:rPr>
          <w:sz w:val="20"/>
          <w:szCs w:val="20"/>
          <w:color w:val="auto"/>
        </w:rPr>
      </w:pPr>
    </w:p>
    <w:p>
      <w:pPr>
        <w:ind w:left="620" w:right="8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If a large percentage of our revenue is concentrated with a small number of enterprise and/or loyalty partners, the loss of any such enterprise or loyalty partner would materially and adversely affect our business, financial condition, results of operations and future prospects.</w:t>
      </w:r>
    </w:p>
    <w:p>
      <w:pPr>
        <w:spacing w:after="0" w:line="39" w:lineRule="exact"/>
        <w:rPr>
          <w:sz w:val="20"/>
          <w:szCs w:val="20"/>
          <w:color w:val="auto"/>
        </w:rPr>
      </w:pPr>
    </w:p>
    <w:p>
      <w:pPr>
        <w:ind w:left="620" w:right="60" w:firstLine="400"/>
        <w:spacing w:after="0" w:line="263" w:lineRule="auto"/>
        <w:rPr>
          <w:sz w:val="20"/>
          <w:szCs w:val="20"/>
          <w:color w:val="auto"/>
        </w:rPr>
      </w:pPr>
      <w:r>
        <w:rPr>
          <w:rFonts w:ascii="Times New Roman" w:cs="Times New Roman" w:eastAsia="Times New Roman" w:hAnsi="Times New Roman"/>
          <w:sz w:val="16"/>
          <w:szCs w:val="16"/>
          <w:color w:val="auto"/>
        </w:rPr>
        <w:t>The concentration of a significant portion of our business and transaction volume with a limited number of enterprise and/or loyalty partners and financial institutions exposes us disproportionately to the risk of any of those partners choosing to no longer partner with us, to the economic performance of such partners or their respective industries or to any events, circumstances, or risks affecting such partners or their respective industries. Any such loss could make our platform less appealing to existing and potential users. In addition, because our business model anticipates revenue synergies between our loyalty redemption, alternative payment method and digital asset marketplace aspects, the loss of a significant partner in one aspect would have negative</w:t>
      </w: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0600"/>
          </w:cols>
          <w:pgMar w:left="320" w:top="453" w:right="979" w:bottom="1440" w:gutter="0" w:footer="0" w:header="0"/>
        </w:sectPr>
      </w:pPr>
    </w:p>
    <w:bookmarkStart w:id="23" w:name="page24"/>
    <w:bookmarkEnd w:id="2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380"/>
        <w:spacing w:after="0" w:line="291" w:lineRule="auto"/>
        <w:rPr>
          <w:sz w:val="20"/>
          <w:szCs w:val="20"/>
          <w:color w:val="auto"/>
        </w:rPr>
      </w:pPr>
      <w:r>
        <w:rPr>
          <w:rFonts w:ascii="Times New Roman" w:cs="Times New Roman" w:eastAsia="Times New Roman" w:hAnsi="Times New Roman"/>
          <w:sz w:val="16"/>
          <w:szCs w:val="16"/>
          <w:color w:val="auto"/>
        </w:rPr>
        <w:t>repercussions across the three separate revenue streams. Accordingly, the loss of any significant enterprise or loyalty partner or financial institution relationship could materially and adversely affect our business, results of operations, financial condition and future prospects.</w:t>
      </w:r>
    </w:p>
    <w:p>
      <w:pPr>
        <w:spacing w:after="0" w:line="236" w:lineRule="exact"/>
        <w:rPr>
          <w:sz w:val="20"/>
          <w:szCs w:val="20"/>
          <w:color w:val="auto"/>
        </w:rPr>
      </w:pPr>
    </w:p>
    <w:p>
      <w:pPr>
        <w:ind w:left="620" w:right="8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Failure to deal effectively with fraud, fictitious transactions, bad transactions and negative consumer experiences could increase our loss rate and harm our business and could severely diminish user confidence in and use of our platform.</w:t>
      </w:r>
    </w:p>
    <w:p>
      <w:pPr>
        <w:spacing w:after="0" w:line="39" w:lineRule="exact"/>
        <w:rPr>
          <w:sz w:val="20"/>
          <w:szCs w:val="20"/>
          <w:color w:val="auto"/>
        </w:rPr>
      </w:pPr>
    </w:p>
    <w:p>
      <w:pPr>
        <w:ind w:left="620" w:right="20" w:firstLine="400"/>
        <w:spacing w:after="0" w:line="263" w:lineRule="auto"/>
        <w:rPr>
          <w:sz w:val="20"/>
          <w:szCs w:val="20"/>
          <w:color w:val="auto"/>
        </w:rPr>
      </w:pPr>
      <w:r>
        <w:rPr>
          <w:rFonts w:ascii="Times New Roman" w:cs="Times New Roman" w:eastAsia="Times New Roman" w:hAnsi="Times New Roman"/>
          <w:sz w:val="16"/>
          <w:szCs w:val="16"/>
          <w:color w:val="auto"/>
        </w:rPr>
        <w:t>It is expected that our platform will process a significant volume and dollar value of transactions daily. In the event that enterprise or loyalty partners do not fulfill their obligations to consumers on our platform, we may incur substantial losses as a result of claims from consumers. We will seek to recover such losses from the partner, but we may not fully recover them if the partner is unwilling or unable to pay. In addition, in the event of the bankruptcy or other business interruption of a partner that sells goods or services in advance of the date of their delivery or use (e.g., airline, cruise or concert tickets, custom-made goods and subscriptions), we could be liable to consumers who buy such goods or services, through chargebacks. Furthermore, any reserves we generate to offset transaction losses may be insufficient.</w:t>
      </w:r>
    </w:p>
    <w:p>
      <w:pPr>
        <w:spacing w:after="0" w:line="163" w:lineRule="exact"/>
        <w:rPr>
          <w:sz w:val="20"/>
          <w:szCs w:val="20"/>
          <w:color w:val="auto"/>
        </w:rPr>
      </w:pPr>
    </w:p>
    <w:p>
      <w:pPr>
        <w:ind w:left="620" w:right="80" w:firstLine="400"/>
        <w:spacing w:after="0" w:line="267" w:lineRule="auto"/>
        <w:rPr>
          <w:sz w:val="20"/>
          <w:szCs w:val="20"/>
          <w:color w:val="auto"/>
        </w:rPr>
      </w:pPr>
      <w:r>
        <w:rPr>
          <w:rFonts w:ascii="Times New Roman" w:cs="Times New Roman" w:eastAsia="Times New Roman" w:hAnsi="Times New Roman"/>
          <w:sz w:val="16"/>
          <w:szCs w:val="16"/>
          <w:color w:val="auto"/>
        </w:rPr>
        <w:t>We may also incur substantial losses from claims that a consumer did not authorize fraudulent or erroneous transactions. We have taken measures to detect and reduce the risk of fraud on our platform, but these measures require continuous improvement and may not be effective in detecting and preventing fraud, particularly new and continually evolving forms of fraud or in connection with new or expanded product offerings. If these measures do not succeed, our business could be negatively impacted.</w:t>
      </w:r>
    </w:p>
    <w:p>
      <w:pPr>
        <w:spacing w:after="0" w:line="256" w:lineRule="exact"/>
        <w:rPr>
          <w:sz w:val="20"/>
          <w:szCs w:val="20"/>
          <w:color w:val="auto"/>
        </w:rPr>
      </w:pPr>
    </w:p>
    <w:p>
      <w:pPr>
        <w:ind w:left="620" w:right="24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Our failure to correctly cause the settlement of transactions running through our platform, or the failure of a third party to correctly follow instructions regarding settlement of such transactions, could harm our business.</w:t>
      </w:r>
    </w:p>
    <w:p>
      <w:pPr>
        <w:spacing w:after="0" w:line="39"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As our platform develops, we will be required to settle large amounts of user transactions on behalf of consumers and on behalf of or through enterprise and loyalty partners via their APIs. Our ability to correctly cause transaction settlement requires a high level of internal controls and to some degree requires the involvement and technology of our enterprise and loyalty partners. Since our platform is in its development stage, we have neither an established operating history nor proven management experience in developing or maintaining the necessary internal controls. Our success will require significant public confidence in our ability to handle large and growing transaction volumes and the cooperation of our enterprise and loyalty partners. Any failure by us, or by any third party, to maintain the necessary controls or to effect or cause settlement of transactions running through our platform accurately and in compliance with applicable regulatory requirements could result in reputational harm, lead users to discontinue or reduce their use of our platform and result in significant penalties and fines, any of which could materially harm our business.</w:t>
      </w:r>
    </w:p>
    <w:p>
      <w:pPr>
        <w:spacing w:after="0" w:line="265" w:lineRule="exact"/>
        <w:rPr>
          <w:sz w:val="20"/>
          <w:szCs w:val="20"/>
          <w:color w:val="auto"/>
        </w:rPr>
      </w:pPr>
    </w:p>
    <w:p>
      <w:pPr>
        <w:ind w:left="620" w:right="38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If we experience rapid growth, it may place significant demands on our operational, administrative and financial resources and it may be difficult to sustain such growth.</w:t>
      </w:r>
    </w:p>
    <w:p>
      <w:pPr>
        <w:spacing w:after="0" w:line="39" w:lineRule="exact"/>
        <w:rPr>
          <w:sz w:val="20"/>
          <w:szCs w:val="20"/>
          <w:color w:val="auto"/>
        </w:rPr>
      </w:pPr>
    </w:p>
    <w:p>
      <w:pPr>
        <w:jc w:val="both"/>
        <w:ind w:left="620" w:right="300" w:firstLine="400"/>
        <w:spacing w:after="0" w:line="273" w:lineRule="auto"/>
        <w:rPr>
          <w:sz w:val="20"/>
          <w:szCs w:val="20"/>
          <w:color w:val="auto"/>
        </w:rPr>
      </w:pPr>
      <w:r>
        <w:rPr>
          <w:rFonts w:ascii="Times New Roman" w:cs="Times New Roman" w:eastAsia="Times New Roman" w:hAnsi="Times New Roman"/>
          <w:sz w:val="16"/>
          <w:szCs w:val="16"/>
          <w:color w:val="auto"/>
        </w:rPr>
        <w:t>We have a relatively limited operating history even at our current scale and our projected growth in future periods following the launch of our consumer app exposes us to increased risks, uncertainties, expenses and difficulties. If we are unable to appropriately scale our operations to support such growth, our business, results of operations, financial condition and future prospects would be materially and adversely affected.</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As a result of our growth, we face significant challenges in:</w:t>
      </w:r>
    </w:p>
    <w:p>
      <w:pPr>
        <w:spacing w:after="0" w:line="122" w:lineRule="exact"/>
        <w:rPr>
          <w:sz w:val="20"/>
          <w:szCs w:val="20"/>
          <w:color w:val="auto"/>
        </w:rPr>
      </w:pPr>
    </w:p>
    <w:p>
      <w:pPr>
        <w:ind w:left="1500" w:hanging="387"/>
        <w:spacing w:after="0"/>
        <w:tabs>
          <w:tab w:leader="none" w:pos="15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number of consumers on, and the volume of transactions facilitated through, our platform;</w:t>
      </w:r>
    </w:p>
    <w:p>
      <w:pPr>
        <w:spacing w:after="0" w:line="122" w:lineRule="exact"/>
        <w:rPr>
          <w:rFonts w:ascii="Times New Roman" w:cs="Times New Roman" w:eastAsia="Times New Roman" w:hAnsi="Times New Roman"/>
          <w:sz w:val="16"/>
          <w:szCs w:val="16"/>
          <w:color w:val="auto"/>
        </w:rPr>
      </w:pPr>
    </w:p>
    <w:p>
      <w:pPr>
        <w:jc w:val="center"/>
        <w:ind w:left="5540" w:right="1220" w:hanging="4427"/>
        <w:spacing w:after="0" w:line="467" w:lineRule="auto"/>
        <w:tabs>
          <w:tab w:leader="none" w:pos="1503"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and developing relationships with existing and new enterprise and loyalty partners and financial institutions; 20</w:t>
      </w:r>
    </w:p>
    <w:p>
      <w:pPr>
        <w:sectPr>
          <w:pgSz w:w="11900" w:h="16838" w:orient="portrait"/>
          <w:cols w:equalWidth="0" w:num="1">
            <w:col w:w="10620"/>
          </w:cols>
          <w:pgMar w:left="320" w:top="452" w:right="959" w:bottom="1440" w:gutter="0" w:footer="0" w:header="0"/>
        </w:sectPr>
      </w:pPr>
    </w:p>
    <w:bookmarkStart w:id="24" w:name="page25"/>
    <w:bookmarkEnd w:id="2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500" w:hanging="387"/>
        <w:spacing w:after="0"/>
        <w:tabs>
          <w:tab w:leader="none" w:pos="1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securing funding to maintain our operations and future growth;</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adequate financial, business and risk controls;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new or updated information and financial risk controls and procedures;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navigating complex and evolving regulatory and competitive environments;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attracting, integrating and retaining an appropriate number of qualified employees of an adequate technological skill level;</w:t>
      </w:r>
    </w:p>
    <w:p>
      <w:pPr>
        <w:spacing w:after="0" w:line="122" w:lineRule="exact"/>
        <w:rPr>
          <w:rFonts w:ascii="Times New Roman" w:cs="Times New Roman" w:eastAsia="Times New Roman" w:hAnsi="Times New Roman"/>
          <w:sz w:val="16"/>
          <w:szCs w:val="16"/>
          <w:color w:val="auto"/>
        </w:rPr>
      </w:pPr>
    </w:p>
    <w:p>
      <w:pPr>
        <w:ind w:left="1500" w:right="480" w:hanging="387"/>
        <w:spacing w:after="0" w:line="291" w:lineRule="auto"/>
        <w:tabs>
          <w:tab w:leader="none" w:pos="1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particularly in the COVID-19 environment, training, managing and appropriately sizing our workforce and other components of our business on a timely and cost-effective basis;</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expanding within existing markets;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entering new markets and introducing new solutions;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continuing to develop, maintain, protect and scale our platform;</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using limited personnel and technology resources; and</w:t>
      </w:r>
    </w:p>
    <w:p>
      <w:pPr>
        <w:spacing w:after="0" w:line="122" w:lineRule="exact"/>
        <w:rPr>
          <w:rFonts w:ascii="Times New Roman" w:cs="Times New Roman" w:eastAsia="Times New Roman" w:hAnsi="Times New Roman"/>
          <w:sz w:val="16"/>
          <w:szCs w:val="16"/>
          <w:color w:val="auto"/>
        </w:rPr>
      </w:pPr>
    </w:p>
    <w:p>
      <w:pPr>
        <w:ind w:left="1500" w:right="80" w:hanging="387"/>
        <w:spacing w:after="0" w:line="291" w:lineRule="auto"/>
        <w:tabs>
          <w:tab w:leader="none" w:pos="1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the security of our platform and the confidentiality of the information, including personally identifiable information, provided and utilized across our platform.</w:t>
      </w:r>
    </w:p>
    <w:p>
      <w:pPr>
        <w:spacing w:after="0" w:line="142" w:lineRule="exact"/>
        <w:rPr>
          <w:sz w:val="20"/>
          <w:szCs w:val="20"/>
          <w:color w:val="auto"/>
        </w:rPr>
      </w:pPr>
    </w:p>
    <w:p>
      <w:pPr>
        <w:ind w:left="620" w:right="100" w:firstLine="400"/>
        <w:spacing w:after="0" w:line="273" w:lineRule="auto"/>
        <w:rPr>
          <w:sz w:val="20"/>
          <w:szCs w:val="20"/>
          <w:color w:val="auto"/>
        </w:rPr>
      </w:pPr>
      <w:r>
        <w:rPr>
          <w:rFonts w:ascii="Times New Roman" w:cs="Times New Roman" w:eastAsia="Times New Roman" w:hAnsi="Times New Roman"/>
          <w:sz w:val="16"/>
          <w:szCs w:val="16"/>
          <w:color w:val="auto"/>
        </w:rPr>
        <w:t>We may not be able to properly manage and scale our expanding operations effectively, and any failure to do so could adversely affect our ability to generate revenue and control our expenses, and would materially and adversely affect our business, financial condition, results of operations and future prospects.</w:t>
      </w:r>
    </w:p>
    <w:p>
      <w:pPr>
        <w:spacing w:after="0" w:line="251" w:lineRule="exact"/>
        <w:rPr>
          <w:sz w:val="20"/>
          <w:szCs w:val="20"/>
          <w:color w:val="auto"/>
        </w:rPr>
      </w:pPr>
    </w:p>
    <w:p>
      <w:pPr>
        <w:ind w:left="620" w:right="140" w:firstLine="40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otherwise adversely affect our business, financial condition and results of operations.</w:t>
      </w:r>
    </w:p>
    <w:p>
      <w:pPr>
        <w:spacing w:after="0" w:line="56" w:lineRule="exact"/>
        <w:rPr>
          <w:sz w:val="20"/>
          <w:szCs w:val="20"/>
          <w:color w:val="auto"/>
        </w:rPr>
      </w:pPr>
    </w:p>
    <w:p>
      <w:pPr>
        <w:ind w:left="620" w:right="40" w:firstLine="400"/>
        <w:spacing w:after="0" w:line="260" w:lineRule="auto"/>
        <w:rPr>
          <w:sz w:val="20"/>
          <w:szCs w:val="20"/>
          <w:color w:val="auto"/>
        </w:rPr>
      </w:pPr>
      <w:r>
        <w:rPr>
          <w:rFonts w:ascii="Times New Roman" w:cs="Times New Roman" w:eastAsia="Times New Roman" w:hAnsi="Times New Roman"/>
          <w:sz w:val="16"/>
          <w:szCs w:val="16"/>
          <w:color w:val="auto"/>
        </w:rPr>
        <w:t>We have in the past and may in the future seek to acquire or invest in businesses, joint ventures and platform technologies that we believe could complement or expand our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or if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results of operations or the trading price of our securities.</w:t>
      </w:r>
    </w:p>
    <w:p>
      <w:pPr>
        <w:spacing w:after="0" w:line="2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We may require additional capital to support the growth of our business, and such capital might not be available on acceptable terms, if at all.</w:t>
      </w:r>
    </w:p>
    <w:p>
      <w:pPr>
        <w:spacing w:after="0" w:line="114"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color w:val="auto"/>
        </w:rPr>
        <w:t>Other than the proceeds received from the Business Combination, we have funded our operations since inception primarily through equity financings and payments received from our platform.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or results of operations. If we incur debt, the debt holders would have rights senior to holders of existing securities to make claims on our assets, and the terms of any debt could restrict our operations, including our ability to pay dividends on our</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0620"/>
          </w:cols>
          <w:pgMar w:left="320" w:top="452" w:right="959" w:bottom="1440" w:gutter="0" w:footer="0" w:header="0"/>
        </w:sectPr>
      </w:pPr>
    </w:p>
    <w:bookmarkStart w:id="25" w:name="page26"/>
    <w:bookmarkEnd w:id="2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60"/>
        <w:spacing w:after="0" w:line="267" w:lineRule="auto"/>
        <w:rPr>
          <w:sz w:val="20"/>
          <w:szCs w:val="20"/>
          <w:color w:val="auto"/>
        </w:rPr>
      </w:pPr>
      <w:r>
        <w:rPr>
          <w:rFonts w:ascii="Times New Roman" w:cs="Times New Roman" w:eastAsia="Times New Roman" w:hAnsi="Times New Roman"/>
          <w:sz w:val="16"/>
          <w:szCs w:val="16"/>
          <w:color w:val="auto"/>
        </w:rPr>
        <w:t>Class A Common Stock. Furthermore, if we issue additional equity securities, stockholders will experience dilution, and the new equity securities could have rights senior to those of our existing securities. Our decision to issue securities in the future will depend on numerous considerations, including factors beyond our control, thus we cannot predict or estimate the amount, timing, or nature of any future issuances of debt or equity securities. As a result, our stockholders bear the risk of future issuances of debt or equity securities reducing the value of our securities and diluting their interests.</w:t>
      </w:r>
    </w:p>
    <w:p>
      <w:pPr>
        <w:spacing w:after="0" w:line="2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Our financial condition and results of operations may be adversely affected by the impact of the continuing COVID-19 pandemic.</w:t>
      </w:r>
    </w:p>
    <w:p>
      <w:pPr>
        <w:spacing w:after="0" w:line="114" w:lineRule="exact"/>
        <w:rPr>
          <w:sz w:val="20"/>
          <w:szCs w:val="20"/>
          <w:color w:val="auto"/>
        </w:rPr>
      </w:pPr>
    </w:p>
    <w:p>
      <w:pPr>
        <w:ind w:left="620" w:right="20" w:firstLine="400"/>
        <w:spacing w:after="0" w:line="259" w:lineRule="auto"/>
        <w:rPr>
          <w:sz w:val="20"/>
          <w:szCs w:val="20"/>
          <w:color w:val="auto"/>
        </w:rPr>
      </w:pPr>
      <w:r>
        <w:rPr>
          <w:rFonts w:ascii="Times New Roman" w:cs="Times New Roman" w:eastAsia="Times New Roman" w:hAnsi="Times New Roman"/>
          <w:sz w:val="16"/>
          <w:szCs w:val="16"/>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For example, the global COVID-19 pandemic (including its variants and any resurgence) could have an adverse effect on the value, operating results and financial condition of our business. In addition, the impact of the pandemic is likely to cause substantial changes in consumer behavior and has caused restrictions on business and individual activities, which are likely to lead to reduced economic activity. These effects could be exacerbated or prolonged by the emergence of COVID-19 variants, including the “omicron” variant. Extraordinary actions taken by international, federal, state and local public health and governmental authorities to contain and combat the outbreak and spread of COVID-19 (including its variants) in regions throughout the world, including travel bans, quarantines, “stay-at-home” orders and similar mandates for many individuals and businesses to substantially restrict daily activities has had and may continue to have an adverse effect on our financial condition and results of operations. The extent and duration of the economic effects attributable to COVID-19 (including its variants and any resurgence) remains uncertain at this time. A continued significant economic slowdown, or periodic resurgences due to COVID-19 variants and/or the failure to achieve appropriate vaccination or immunity rates, or the potential fading effect of certain vaccines, could have a substantial adverse effect on our financial condition, liquidity and results of operations.</w:t>
      </w:r>
    </w:p>
    <w:p>
      <w:pPr>
        <w:spacing w:after="0" w:line="2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The loss of the services of our senior management could adversely affect our business.</w:t>
      </w:r>
    </w:p>
    <w:p>
      <w:pPr>
        <w:spacing w:after="0" w:line="114"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color w:val="auto"/>
        </w:rPr>
        <w:t>The experience of our senior management is a valuable asset to us. If we are unable to retain members of our core senior management team, including our Chief Executive Officer, Gavin Michael, we could experience uncertainty and significant delays or difficulty in the achievement of our development and strategic objectives and our business, financial condition and results of operations could be materially and adversely harmed. Our management team has significant experience in the digital assets, payments, loyalty and institutional trading businesses, is responsible for many of our core competencies, and would be difficult to replace. Competition for senior executives in these businesses, especially in the unique manner in which we combine such competencies, is intense, and we may not be able to attract and retain qualified personnel to replace or succeed members of our senior management team or other key personnel. Failure to retain talented senior leadership could have a material adverse effect on our business.</w:t>
      </w:r>
    </w:p>
    <w:p>
      <w:pPr>
        <w:spacing w:after="0" w:line="2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Our business will suffer if we fail to attract and retain highly skilled employees.</w:t>
      </w:r>
    </w:p>
    <w:p>
      <w:pPr>
        <w:spacing w:after="0" w:line="114" w:lineRule="exact"/>
        <w:rPr>
          <w:sz w:val="20"/>
          <w:szCs w:val="20"/>
          <w:color w:val="auto"/>
        </w:rPr>
      </w:pPr>
    </w:p>
    <w:p>
      <w:pPr>
        <w:ind w:left="620" w:right="40" w:firstLine="400"/>
        <w:spacing w:after="0" w:line="261" w:lineRule="auto"/>
        <w:rPr>
          <w:sz w:val="20"/>
          <w:szCs w:val="20"/>
          <w:color w:val="auto"/>
        </w:rPr>
      </w:pPr>
      <w:r>
        <w:rPr>
          <w:rFonts w:ascii="Times New Roman" w:cs="Times New Roman" w:eastAsia="Times New Roman" w:hAnsi="Times New Roman"/>
          <w:sz w:val="16"/>
          <w:szCs w:val="16"/>
          <w:color w:val="auto"/>
        </w:rPr>
        <w:t>Our future success will depend on our ability to identify, hire, develop, motivate and retain highly qualified personnel for all areas of our organization, particularly information technology and sales. Further, hiring qualified and experienced personnel in this specialized technology space is difficult due to the high level of competition and scarcity of experience. Many of the companies with which we compete for experienced employees have greater resources than we do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would negatively impact our business. Further, if we suffer attrition and</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0620"/>
          </w:cols>
          <w:pgMar w:left="320" w:top="453" w:right="959" w:bottom="1440" w:gutter="0" w:footer="0" w:header="0"/>
        </w:sectPr>
      </w:pPr>
    </w:p>
    <w:bookmarkStart w:id="26" w:name="page27"/>
    <w:bookmarkEnd w:id="2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60"/>
        <w:spacing w:after="0" w:line="291" w:lineRule="auto"/>
        <w:rPr>
          <w:sz w:val="20"/>
          <w:szCs w:val="20"/>
          <w:color w:val="auto"/>
        </w:rPr>
      </w:pPr>
      <w:r>
        <w:rPr>
          <w:rFonts w:ascii="Times New Roman" w:cs="Times New Roman" w:eastAsia="Times New Roman" w:hAnsi="Times New Roman"/>
          <w:sz w:val="16"/>
          <w:szCs w:val="16"/>
          <w:color w:val="auto"/>
        </w:rPr>
        <w:t>shortages with respect to certain of our customer service personnel, such as our call centers, our ability to maintain compliance with our service level commitments to partners may be impacted, resulting in financial penalties and, potentially, damage to or loss of those partner relationships.</w:t>
      </w:r>
    </w:p>
    <w:p>
      <w:pPr>
        <w:spacing w:after="0" w:line="236" w:lineRule="exact"/>
        <w:rPr>
          <w:sz w:val="20"/>
          <w:szCs w:val="20"/>
          <w:color w:val="auto"/>
        </w:rPr>
      </w:pPr>
    </w:p>
    <w:p>
      <w:pPr>
        <w:ind w:left="620" w:right="40" w:firstLine="40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are currently operating in a period of economic uncertainty and disruption, which has been significantly impacted by geopolitical instability due to the ongoing military conflict between Russia and Ukraine. Our business, financial condition and results of operations may be materially adversely affected by any negative impact on the global economy resulting from the conflict in Ukraine or any other geopolitical tensions.</w:t>
      </w:r>
    </w:p>
    <w:p>
      <w:pPr>
        <w:spacing w:after="0" w:line="56"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color w:val="auto"/>
        </w:rPr>
        <w:t>U.S. and global markets are experiencing volatility and disruption following the escalation of geopolitical tensions and the military conflict between Russia and Ukraine. Although the length and impact of the ongoing conflict is highly unpredictable, the conflict and other geopolitical tensions could lead to market disruptions, including significant volatility in cryptocurrencies and the capital markets, as well as supply chain constraints. These disruptions could adversely impact our business both directly and indirectly through adverse developments to our partners’ businesses. We are continuing to monitor the situation in Ukraine and globally and assessing its potential impact on our business. The extent and duration of the conflict, sanctions and resulting market disruptions are impossible to predict, but could be substantial. Any such disruptions may also magnify the impact of other risks set forth in this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section.</w:t>
      </w:r>
    </w:p>
    <w:p>
      <w:pPr>
        <w:spacing w:after="0" w:line="2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Our revenue is impacted, to a significant extent, by the general economy.</w:t>
      </w:r>
    </w:p>
    <w:p>
      <w:pPr>
        <w:spacing w:after="0" w:line="114" w:lineRule="exact"/>
        <w:rPr>
          <w:sz w:val="20"/>
          <w:szCs w:val="20"/>
          <w:color w:val="auto"/>
        </w:rPr>
      </w:pPr>
    </w:p>
    <w:p>
      <w:pPr>
        <w:ind w:left="620" w:right="20" w:firstLine="400"/>
        <w:spacing w:after="0" w:line="263" w:lineRule="auto"/>
        <w:rPr>
          <w:sz w:val="20"/>
          <w:szCs w:val="20"/>
          <w:color w:val="auto"/>
        </w:rPr>
      </w:pPr>
      <w:r>
        <w:rPr>
          <w:rFonts w:ascii="Times New Roman" w:cs="Times New Roman" w:eastAsia="Times New Roman" w:hAnsi="Times New Roman"/>
          <w:sz w:val="16"/>
          <w:szCs w:val="16"/>
          <w:color w:val="auto"/>
        </w:rPr>
        <w:t>Our business, the digital asset industry, and our partners’ businesses are sensitive to macroeconomic conditions. Economic factors such as interest rates, changes in monetary and related policies, market volatility, consumer confidence, and unemployment rates are among the most significant factors that impact consumer spending behavior. Weak economic conditions, high interest rates, inflation or a significant deterioration in economic conditions reduce the amount of disposable income consumers have, which in turn reduces consumer spending and the willingness of consumers to accumulate and spend digital assets or otherwise transact in digital assets, which would have an adverse effect on our business, results of operations, financial condition, and future prospects.</w:t>
      </w:r>
    </w:p>
    <w:p>
      <w:pPr>
        <w:spacing w:after="0" w:line="163" w:lineRule="exact"/>
        <w:rPr>
          <w:sz w:val="20"/>
          <w:szCs w:val="20"/>
          <w:color w:val="auto"/>
        </w:rPr>
      </w:pPr>
    </w:p>
    <w:p>
      <w:pPr>
        <w:ind w:left="620" w:right="40" w:firstLine="400"/>
        <w:spacing w:after="0" w:line="263" w:lineRule="auto"/>
        <w:rPr>
          <w:sz w:val="20"/>
          <w:szCs w:val="20"/>
          <w:color w:val="auto"/>
        </w:rPr>
      </w:pPr>
      <w:r>
        <w:rPr>
          <w:rFonts w:ascii="Times New Roman" w:cs="Times New Roman" w:eastAsia="Times New Roman" w:hAnsi="Times New Roman"/>
          <w:sz w:val="16"/>
          <w:szCs w:val="16"/>
          <w:color w:val="auto"/>
        </w:rPr>
        <w:t>Our ability to generate subscription and service revenue and transaction revenue depends, in part, on consumers continuing to access and utilize our platform. Our partners’ businesses may decrease or fail to increase as a result of factors outside of their control, such as the macroeconomic conditions referenced above, or business conditions affecting a particular partner, industry vertical, or region. Weak economic conditions also could extend the length of our partners’ sales cycle and cause consumers to delay making (or not make) purchases of our partners’ products and services. Some of our partners have experienced a decrease in sales, supply chain disruptions, inventory shortages, and other adverse effects. A decline in activity by consumers of our partners’ products and services for any reason may correspondingly result in lower revenue generated by our platform.</w:t>
      </w: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Risks Related to Cryptoassets</w:t>
      </w:r>
    </w:p>
    <w:p>
      <w:pPr>
        <w:spacing w:after="0" w:line="110" w:lineRule="exact"/>
        <w:rPr>
          <w:sz w:val="20"/>
          <w:szCs w:val="20"/>
          <w:color w:val="auto"/>
        </w:rPr>
      </w:pPr>
    </w:p>
    <w:p>
      <w:pPr>
        <w:jc w:val="both"/>
        <w:ind w:left="620" w:right="20" w:firstLine="40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Cryptoasset custodial solutions and related technology, including our systems and custodial arrangements, are subject to risks related to a loss of funds due to theft of cryptoassets, employee or vendor sabotage, security and cybersecurity risks, system failures and other operational issues, the loss, destruction or other compromise of our private keys and a lack of sufficient insurance, which could cause damage to our reputation and brand.</w:t>
      </w:r>
    </w:p>
    <w:p>
      <w:pPr>
        <w:spacing w:after="0" w:line="56" w:lineRule="exact"/>
        <w:rPr>
          <w:sz w:val="20"/>
          <w:szCs w:val="20"/>
          <w:color w:val="auto"/>
        </w:rPr>
      </w:pPr>
    </w:p>
    <w:p>
      <w:pPr>
        <w:jc w:val="both"/>
        <w:ind w:left="620" w:right="180" w:firstLine="400"/>
        <w:spacing w:after="0" w:line="273" w:lineRule="auto"/>
        <w:rPr>
          <w:sz w:val="20"/>
          <w:szCs w:val="20"/>
          <w:color w:val="auto"/>
        </w:rPr>
      </w:pPr>
      <w:r>
        <w:rPr>
          <w:rFonts w:ascii="Times New Roman" w:cs="Times New Roman" w:eastAsia="Times New Roman" w:hAnsi="Times New Roman"/>
          <w:sz w:val="16"/>
          <w:szCs w:val="16"/>
          <w:color w:val="auto"/>
        </w:rPr>
        <w:t>Our systems and custodial solutions involve the processing, storage and transmission of cryptoassets and data. While we contractually limit our exposure in the event that cryptoassets are stolen or misappropriated, we cannot guarantee that these limits will protect us from additional liability and other damage. The theft or</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0620"/>
          </w:cols>
          <w:pgMar w:left="320" w:top="453" w:right="959" w:bottom="1440" w:gutter="0" w:footer="0" w:header="0"/>
        </w:sectPr>
      </w:pPr>
    </w:p>
    <w:bookmarkStart w:id="27" w:name="page28"/>
    <w:bookmarkEnd w:id="2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0"/>
        <w:spacing w:after="0" w:line="264" w:lineRule="auto"/>
        <w:rPr>
          <w:sz w:val="20"/>
          <w:szCs w:val="20"/>
          <w:color w:val="auto"/>
        </w:rPr>
      </w:pPr>
      <w:r>
        <w:rPr>
          <w:rFonts w:ascii="Times New Roman" w:cs="Times New Roman" w:eastAsia="Times New Roman" w:hAnsi="Times New Roman"/>
          <w:sz w:val="16"/>
          <w:szCs w:val="16"/>
          <w:color w:val="auto"/>
        </w:rPr>
        <w:t>misappropriation of cryptoassets held in custody by us would likely result in financial loss, reputational damage, potential lack of trust from our users, negative press coverage, and diversion of our management’s time and focus. The secure storage and transmission of cryptoassets and data over networks will be a critical element of our operations. Despite the defensive measures we may take, these threats may come from external factors such as governments, organized crime, hackers, and other third parties such as outsourced or infrastructure-support providers and application developers, or may originate internally from an employee or service provider to whom we have granted access to our systems.</w:t>
      </w:r>
    </w:p>
    <w:p>
      <w:pPr>
        <w:spacing w:after="0" w:line="165" w:lineRule="exact"/>
        <w:rPr>
          <w:sz w:val="20"/>
          <w:szCs w:val="20"/>
          <w:color w:val="auto"/>
        </w:rPr>
      </w:pPr>
    </w:p>
    <w:p>
      <w:pPr>
        <w:ind w:left="620" w:right="60" w:firstLine="400"/>
        <w:spacing w:after="0" w:line="264" w:lineRule="auto"/>
        <w:rPr>
          <w:sz w:val="20"/>
          <w:szCs w:val="20"/>
          <w:color w:val="auto"/>
        </w:rPr>
      </w:pPr>
      <w:r>
        <w:rPr>
          <w:rFonts w:ascii="Times New Roman" w:cs="Times New Roman" w:eastAsia="Times New Roman" w:hAnsi="Times New Roman"/>
          <w:sz w:val="16"/>
          <w:szCs w:val="16"/>
          <w:color w:val="auto"/>
        </w:rPr>
        <w:t>Cryptoasset transactions may be irrevocable, and stolen or incorrectly transferred cryptoassets may be irretrievable. Once a transaction has been verified and recorded in a block that is added to the distributed ledger, an incorrect transfer of a cryptoasset generally will not be reversible, and we may not be capable of seeking compensation for any such transfer or theft. It is possible that, through computer or human error, or through theft or criminal action, the cryptoasset could be transferred in incorrect amounts or to unauthorized third parties, or to uncontrolled accounts. Such events would have a material adverse effect on our ability to continue as a going concern.</w:t>
      </w:r>
    </w:p>
    <w:p>
      <w:pPr>
        <w:spacing w:after="0" w:line="165"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color w:val="auto"/>
        </w:rPr>
        <w:t>Cryptoassets are controllable only by the possessor of private keys relating to the distributed ledger through which the cryptoassets are held. While the distributed ledgers require a public key relating to a digital asset to be published when used in a transaction, private keys must be safeguarded and kept private in order to prevent a third party from accessing the cryptoassets. To the extent our private keys are lost, destroyed, or otherwise compromised and no backups of the private keys are accessible, we will be unable to access the cryptoassets held through the distributed ledger. Any loss of private keys relating to, or hack or other compromise of, our cryptoassets could adversely affect our consumers’ ability to access or sell their cryptoassets and could harm consumers’ trust in us and our products. Additionally, any loss of private keys relating to, or hack or other compromise of, the distributed ledger through which third parties store cryptoassets could have negative reputational effects on us and harm consumers’ trust in us and our products.</w:t>
      </w:r>
    </w:p>
    <w:p>
      <w:pPr>
        <w:spacing w:after="0" w:line="364" w:lineRule="exact"/>
        <w:rPr>
          <w:sz w:val="20"/>
          <w:szCs w:val="20"/>
          <w:color w:val="auto"/>
        </w:rPr>
      </w:pPr>
    </w:p>
    <w:p>
      <w:pPr>
        <w:ind w:left="620" w:right="80" w:firstLine="400"/>
        <w:spacing w:after="0" w:line="267" w:lineRule="auto"/>
        <w:rPr>
          <w:sz w:val="20"/>
          <w:szCs w:val="20"/>
          <w:color w:val="auto"/>
        </w:rPr>
      </w:pPr>
      <w:r>
        <w:rPr>
          <w:rFonts w:ascii="Times New Roman" w:cs="Times New Roman" w:eastAsia="Times New Roman" w:hAnsi="Times New Roman"/>
          <w:sz w:val="16"/>
          <w:szCs w:val="16"/>
          <w:color w:val="auto"/>
        </w:rPr>
        <w:t>While we maintain insurance policies, those policies may not be adequate to reimburse us for losses caused by security breaches or incidents, and we may lose cryptoassets valued in excess of the insurance policy without any recourse. Unlike bank accounts or accounts at some other financial institutions, in the event of loss or loss of utility value, there is no public insurer to offer recourse to us or to any consumer and the misappropriated cryptoassets may not be easily traced to the bad actor.</w:t>
      </w:r>
    </w:p>
    <w:p>
      <w:pPr>
        <w:spacing w:after="0" w:line="162" w:lineRule="exact"/>
        <w:rPr>
          <w:sz w:val="20"/>
          <w:szCs w:val="20"/>
          <w:color w:val="auto"/>
        </w:rPr>
      </w:pPr>
    </w:p>
    <w:p>
      <w:pPr>
        <w:ind w:left="620" w:right="120" w:firstLine="400"/>
        <w:spacing w:after="0" w:line="273" w:lineRule="auto"/>
        <w:rPr>
          <w:sz w:val="20"/>
          <w:szCs w:val="20"/>
          <w:color w:val="auto"/>
        </w:rPr>
      </w:pPr>
      <w:r>
        <w:rPr>
          <w:rFonts w:ascii="Times New Roman" w:cs="Times New Roman" w:eastAsia="Times New Roman" w:hAnsi="Times New Roman"/>
          <w:sz w:val="16"/>
          <w:szCs w:val="16"/>
          <w:color w:val="auto"/>
        </w:rPr>
        <w:t>Further, when cryptoasset custodial solutions or transfer venues, whether involving our systems or others, experience system failures or other operational issues, such events could result in a reduction in cryptoasset prices or confidence and impact our success and have a material adverse effect on our ability to continue as a going concern.</w:t>
      </w:r>
    </w:p>
    <w:p>
      <w:pPr>
        <w:spacing w:after="0" w:line="2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Our cryptoasset business’s pricing model and incentive arrangements may create conflicts of interest and affect our revenues.</w:t>
      </w:r>
    </w:p>
    <w:p>
      <w:pPr>
        <w:spacing w:after="0" w:line="114" w:lineRule="exact"/>
        <w:rPr>
          <w:sz w:val="20"/>
          <w:szCs w:val="20"/>
          <w:color w:val="auto"/>
        </w:rPr>
      </w:pPr>
    </w:p>
    <w:p>
      <w:pPr>
        <w:ind w:left="620" w:right="20" w:firstLine="400"/>
        <w:spacing w:after="0" w:line="260" w:lineRule="auto"/>
        <w:rPr>
          <w:sz w:val="20"/>
          <w:szCs w:val="20"/>
          <w:color w:val="auto"/>
        </w:rPr>
      </w:pPr>
      <w:r>
        <w:rPr>
          <w:rFonts w:ascii="Times New Roman" w:cs="Times New Roman" w:eastAsia="Times New Roman" w:hAnsi="Times New Roman"/>
          <w:sz w:val="16"/>
          <w:szCs w:val="16"/>
          <w:color w:val="auto"/>
        </w:rPr>
        <w:t>In our cryptoasset business, our subsidiary, Bakkt Marketplace, transacts with consumers on its platform for its own account, at a price determined by us, which will reflect a margin or other compensation to us. Bakkt Marketplace is not acting as broker on behalf of the consumer, and there is no assurance that prices on its platform are or will be as favorable to consumers as prices that may be available from other sources. To facilitate consumer transactions, we will enter into transactions in cryptoassets with trading counterparties. The prices at which we are able to transact with trading counterparties may affect the prices at which we buy or sell from or to consumers. In addition, we may enter into arrangements that give us an incentive to use certain trading counterparties for this purpose, which may also affect the price at which Bakkt Marketplace is willing to transact with its consumers. These arrangements may present conflicts of interest. Some consumers may object to our pricing model, as well as our arrangements with trading counterparties, and any negative views of users or market participants regarding our pricing and such arrangements could adversely affect our business.</w:t>
      </w:r>
    </w:p>
    <w:p>
      <w:pPr>
        <w:spacing w:after="0" w:line="3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0620"/>
          </w:cols>
          <w:pgMar w:left="320" w:top="452" w:right="959" w:bottom="1440" w:gutter="0" w:footer="0" w:header="0"/>
        </w:sectPr>
      </w:pPr>
    </w:p>
    <w:bookmarkStart w:id="28" w:name="page29"/>
    <w:bookmarkEnd w:id="2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right="240" w:firstLine="40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There may be a general perception among regulators and others that cryptoassets are used to facilitate illegal activity such as fraud, money laundering, tax evasion and ransomware scams. Because we provide the ability to buy, sell, convert, spend and send certain cryptoassets, any negative perceptions associated with cryptoassets could harm our reputation and brand.</w:t>
      </w:r>
    </w:p>
    <w:p>
      <w:pPr>
        <w:spacing w:after="0" w:line="56" w:lineRule="exact"/>
        <w:rPr>
          <w:sz w:val="20"/>
          <w:szCs w:val="20"/>
          <w:color w:val="auto"/>
        </w:rPr>
      </w:pPr>
    </w:p>
    <w:p>
      <w:pPr>
        <w:ind w:left="620" w:firstLine="400"/>
        <w:spacing w:after="0" w:line="259" w:lineRule="auto"/>
        <w:rPr>
          <w:sz w:val="20"/>
          <w:szCs w:val="20"/>
          <w:color w:val="auto"/>
        </w:rPr>
      </w:pPr>
      <w:r>
        <w:rPr>
          <w:rFonts w:ascii="Times New Roman" w:cs="Times New Roman" w:eastAsia="Times New Roman" w:hAnsi="Times New Roman"/>
          <w:sz w:val="16"/>
          <w:szCs w:val="16"/>
          <w:color w:val="auto"/>
        </w:rPr>
        <w:t>Cryptoassets are perceived by regulators and the general public as being susceptible to, and in fact have been used on numerous occasions for, illegal or improper uses, including money laundering, terrorist financing, illegal online gambling, fraudulent sales of goods or services,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to facilitate other illegal activity. Because our platform allows certain individuals and institutions that are direct customers of Bakkt Trust to deposit and withdraw cryptoassets, and our platform allows consumers to buy, sell, convert, spend and send cryptoassets, this perception may harm our reputation and brand because it could be viewed as facilitating, or could otherwise become associated with, these illegal activities. Any such negative perception of our brand and reputation could harm our business. Further, banks may not provide banking services, or may cut off banking services, to businesses that provide cryptoasset-related services, which could dampen liquidity in the market and damage the public perception of cryptoassets generally or any one digital asset in particular, such as bitcoin, which could decrease the trading volume of cryptoassets.</w:t>
      </w:r>
    </w:p>
    <w:p>
      <w:pPr>
        <w:spacing w:after="0" w:line="266" w:lineRule="exact"/>
        <w:rPr>
          <w:sz w:val="20"/>
          <w:szCs w:val="20"/>
          <w:color w:val="auto"/>
        </w:rPr>
      </w:pPr>
    </w:p>
    <w:p>
      <w:pPr>
        <w:ind w:left="620" w:right="20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Cryptoassets, such as bitcoin, do not have extensive historical precedence and distributed ledger technology continues to rapidly evolve. The unique characteristics of these digital assets present risks and challenges to us that could have a material adverse effect on our business.</w:t>
      </w:r>
    </w:p>
    <w:p>
      <w:pPr>
        <w:spacing w:after="0" w:line="39" w:lineRule="exact"/>
        <w:rPr>
          <w:sz w:val="20"/>
          <w:szCs w:val="20"/>
          <w:color w:val="auto"/>
        </w:rPr>
      </w:pPr>
    </w:p>
    <w:p>
      <w:pPr>
        <w:ind w:left="620" w:right="20" w:firstLine="400"/>
        <w:spacing w:after="0" w:line="258" w:lineRule="auto"/>
        <w:rPr>
          <w:sz w:val="20"/>
          <w:szCs w:val="20"/>
          <w:color w:val="auto"/>
        </w:rPr>
      </w:pPr>
      <w:r>
        <w:rPr>
          <w:rFonts w:ascii="Times New Roman" w:cs="Times New Roman" w:eastAsia="Times New Roman" w:hAnsi="Times New Roman"/>
          <w:sz w:val="16"/>
          <w:szCs w:val="16"/>
          <w:color w:val="auto"/>
        </w:rPr>
        <w:t>Cryptoassets, such as bitcoin, do not have extensive historical precedence, and distributed ledger technology continues to rapidly evolve. Given the infancy of the development of cryptoasset networks, parties may be unwilling to transact in cryptoassets, which would dampen the growth, if any, of cryptoasset networks. In our capacity as a cryptoasset custodian, our platform holds cryptoassets for individual and institutional consumers, and buys, sells, sends and receives cryptoassets to fulfill buy and sell orders of such consumers, which it then holds on behalf of the consumers through the Bakkt Warehouse. The rate of change of cryptoasset networks can present technological challenges and require us to expend significant time and expenditures to adapt to new cryptoasset network technologies. Acceptance of software patches or upgrades by a significant, but not overwhelming, percentage of the users and miners in a cryptoasset network, such as the Bitcoin Network, could result in a “fork” in such network’s distributed ledger, resulting in the operation of multiple separate networks. This could require us to develop and incorporate new technologies to integrate with the new fork, which may require substantial expenditures and take considerable time, if it can be done at all. Until such time as we develop and incorporate such new technologies, consumers may not be able to access new forks or the assets available on new forks. Because cryptoasset networks are dependent upon the internet, a disruption of the internet or a cryptoasset network, such as the Bitcoin Network, would affect the ability to transfer cryptoassets, including bitcoin. The realization of one or more of the foregoing risks may have a material adverse effect on our cryptoasset trading and custody business. Moreover, because cryptoassets, including bitcoin, have been in existence for a short period of time and are continuing to develop and evolve, there may be additional risks in the future that are impossible to predict and which could have a material adverse effect on our cryptoasset and custody business.</w:t>
      </w:r>
    </w:p>
    <w:p>
      <w:pPr>
        <w:spacing w:after="0" w:line="2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Cryptoassets are subject to volatile price fluctuations which can impact our business.</w:t>
      </w:r>
    </w:p>
    <w:p>
      <w:pPr>
        <w:spacing w:after="0" w:line="114" w:lineRule="exact"/>
        <w:rPr>
          <w:sz w:val="20"/>
          <w:szCs w:val="20"/>
          <w:color w:val="auto"/>
        </w:rPr>
      </w:pPr>
    </w:p>
    <w:p>
      <w:pPr>
        <w:ind w:left="620" w:right="220" w:firstLine="400"/>
        <w:spacing w:after="0" w:line="273" w:lineRule="auto"/>
        <w:rPr>
          <w:sz w:val="20"/>
          <w:szCs w:val="20"/>
          <w:color w:val="auto"/>
        </w:rPr>
      </w:pPr>
      <w:r>
        <w:rPr>
          <w:rFonts w:ascii="Times New Roman" w:cs="Times New Roman" w:eastAsia="Times New Roman" w:hAnsi="Times New Roman"/>
          <w:sz w:val="16"/>
          <w:szCs w:val="16"/>
          <w:color w:val="auto"/>
        </w:rPr>
        <w:t>Prices of cryptoassets have fluctuated widely for a variety of reasons including uncertainties in government regulation and may continue to experience significant price fluctuations. Volatility has had a significant impact on the fair market value of cryptoassets and there can be no assurance that ongoing volatility will positively impact the value of cryptoassets.</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0620"/>
          </w:cols>
          <w:pgMar w:left="320" w:top="452" w:right="959" w:bottom="1440" w:gutter="0" w:footer="0" w:header="0"/>
        </w:sectPr>
      </w:pPr>
    </w:p>
    <w:bookmarkStart w:id="29" w:name="page30"/>
    <w:bookmarkEnd w:id="2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Several factors may affect the price of cryptoassets, including:</w:t>
      </w:r>
    </w:p>
    <w:p>
      <w:pPr>
        <w:spacing w:after="0" w:line="122" w:lineRule="exact"/>
        <w:rPr>
          <w:sz w:val="20"/>
          <w:szCs w:val="20"/>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cryptoassets in existence;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cryptoassets supply and demand;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expectations with respect to the rate of inflation of fiat currencies;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exchange rates;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Cryptoasset market fragmentation and consolidation;</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Fiat currency withdrawal and deposit policies of cryptoasset exchanges and liquidity of such exchanges;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in service from or failure of major cryptoasset exchanges;</w:t>
      </w:r>
    </w:p>
    <w:p>
      <w:pPr>
        <w:spacing w:after="0" w:line="122" w:lineRule="exact"/>
        <w:rPr>
          <w:rFonts w:ascii="Times New Roman" w:cs="Times New Roman" w:eastAsia="Times New Roman" w:hAnsi="Times New Roman"/>
          <w:sz w:val="16"/>
          <w:szCs w:val="16"/>
          <w:color w:val="auto"/>
        </w:rPr>
      </w:pPr>
    </w:p>
    <w:p>
      <w:pPr>
        <w:ind w:left="1500" w:right="240" w:hanging="387"/>
        <w:spacing w:after="0" w:line="291" w:lineRule="auto"/>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 theft of cryptoassets from online cryptoasset wallet providers, or news of such theft from such providers, or theft from individual cryptoasset wallets;</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and trading activities of hedge funds and other large cryptoasset investors;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Monetary policies of governments, trade restrictions, currency devaluations and revaluations;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measures, if any, that restrict or facilitate the ability to buy, sell or hold cryptoassets or use cryptoassets as a form of payment;</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and popularity of businesses that provide cryptoasset-related services;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Maintenance and development of the open-source software protocol of the cryptoasset network;</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competition from other forms of cryptoasset or payments services;</w:t>
      </w:r>
    </w:p>
    <w:p>
      <w:pPr>
        <w:spacing w:after="0" w:line="122" w:lineRule="exact"/>
        <w:rPr>
          <w:rFonts w:ascii="Times New Roman" w:cs="Times New Roman" w:eastAsia="Times New Roman" w:hAnsi="Times New Roman"/>
          <w:sz w:val="16"/>
          <w:szCs w:val="16"/>
          <w:color w:val="auto"/>
        </w:rPr>
      </w:pPr>
    </w:p>
    <w:p>
      <w:pPr>
        <w:ind w:left="1500" w:right="120" w:hanging="387"/>
        <w:spacing w:after="0" w:line="273" w:lineRule="auto"/>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or regional political, economic or financial events and uncertainty (such as the ongoing geopolitical tensions related to Russia’s actions in Ukraine, and resulting sanctions imposed by the U.S. and other countries, and retaliatory actions taken by Russia in response to such sanctions);</w:t>
      </w:r>
    </w:p>
    <w:p>
      <w:pPr>
        <w:spacing w:after="0" w:line="70"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Manipulative trading activity on cryptoasset exchanges, which are largely unregulated;</w:t>
      </w:r>
    </w:p>
    <w:p>
      <w:pPr>
        <w:spacing w:after="0" w:line="122" w:lineRule="exact"/>
        <w:rPr>
          <w:rFonts w:ascii="Times New Roman" w:cs="Times New Roman" w:eastAsia="Times New Roman" w:hAnsi="Times New Roman"/>
          <w:sz w:val="16"/>
          <w:szCs w:val="16"/>
          <w:color w:val="auto"/>
        </w:rPr>
      </w:pPr>
    </w:p>
    <w:p>
      <w:pPr>
        <w:ind w:left="1500" w:right="740" w:hanging="387"/>
        <w:spacing w:after="0" w:line="291" w:lineRule="auto"/>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adoption of such cryptoassets as a medium of exchange, store-of-value or other consumptive asset and the maintenance and development of the open-source software protocol of the applicable cryptoasset;</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Forks in the applicable cryptoasset network;</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 preferences and perceptions of such cryptoasset specifically and cryptoassets generally;</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active derivative market for such cryptoasset or for cryptoassets generally;</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associated with processing a transaction of such cryptoasset and the speed at which such transactions are settled; and</w:t>
      </w:r>
    </w:p>
    <w:p>
      <w:pPr>
        <w:spacing w:after="0" w:line="122" w:lineRule="exact"/>
        <w:rPr>
          <w:rFonts w:ascii="Times New Roman" w:cs="Times New Roman" w:eastAsia="Times New Roman" w:hAnsi="Times New Roman"/>
          <w:sz w:val="16"/>
          <w:szCs w:val="16"/>
          <w:color w:val="auto"/>
        </w:rPr>
      </w:pPr>
    </w:p>
    <w:p>
      <w:pPr>
        <w:ind w:left="1500" w:right="460" w:hanging="387"/>
        <w:spacing w:after="0" w:line="291" w:lineRule="auto"/>
        <w:tabs>
          <w:tab w:leader="none" w:pos="1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confidence in cryptoasset exchanges due to the unregulated nature and lack of transparency surrounding the operations of cryptoasset exchanges.</w:t>
      </w:r>
    </w:p>
    <w:p>
      <w:pPr>
        <w:spacing w:after="0" w:line="236" w:lineRule="exact"/>
        <w:rPr>
          <w:sz w:val="20"/>
          <w:szCs w:val="20"/>
          <w:color w:val="auto"/>
        </w:rPr>
      </w:pPr>
    </w:p>
    <w:p>
      <w:pPr>
        <w:ind w:left="620" w:firstLine="40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Consumers’ holdings of cryptoassets may never generate a profit, since cryptocurrency markets have historically experienced extended periods of flat or declining prices, in addition to sharp fluctuations. In addition, consumers should be aware that there is no assurance that cryptoassets will maintain their long-term value in terms of future purchasing power. Our financial results and the market price of our securities may be adversely affected if price volatility of cryptoassets causes our internal market maker algorithm to malfunction.</w:t>
      </w:r>
    </w:p>
    <w:p>
      <w:pPr>
        <w:spacing w:after="0" w:line="62" w:lineRule="exact"/>
        <w:rPr>
          <w:sz w:val="20"/>
          <w:szCs w:val="20"/>
          <w:color w:val="auto"/>
        </w:rPr>
      </w:pPr>
    </w:p>
    <w:p>
      <w:pPr>
        <w:ind w:left="620" w:right="180" w:firstLine="400"/>
        <w:spacing w:after="0" w:line="291" w:lineRule="auto"/>
        <w:rPr>
          <w:sz w:val="20"/>
          <w:szCs w:val="20"/>
          <w:color w:val="auto"/>
        </w:rPr>
      </w:pPr>
      <w:r>
        <w:rPr>
          <w:rFonts w:ascii="Times New Roman" w:cs="Times New Roman" w:eastAsia="Times New Roman" w:hAnsi="Times New Roman"/>
          <w:sz w:val="16"/>
          <w:szCs w:val="16"/>
          <w:color w:val="auto"/>
        </w:rPr>
        <w:t>We hold cryptoassets for consumers through a consumer account at the Bakkt Warehouse, and we use a proprietary algorithm that automatically maintains the appropriate level of cryptoassets in our treasury</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0620"/>
          </w:cols>
          <w:pgMar w:left="320" w:top="452" w:right="959" w:bottom="1440" w:gutter="0" w:footer="0" w:header="0"/>
        </w:sectPr>
      </w:pPr>
    </w:p>
    <w:bookmarkStart w:id="30" w:name="page31"/>
    <w:bookmarkEnd w:id="3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line="259" w:lineRule="auto"/>
        <w:rPr>
          <w:sz w:val="20"/>
          <w:szCs w:val="20"/>
          <w:color w:val="auto"/>
        </w:rPr>
      </w:pPr>
      <w:r>
        <w:rPr>
          <w:rFonts w:ascii="Times New Roman" w:cs="Times New Roman" w:eastAsia="Times New Roman" w:hAnsi="Times New Roman"/>
          <w:sz w:val="16"/>
          <w:szCs w:val="16"/>
          <w:color w:val="auto"/>
        </w:rPr>
        <w:t>(proprietary) account for the purposes of maintaining our desired proprietary balance of cryptoassets and fulfilling the buy and sell orders of cryptoasset consumers. The price of cryptoassets have historically been subject to dramatic price fluctuations and are highly volatile and the value of our cryptoasset holdings could be affected. Additionally, it is possible that our algorithm could fail, for example, as a result of such dramatic price fluctuations, and cause us to have to buy or sell one or more cryptoassets for a loss relative to the price at which we bought or sold such cryptoassets from or to consumers. Further, our algorithm could malfunction and buy or sell far more or far fewer cryptoassets than is necessary for the purposes of maintaining our desired proprietary balance of cryptoassets and fulfilling the buy and sell orders of cryptoasset consumers. Such a malfunction could cause us to hold dramatically more cryptoassets than we should hold or that we have the capital to acquire, or cause us to be unable to fulfill the buy orders of consumers, all of which may cause us to experience damage to our reputation as well as financial losses. Any such losses caused by a malfunction of our algorithm may create significant volatility in our reported earnings. Any decrease in reported earnings or increased volatility of such earnings due to such losses could have a material adverse effect on the market price of our securities. Further, any future changes in U.S. generally accepted accounting principles (“GAAP”) that require us to change the manner in which we account for our cryptoassets in our own account could have a material adverse effect on our financial results and the market price of our securities.</w:t>
      </w:r>
    </w:p>
    <w:p>
      <w:pPr>
        <w:spacing w:after="0" w:line="261" w:lineRule="exact"/>
        <w:rPr>
          <w:sz w:val="20"/>
          <w:szCs w:val="20"/>
          <w:color w:val="auto"/>
        </w:rPr>
      </w:pPr>
    </w:p>
    <w:p>
      <w:pPr>
        <w:ind w:left="620" w:right="8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We currently support, and expect to continue to support, certain smart contract-based cryptoassets. If the underlying smart contracts for these cryptoassets do not operate as expected, they could lose value and our business could be adversely affected.</w:t>
      </w:r>
    </w:p>
    <w:p>
      <w:pPr>
        <w:spacing w:after="0" w:line="39" w:lineRule="exact"/>
        <w:rPr>
          <w:sz w:val="20"/>
          <w:szCs w:val="20"/>
          <w:color w:val="auto"/>
        </w:rPr>
      </w:pPr>
    </w:p>
    <w:p>
      <w:pPr>
        <w:ind w:left="620" w:right="20" w:firstLine="400"/>
        <w:spacing w:after="0" w:line="260" w:lineRule="auto"/>
        <w:rPr>
          <w:sz w:val="20"/>
          <w:szCs w:val="20"/>
          <w:color w:val="auto"/>
        </w:rPr>
      </w:pPr>
      <w:r>
        <w:rPr>
          <w:rFonts w:ascii="Times New Roman" w:cs="Times New Roman" w:eastAsia="Times New Roman" w:hAnsi="Times New Roman"/>
          <w:sz w:val="16"/>
          <w:szCs w:val="16"/>
          <w:color w:val="auto"/>
        </w:rPr>
        <w:t>We currently support, and expect to continue to support, various cryptoassets that represent units of value on smart contracts deployed on a third party blockchain. Smart contracts are programs that store and transfer value and execute automatically when certain conditions are met. Since smart contracts typically cannot be stopped or reversed, vulnerabilities in their programming and design can have damaging effects. For instance, in April 2018, a batch overflow bug was found in many Ethereum-based ERC20-compatible smart contract tokens that allows hackers to create a large number of smart contract tokens, causing multiple crypto asset platforms worldwide to shut down ERC20- compatible token trading. Similarly, in March 2020, a design flaw in the MakerDAO smart contract caused forced liquidations of crypto assets at significantly discounted prices, resulting in millions of dollars of losses to users who had deposited crypto assets into the smart contract. If any such vulnerabilities or flaws come to fruition, smart contract-based crypto assets, including those held by our customers on our platforms, may suffer negative publicity, be exposed to security vulnerabilities, decline significantly in value, and lose liquidity over a short period of time.</w:t>
      </w:r>
    </w:p>
    <w:p>
      <w:pPr>
        <w:spacing w:after="0" w:line="167" w:lineRule="exact"/>
        <w:rPr>
          <w:sz w:val="20"/>
          <w:szCs w:val="20"/>
          <w:color w:val="auto"/>
        </w:rPr>
      </w:pPr>
    </w:p>
    <w:p>
      <w:pPr>
        <w:ind w:left="620" w:right="80" w:firstLine="400"/>
        <w:spacing w:after="0" w:line="258" w:lineRule="auto"/>
        <w:rPr>
          <w:sz w:val="20"/>
          <w:szCs w:val="20"/>
          <w:color w:val="auto"/>
        </w:rPr>
      </w:pPr>
      <w:r>
        <w:rPr>
          <w:rFonts w:ascii="Times New Roman" w:cs="Times New Roman" w:eastAsia="Times New Roman" w:hAnsi="Times New Roman"/>
          <w:sz w:val="16"/>
          <w:szCs w:val="16"/>
          <w:color w:val="auto"/>
        </w:rPr>
        <w:t>In some cases, smart contracts can be controlled by one or more “admin keys” or users with special privileges, or “super 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reserves, these users may also be able to extract funds from the pool, liquidate assets held in the pool, or take other actions that decrease the value of the assets held by the smart contract in reserves. Even for cryptoassets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 user or group of core members unilaterally make adverse changes to a smart contract, the design, functionality, features and value of the smart contract, its related cryptoassets may be harmed. In addition, assets held by the smart contract in reserves may be stolen, misused, burnt, locked up or otherwise become unusable and irrecoverable. These super users can also become targets of hackers and malicious attackers. If an attacker is able to access or obtain the super user privileges of a smart contract, or if a smart contract’s super-users or core community members take actions that adversely affects the smart contract, our customers who hold and transact in the affected cryptoassets may experience decreased functionality and value of the applicable cryptoassets, up to and including a total loss of the value of such cryptoassets. Although we do not control these smart contracts, any such events could cause</w:t>
      </w:r>
    </w:p>
    <w:p>
      <w:pPr>
        <w:spacing w:after="0" w:line="1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0620"/>
          </w:cols>
          <w:pgMar w:left="320" w:top="452" w:right="959" w:bottom="1440" w:gutter="0" w:footer="0" w:header="0"/>
        </w:sectPr>
      </w:pPr>
    </w:p>
    <w:bookmarkStart w:id="31" w:name="page32"/>
    <w:bookmarkEnd w:id="3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customers to seek damages against us for their losses, result in reputational damage to us, or in other ways adversely impact our business.</w:t>
      </w:r>
    </w:p>
    <w:p>
      <w:pPr>
        <w:spacing w:after="0" w:line="302" w:lineRule="exact"/>
        <w:rPr>
          <w:sz w:val="20"/>
          <w:szCs w:val="20"/>
          <w:color w:val="auto"/>
        </w:rPr>
      </w:pPr>
    </w:p>
    <w:p>
      <w:pPr>
        <w:ind w:left="620" w:right="2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We may encounter technical issues in connection with the integration of supported cryptoassets and changes and upgrades to their underlying networks, which could adversely affect our business.</w:t>
      </w:r>
    </w:p>
    <w:p>
      <w:pPr>
        <w:spacing w:after="0" w:line="39"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In order to support any supported cryptoasset, a variety of front and back-end technical and development work is required to integrate such supported cryptoasset with our existing technical infrastructure. For certain cryptoassets, a significant amount of development work is required and there is no guarantee that we will be able to integrate successfully with any existing or future cryptoasset. In addition, such integration may introduce software errors or weaknesses into our platform, including our existing infrastructure. Even if such integration is initially successful, any number of technical changes, software upgrades, soft or hard forks, cybersecurity incidents, bugs, errors, defects or other changes to the underlying blockchain network may occur from time to time, causing incompatibility, technical issues, disruptions, or security weaknesses to our platform. If we are unable to identify, troubleshoot and resolve any such issues successfully, we may no longer be able to support such cryptoasset, our customers’ assets may be frozen or lost, the security of our hot, warm, or cold wallets may be compromised, and our platform and technical infrastructure may be affected, all of which could adversely impact our business.</w:t>
      </w:r>
    </w:p>
    <w:p>
      <w:pPr>
        <w:spacing w:after="0" w:line="261" w:lineRule="exact"/>
        <w:rPr>
          <w:sz w:val="20"/>
          <w:szCs w:val="20"/>
          <w:color w:val="auto"/>
        </w:rPr>
      </w:pPr>
    </w:p>
    <w:p>
      <w:pPr>
        <w:jc w:val="both"/>
        <w:ind w:left="620" w:right="120" w:firstLine="40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The blockchains on which ownership of cryptoassets are recorded are dependent on the efforts of third parties acting in their capacity as the blockchain transaction miners or validators, and if these third parties fail to successfully perform these functions, the operation of the blockchains that record ownership of cryptoassets could be compromised.</w:t>
      </w:r>
    </w:p>
    <w:p>
      <w:pPr>
        <w:spacing w:after="0" w:line="56" w:lineRule="exact"/>
        <w:rPr>
          <w:sz w:val="20"/>
          <w:szCs w:val="20"/>
          <w:color w:val="auto"/>
        </w:rPr>
      </w:pPr>
    </w:p>
    <w:p>
      <w:pPr>
        <w:ind w:left="620" w:right="160" w:firstLine="400"/>
        <w:spacing w:after="0" w:line="263" w:lineRule="auto"/>
        <w:rPr>
          <w:sz w:val="20"/>
          <w:szCs w:val="20"/>
          <w:color w:val="auto"/>
        </w:rPr>
      </w:pPr>
      <w:r>
        <w:rPr>
          <w:rFonts w:ascii="Times New Roman" w:cs="Times New Roman" w:eastAsia="Times New Roman" w:hAnsi="Times New Roman"/>
          <w:sz w:val="16"/>
          <w:szCs w:val="16"/>
          <w:color w:val="auto"/>
        </w:rPr>
        <w:t>Blockchain miners or validators maintain the record of ownership of cryptoassets. If these entities suffer from cyberattacks or other security incidents (whether from hacking, which involves efforts to gain unauthorized access to information or systems, or to cause intentional malfunctions or loss or corruption of data, software, hardware or other computer equipment, the inadvertent transmission of computer viruses or other malware, other forms of malicious attacks, malfeasance or negligent acts of its personnel, or via other means, including phishing attacks and other forms of social engineering), of for financial or other reasons cease to perform these functions, the functioning of the blockchains on which the ownership of a cryptoasset is recorded and the valuation based may be jeopardized. Any such interruption could result in loss of cryptoassets and/or their value.</w:t>
      </w:r>
    </w:p>
    <w:p>
      <w:pPr>
        <w:spacing w:after="0" w:line="163" w:lineRule="exact"/>
        <w:rPr>
          <w:sz w:val="20"/>
          <w:szCs w:val="20"/>
          <w:color w:val="auto"/>
        </w:rPr>
      </w:pPr>
    </w:p>
    <w:p>
      <w:pPr>
        <w:ind w:left="620" w:right="80" w:firstLine="400"/>
        <w:spacing w:after="0" w:line="264" w:lineRule="auto"/>
        <w:rPr>
          <w:sz w:val="20"/>
          <w:szCs w:val="20"/>
          <w:color w:val="auto"/>
        </w:rPr>
      </w:pPr>
      <w:r>
        <w:rPr>
          <w:rFonts w:ascii="Times New Roman" w:cs="Times New Roman" w:eastAsia="Times New Roman" w:hAnsi="Times New Roman"/>
          <w:sz w:val="16"/>
          <w:szCs w:val="16"/>
          <w:color w:val="auto"/>
        </w:rPr>
        <w:t>In addition, over the past several years, digital asset mining operations have evolved from individual users mining with computer processors, graphics processing units and first-generation application specific integrated circuit (“ASIC”) machines to “professionalized” mining operations using proprietary hardware or sophisticated machines. If the profit margins of digital asset mining operations are not sufficiently high, digital asset miners are more likely to immediately sell tokens earned by mining, resulting in an increase in liquid supply of that digital asset, which would generally tend to reduce that digital asset’s market price.</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Risks Related to Regulation, Taxation and Laws</w:t>
      </w:r>
    </w:p>
    <w:p>
      <w:pPr>
        <w:spacing w:after="0" w:line="110" w:lineRule="exact"/>
        <w:rPr>
          <w:sz w:val="20"/>
          <w:szCs w:val="20"/>
          <w:color w:val="auto"/>
        </w:rPr>
      </w:pPr>
    </w:p>
    <w:p>
      <w:pPr>
        <w:ind w:left="620" w:right="12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We are a holding company and our only material asset is our interest in Opco, and it is accordingly dependent upon distributions made by its subsidiaries to pay taxes and expenses, make payments under the Tax Receivable Agreement and pay dividends.</w:t>
      </w:r>
    </w:p>
    <w:p>
      <w:pPr>
        <w:spacing w:after="0" w:line="39" w:lineRule="exact"/>
        <w:rPr>
          <w:sz w:val="20"/>
          <w:szCs w:val="20"/>
          <w:color w:val="auto"/>
        </w:rPr>
      </w:pPr>
    </w:p>
    <w:p>
      <w:pPr>
        <w:ind w:left="620" w:right="80" w:firstLine="400"/>
        <w:spacing w:after="0" w:line="264" w:lineRule="auto"/>
        <w:rPr>
          <w:sz w:val="20"/>
          <w:szCs w:val="20"/>
          <w:color w:val="auto"/>
        </w:rPr>
      </w:pPr>
      <w:r>
        <w:rPr>
          <w:rFonts w:ascii="Times New Roman" w:cs="Times New Roman" w:eastAsia="Times New Roman" w:hAnsi="Times New Roman"/>
          <w:sz w:val="16"/>
          <w:szCs w:val="16"/>
          <w:color w:val="auto"/>
        </w:rPr>
        <w:t>We are a holding company with no material assets other than our ownership of Opco Common Units and our managing member interest in Opco. As a result, we have no independent means of generating revenue or cash flow. Our ability to pay taxes and operating expenses, make payments under the Tax Receivable Agreement (“Tax Receivable Agreement”) and pay dividends (if any) will depend on the financial results and cash flows of Opco and its subsidiaries and the distributions we receive from Opco. Deterioration in the financial condition, earnings or cash flow of Opco and its subsidiaries for any reason could limit or impair Opco’s ability to pay such</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0600"/>
          </w:cols>
          <w:pgMar w:left="320" w:top="453" w:right="979" w:bottom="1440" w:gutter="0" w:footer="0" w:header="0"/>
        </w:sectPr>
      </w:pPr>
    </w:p>
    <w:bookmarkStart w:id="32" w:name="page33"/>
    <w:bookmarkEnd w:id="3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40"/>
        <w:spacing w:after="0" w:line="273" w:lineRule="auto"/>
        <w:rPr>
          <w:sz w:val="20"/>
          <w:szCs w:val="20"/>
          <w:color w:val="auto"/>
        </w:rPr>
      </w:pPr>
      <w:r>
        <w:rPr>
          <w:rFonts w:ascii="Times New Roman" w:cs="Times New Roman" w:eastAsia="Times New Roman" w:hAnsi="Times New Roman"/>
          <w:sz w:val="16"/>
          <w:szCs w:val="16"/>
          <w:color w:val="auto"/>
        </w:rPr>
        <w:t>distributions. Additionally, to the extent we need funds and Opco and/or any of its subsidiaries are restricted from making such distributions under applicable law or regulation or under the terms of any financing arrangements, or Opco is otherwise unable to provide such funds, it could materially adversely affect our liquidity and financial condition.</w:t>
      </w:r>
    </w:p>
    <w:p>
      <w:pPr>
        <w:spacing w:after="0" w:line="157" w:lineRule="exact"/>
        <w:rPr>
          <w:sz w:val="20"/>
          <w:szCs w:val="20"/>
          <w:color w:val="auto"/>
        </w:rPr>
      </w:pPr>
    </w:p>
    <w:p>
      <w:pPr>
        <w:ind w:left="620" w:firstLine="400"/>
        <w:spacing w:after="0" w:line="258" w:lineRule="auto"/>
        <w:rPr>
          <w:sz w:val="20"/>
          <w:szCs w:val="20"/>
          <w:color w:val="auto"/>
        </w:rPr>
      </w:pPr>
      <w:r>
        <w:rPr>
          <w:rFonts w:ascii="Times New Roman" w:cs="Times New Roman" w:eastAsia="Times New Roman" w:hAnsi="Times New Roman"/>
          <w:sz w:val="16"/>
          <w:szCs w:val="16"/>
          <w:color w:val="auto"/>
        </w:rPr>
        <w:t xml:space="preserve">Opco will continue to be treated as a partnership for U.S. federal income tax purposes and, as such, generally will not be subject to any entity-level U.S. federal income tax. Instead, taxable income will be allocated to holders of Opco Common Units. Accordingly, we will be required to pay income taxes on our allocable share of any net taxable income of Opco. Under the terms of the Opco LLC Agreement, Opco is obligated to make certain tax distributions to holders of Opco Common Units (including us). In addition to tax expenses, we will also incur other expenses, including payment obligations under the Tax Receivable Agreement, which could be significant. We intend to cause Opco to make distributions to holders of Opco Common Units,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in aggregate amounts sufficient to cover all of our applicable income taxes, payments required to be made by us under the Tax Receivable Agreement and dividends, if any, declared us. However, as discussed below, Opco’s ability to make such distributions may be subject to various limitations and restrictions including, but not limited to, restrictions on distributions that would either violate any contract or agreement to which Opco is then a party, including debt agreements, or any applicable law, or that would have the effect of rendering Opco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spacing w:after="0" w:line="369" w:lineRule="exact"/>
        <w:rPr>
          <w:sz w:val="20"/>
          <w:szCs w:val="20"/>
          <w:color w:val="auto"/>
        </w:rPr>
      </w:pPr>
    </w:p>
    <w:p>
      <w:pPr>
        <w:jc w:val="both"/>
        <w:ind w:left="620" w:right="20" w:firstLine="400"/>
        <w:spacing w:after="0" w:line="273" w:lineRule="auto"/>
        <w:rPr>
          <w:sz w:val="20"/>
          <w:szCs w:val="20"/>
          <w:color w:val="auto"/>
        </w:rPr>
      </w:pPr>
      <w:r>
        <w:rPr>
          <w:rFonts w:ascii="Times New Roman" w:cs="Times New Roman" w:eastAsia="Times New Roman" w:hAnsi="Times New Roman"/>
          <w:sz w:val="16"/>
          <w:szCs w:val="16"/>
          <w:color w:val="auto"/>
        </w:rPr>
        <w:t>Additionally, although Opco generally will not be subject to any entity-level U.S. federal income tax, it may be liable under federal tax legislation for adjustments to its tax return, absent an election to the contrary. In the event that the taxing authorities determine that Opco’s tax returns are incorrect, Opco and/or its members, including us, in later years may be subject to material liabilities pursuant to this federal legislation and its related guidance.</w:t>
      </w:r>
    </w:p>
    <w:p>
      <w:pPr>
        <w:spacing w:after="0" w:line="157" w:lineRule="exact"/>
        <w:rPr>
          <w:sz w:val="20"/>
          <w:szCs w:val="20"/>
          <w:color w:val="auto"/>
        </w:rPr>
      </w:pPr>
    </w:p>
    <w:p>
      <w:pPr>
        <w:ind w:left="620" w:right="40" w:firstLine="400"/>
        <w:spacing w:after="0" w:line="260" w:lineRule="auto"/>
        <w:rPr>
          <w:sz w:val="20"/>
          <w:szCs w:val="20"/>
          <w:color w:val="auto"/>
        </w:rPr>
      </w:pPr>
      <w:r>
        <w:rPr>
          <w:rFonts w:ascii="Times New Roman" w:cs="Times New Roman" w:eastAsia="Times New Roman" w:hAnsi="Times New Roman"/>
          <w:sz w:val="16"/>
          <w:szCs w:val="16"/>
          <w:color w:val="auto"/>
        </w:rPr>
        <w:t>We anticipate that the distributions we will receive from Opco may, in certain periods, exceed our actual tax liabilities and obligations to make payments under the Tax Receivable Agreement. Our board of directors (the “Board”), in its sole discretion, will make determinations with respect to the use of any such excess cash, which may include, among other uses to pay dividends, which may include special dividends, on the Class A Common Stock; to fund repurchases of Class A Common Stock; or any combination of the foregoing. We will have no obligation to distribute such cash (or other available cash other than any declared dividend) to our stockholders. To the extent that we do not distribute such excess cash as dividends on Class A Common Stock or otherwise undertake ameliorative actions between Opco Common Units and shares of Class A Common Stock and instead, for example, hold such cash balances, holders of Opco Common Units that hold interests in Opco may benefit from any value attributable to such cash balances as a result of their ownership of Class A Common Stock following an exchange of their Opco Common Units, notwithstanding that such holders may previously have participated as holders of Opco Common Units in distributions by Opco that resulted in such excess cash balances for us.</w:t>
      </w:r>
    </w:p>
    <w:p>
      <w:pPr>
        <w:spacing w:after="0" w:line="167" w:lineRule="exact"/>
        <w:rPr>
          <w:sz w:val="20"/>
          <w:szCs w:val="20"/>
          <w:color w:val="auto"/>
        </w:rPr>
      </w:pPr>
    </w:p>
    <w:p>
      <w:pPr>
        <w:ind w:left="620" w:right="80" w:firstLine="400"/>
        <w:spacing w:after="0" w:line="264" w:lineRule="auto"/>
        <w:rPr>
          <w:sz w:val="20"/>
          <w:szCs w:val="20"/>
          <w:color w:val="auto"/>
        </w:rPr>
      </w:pPr>
      <w:r>
        <w:rPr>
          <w:rFonts w:ascii="Times New Roman" w:cs="Times New Roman" w:eastAsia="Times New Roman" w:hAnsi="Times New Roman"/>
          <w:sz w:val="16"/>
          <w:szCs w:val="16"/>
          <w:color w:val="auto"/>
        </w:rPr>
        <w:t>Dividends on our common stock, if any, will be paid at the discretion of the Board,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Opco is generally prohibited under Delaware law from making a distribution to a member to the extent that, at the time of the distribution, after giving effect to the distribution,</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0600"/>
          </w:cols>
          <w:pgMar w:left="320" w:top="452" w:right="979" w:bottom="1440" w:gutter="0" w:footer="0" w:header="0"/>
        </w:sectPr>
      </w:pPr>
    </w:p>
    <w:bookmarkStart w:id="33" w:name="page34"/>
    <w:bookmarkEnd w:id="3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jc w:val="both"/>
        <w:ind w:left="620" w:right="220"/>
        <w:spacing w:after="0" w:line="273" w:lineRule="auto"/>
        <w:rPr>
          <w:sz w:val="20"/>
          <w:szCs w:val="20"/>
          <w:color w:val="auto"/>
        </w:rPr>
      </w:pPr>
      <w:r>
        <w:rPr>
          <w:rFonts w:ascii="Times New Roman" w:cs="Times New Roman" w:eastAsia="Times New Roman" w:hAnsi="Times New Roman"/>
          <w:sz w:val="16"/>
          <w:szCs w:val="16"/>
          <w:color w:val="auto"/>
        </w:rPr>
        <w:t>liabilities of Opco (with certain exceptions) exceed the fair value of its assets. Opco’s subsidiaries are generally subject to similar legal limitations on their ability to make distributions to Opco. If Opco does not have sufficient funds to make distributions, our ability to declare and pay cash dividends may also be restricted or impaired.</w:t>
      </w:r>
    </w:p>
    <w:p>
      <w:pPr>
        <w:spacing w:after="0" w:line="251" w:lineRule="exact"/>
        <w:rPr>
          <w:sz w:val="20"/>
          <w:szCs w:val="20"/>
          <w:color w:val="auto"/>
        </w:rPr>
      </w:pPr>
    </w:p>
    <w:p>
      <w:pPr>
        <w:ind w:left="620" w:right="80" w:firstLine="40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Pursuant to the Tax Receivable Agreement, we are required to pay 85% of the net income tax savings we realize as a result of increases in the tax basis in Opco’s assets as a result of exchanges of Opco Common Units for Class A Common Stock (or cash) pursuant to the Exchange Agreement, and those payments may be substantial.</w:t>
      </w:r>
    </w:p>
    <w:p>
      <w:pPr>
        <w:spacing w:after="0" w:line="56" w:lineRule="exact"/>
        <w:rPr>
          <w:sz w:val="20"/>
          <w:szCs w:val="20"/>
          <w:color w:val="auto"/>
        </w:rPr>
      </w:pPr>
    </w:p>
    <w:p>
      <w:pPr>
        <w:ind w:left="620" w:right="120" w:firstLine="400"/>
        <w:spacing w:after="0" w:line="264" w:lineRule="auto"/>
        <w:rPr>
          <w:sz w:val="20"/>
          <w:szCs w:val="20"/>
          <w:color w:val="auto"/>
        </w:rPr>
      </w:pPr>
      <w:r>
        <w:rPr>
          <w:rFonts w:ascii="Times New Roman" w:cs="Times New Roman" w:eastAsia="Times New Roman" w:hAnsi="Times New Roman"/>
          <w:sz w:val="16"/>
          <w:szCs w:val="16"/>
          <w:color w:val="auto"/>
        </w:rPr>
        <w:t>The Opco Equity Holders may exchange their Opco Common Units for shares of Class A Common Stock (or cash) pursuant to the Exchange Agreement, subject to certain conditions and transfer restrictions as set forth therein and in the Third Amended and Restated LLC Agreement. These exchanges are expected to result in increases in our allocable share of the tax basis of the tangible and intangible assets of Opco. These increases in tax basis may increase (for income tax purposes) depreciation and amortization deductions and therefore reduce the amount of U.S. federal and applicable state income tax that we would otherwise be required to pay in the future had such exchanges never occurred.</w:t>
      </w:r>
    </w:p>
    <w:p>
      <w:pPr>
        <w:spacing w:after="0" w:line="165" w:lineRule="exact"/>
        <w:rPr>
          <w:sz w:val="20"/>
          <w:szCs w:val="20"/>
          <w:color w:val="auto"/>
        </w:rPr>
      </w:pPr>
    </w:p>
    <w:p>
      <w:pPr>
        <w:ind w:left="620" w:firstLine="400"/>
        <w:spacing w:after="0" w:line="257" w:lineRule="auto"/>
        <w:rPr>
          <w:sz w:val="20"/>
          <w:szCs w:val="20"/>
          <w:color w:val="auto"/>
        </w:rPr>
      </w:pPr>
      <w:r>
        <w:rPr>
          <w:rFonts w:ascii="Times New Roman" w:cs="Times New Roman" w:eastAsia="Times New Roman" w:hAnsi="Times New Roman"/>
          <w:sz w:val="16"/>
          <w:szCs w:val="16"/>
          <w:color w:val="auto"/>
        </w:rPr>
        <w:t>We are party to the Tax Receivable Agreement, which generally provides for the payment by us of 85% of certain net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These payments are our obligation and not an obligation of Opco. The actual increase in our allocable share of Opco’s tax basis in its assets, as well as the amount and timing of any payments under the Tax Receivable Agreement, will vary depending upon a number of factors, including the timing of exchanges, the market price of the Class A Common Stock at the time of the exchange, the extent to which such exchanges are taxable and the amount and timing of the recognition of our income. While many of the factors that will determine the amount of payments that we will make under the Tax Receivable Agreement are outside of our control, we expect that the payments we will make under the Tax Receivable Agreement will be substantial and could have a material adverse effect on our financial condition. Estimating the amount and timing of payments that may become due under the Tax Receivable Agreement is, by its nature, imprecise. The amount and timing of any payments under the Tax Receivable Agreement are dependent upon significant future events, including those noted above in respect of estimating the amount and timing of our realization of tax benefits The potential future tax savings that we will be deemed to realize, and the Tax Receivable Agreement payments made by us, will be calculated based on the market value of the Class A Common Stock at the time of each redemption or exchange under the Exchange Agreement and the prevailing tax rates applicable to us over the life of the Tax Receivable Agreement and will depend on us generating sufficient taxable income to realize the tax benefits that are subject to the Tax Receivable Agreement.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may constitute a material breach of a material obligation under the Tax Receivable Agreement and therefore accelerate payments due under the Tax Receivable Agreement, which could be substantial, as further described below. Furthermore, our future obligation to make payments under the Tax Receivable Agreement could make it a less attractive target for an acquisition, particularly in the case of an acquirer that cannot use some or all of the tax benefits that may be deemed realized under the Tax Receivable Agreement.</w:t>
      </w:r>
    </w:p>
    <w:p>
      <w:pPr>
        <w:spacing w:after="0" w:line="200" w:lineRule="exact"/>
        <w:rPr>
          <w:sz w:val="20"/>
          <w:szCs w:val="20"/>
          <w:color w:val="auto"/>
        </w:rPr>
      </w:pPr>
    </w:p>
    <w:p>
      <w:pPr>
        <w:spacing w:after="0" w:line="268" w:lineRule="exact"/>
        <w:rPr>
          <w:sz w:val="20"/>
          <w:szCs w:val="20"/>
          <w:color w:val="auto"/>
        </w:rPr>
      </w:pPr>
    </w:p>
    <w:p>
      <w:pPr>
        <w:ind w:left="620" w:right="50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In certain cases, payments under the Tax Receivable Agreement may exceed the actual tax benefits we realize or such payments may be accelerated.</w:t>
      </w:r>
    </w:p>
    <w:p>
      <w:pPr>
        <w:spacing w:after="0" w:line="39" w:lineRule="exact"/>
        <w:rPr>
          <w:sz w:val="20"/>
          <w:szCs w:val="20"/>
          <w:color w:val="auto"/>
        </w:rPr>
      </w:pPr>
    </w:p>
    <w:p>
      <w:pPr>
        <w:jc w:val="both"/>
        <w:ind w:left="620" w:right="160" w:firstLine="400"/>
        <w:spacing w:after="0" w:line="273" w:lineRule="auto"/>
        <w:rPr>
          <w:sz w:val="20"/>
          <w:szCs w:val="20"/>
          <w:color w:val="auto"/>
        </w:rPr>
      </w:pPr>
      <w:r>
        <w:rPr>
          <w:rFonts w:ascii="Times New Roman" w:cs="Times New Roman" w:eastAsia="Times New Roman" w:hAnsi="Times New Roman"/>
          <w:sz w:val="16"/>
          <w:szCs w:val="16"/>
          <w:color w:val="auto"/>
        </w:rPr>
        <w:t>Payments under the Tax Receivable Agreement will be based on the tax reporting positions that we determine, and the Internal Revenue Service (the “IRS”) or another taxing authority may challenge all or any part of the tax basis increases, as well as other tax positions that we take, and a court may sustain such a challenge. In</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0600"/>
          </w:cols>
          <w:pgMar w:left="320" w:top="452" w:right="979" w:bottom="1440" w:gutter="0" w:footer="0" w:header="0"/>
        </w:sectPr>
      </w:pPr>
    </w:p>
    <w:bookmarkStart w:id="34" w:name="page35"/>
    <w:bookmarkEnd w:id="3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0"/>
        <w:spacing w:after="0" w:line="260" w:lineRule="auto"/>
        <w:rPr>
          <w:sz w:val="20"/>
          <w:szCs w:val="20"/>
          <w:color w:val="auto"/>
        </w:rPr>
      </w:pPr>
      <w:r>
        <w:rPr>
          <w:rFonts w:ascii="Times New Roman" w:cs="Times New Roman" w:eastAsia="Times New Roman" w:hAnsi="Times New Roman"/>
          <w:sz w:val="16"/>
          <w:szCs w:val="16"/>
          <w:color w:val="auto"/>
        </w:rPr>
        <w:t>the event any tax benefits initially claimed by us are disallowed, the current Opco Equity 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tax savings, which could materially impair our financial condition.</w:t>
      </w:r>
    </w:p>
    <w:p>
      <w:pPr>
        <w:spacing w:after="0" w:line="170" w:lineRule="exact"/>
        <w:rPr>
          <w:sz w:val="20"/>
          <w:szCs w:val="20"/>
          <w:color w:val="auto"/>
        </w:rPr>
      </w:pPr>
    </w:p>
    <w:p>
      <w:pPr>
        <w:ind w:left="620" w:right="80" w:firstLine="400"/>
        <w:spacing w:after="0" w:line="259" w:lineRule="auto"/>
        <w:rPr>
          <w:sz w:val="20"/>
          <w:szCs w:val="20"/>
          <w:color w:val="auto"/>
        </w:rPr>
      </w:pPr>
      <w:r>
        <w:rPr>
          <w:rFonts w:ascii="Times New Roman" w:cs="Times New Roman" w:eastAsia="Times New Roman" w:hAnsi="Times New Roman"/>
          <w:sz w:val="16"/>
          <w:szCs w:val="16"/>
          <w:color w:val="auto"/>
        </w:rPr>
        <w:t>Moreover, the Tax Receivable Agreement provides that, in the event that (a) we exercise our early termination rights under the Tax Receivable Agreement, (b) the Tax Receivable Agreement is rejected in a bankruptcy proceeding, (c) certain changes of control occur (as described in the Tax Receivable Agreement) or (d) we are more than thirty days late in making of a payment due under the Tax Receivable Agreement (unless we determine that we have insufficient funds to make such payment as a result of obligations imposed in connection with a senior obligation or applicable law), our obligations under the Tax Receivable Agreement will accelerate and we will be required to make an immediate lump-sum cash payment to the Opco Equity 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Opco Equity Holders could be substantial and could exceed the actual tax benefits that we realize subsequent to such payment because such payment would be calculated assuming, among other things, that we would have certain tax benefits available to it, that we would be able to use the potential tax benefits in future years, and that tax rates applicable to us would be the same as they were in the year of the termination.</w:t>
      </w:r>
    </w:p>
    <w:p>
      <w:pPr>
        <w:spacing w:after="0" w:line="172" w:lineRule="exact"/>
        <w:rPr>
          <w:sz w:val="20"/>
          <w:szCs w:val="20"/>
          <w:color w:val="auto"/>
        </w:rPr>
      </w:pPr>
    </w:p>
    <w:p>
      <w:pPr>
        <w:ind w:left="620" w:firstLine="400"/>
        <w:spacing w:after="0" w:line="263" w:lineRule="auto"/>
        <w:rPr>
          <w:sz w:val="20"/>
          <w:szCs w:val="20"/>
          <w:color w:val="auto"/>
        </w:rPr>
      </w:pPr>
      <w:r>
        <w:rPr>
          <w:rFonts w:ascii="Times New Roman" w:cs="Times New Roman" w:eastAsia="Times New Roman" w:hAnsi="Times New Roman"/>
          <w:sz w:val="16"/>
          <w:szCs w:val="16"/>
          <w:color w:val="auto"/>
        </w:rPr>
        <w:t>There may be a material negative effect on our liquidity if the payments under the Tax Receivable Agreement exceed the actual income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 Such indebtedness may have a material adverse effect on our financial condition.</w:t>
      </w:r>
    </w:p>
    <w:p>
      <w:pPr>
        <w:spacing w:after="0" w:line="200" w:lineRule="exact"/>
        <w:rPr>
          <w:sz w:val="20"/>
          <w:szCs w:val="20"/>
          <w:color w:val="auto"/>
        </w:rPr>
      </w:pPr>
    </w:p>
    <w:p>
      <w:pPr>
        <w:spacing w:after="0" w:line="2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We may have to constrain our business activities to avoid being deemed an investment company under the Investment Company Act.</w:t>
      </w:r>
    </w:p>
    <w:p>
      <w:pPr>
        <w:spacing w:after="0" w:line="114" w:lineRule="exact"/>
        <w:rPr>
          <w:sz w:val="20"/>
          <w:szCs w:val="20"/>
          <w:color w:val="auto"/>
        </w:rPr>
      </w:pPr>
    </w:p>
    <w:p>
      <w:pPr>
        <w:ind w:left="620" w:right="20" w:firstLine="400"/>
        <w:spacing w:after="0" w:line="260" w:lineRule="auto"/>
        <w:rPr>
          <w:sz w:val="20"/>
          <w:szCs w:val="20"/>
          <w:color w:val="auto"/>
        </w:rPr>
      </w:pPr>
      <w:r>
        <w:rPr>
          <w:rFonts w:ascii="Times New Roman" w:cs="Times New Roman" w:eastAsia="Times New Roman" w:hAnsi="Times New Roman"/>
          <w:sz w:val="16"/>
          <w:szCs w:val="16"/>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forgo attractive opportunities. If we are deemed to be an investment company under the Investment Company Act, we may be required to institute burdensome compliance requirements and our activities may be restricted, which would adversely affect our business, financial condition and results of operations. In addition, we may be forced to make changes to our management team if we are required to register as an investment company under the Investment Company Act.</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0620"/>
          </w:cols>
          <w:pgMar w:left="320" w:top="453" w:right="959" w:bottom="1440" w:gutter="0" w:footer="0" w:header="0"/>
        </w:sectPr>
      </w:pPr>
    </w:p>
    <w:bookmarkStart w:id="35" w:name="page36"/>
    <w:bookmarkEnd w:id="3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right="4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39" w:lineRule="exact"/>
        <w:rPr>
          <w:sz w:val="20"/>
          <w:szCs w:val="20"/>
          <w:color w:val="auto"/>
        </w:rPr>
      </w:pPr>
    </w:p>
    <w:p>
      <w:pPr>
        <w:ind w:left="620" w:right="100" w:firstLine="400"/>
        <w:spacing w:after="0" w:line="291" w:lineRule="auto"/>
        <w:rPr>
          <w:sz w:val="20"/>
          <w:szCs w:val="20"/>
          <w:color w:val="auto"/>
        </w:rPr>
      </w:pPr>
      <w:r>
        <w:rPr>
          <w:rFonts w:ascii="Times New Roman" w:cs="Times New Roman" w:eastAsia="Times New Roman" w:hAnsi="Times New Roman"/>
          <w:sz w:val="16"/>
          <w:szCs w:val="16"/>
          <w:color w:val="auto"/>
        </w:rPr>
        <w:t>Our business is subject to laws, rules, regulations, policies and legal interpretations in the markets in which we operate, including, but not limited to, those governing:</w:t>
      </w:r>
    </w:p>
    <w:p>
      <w:pPr>
        <w:spacing w:after="0" w:line="56" w:lineRule="exact"/>
        <w:rPr>
          <w:sz w:val="20"/>
          <w:szCs w:val="20"/>
          <w:color w:val="auto"/>
        </w:rPr>
      </w:pPr>
    </w:p>
    <w:p>
      <w:pPr>
        <w:ind w:left="1500" w:hanging="387"/>
        <w:spacing w:after="0"/>
        <w:tabs>
          <w:tab w:leader="none" w:pos="1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money transmission;</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virtual currency business activity;</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prepaid access;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 protection;</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anti-money laundering;</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counter-terrorist financing;</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privacy and data protection;</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cybersecurity;</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and trade sanctions;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commodities;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derivatives;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w:t>
      </w:r>
    </w:p>
    <w:p>
      <w:pPr>
        <w:spacing w:after="0" w:line="208" w:lineRule="exact"/>
        <w:rPr>
          <w:sz w:val="20"/>
          <w:szCs w:val="20"/>
          <w:color w:val="auto"/>
        </w:rPr>
      </w:pPr>
    </w:p>
    <w:p>
      <w:pPr>
        <w:ind w:left="620" w:right="20" w:firstLine="400"/>
        <w:spacing w:after="0" w:line="261" w:lineRule="auto"/>
        <w:rPr>
          <w:sz w:val="20"/>
          <w:szCs w:val="20"/>
          <w:color w:val="auto"/>
        </w:rPr>
      </w:pPr>
      <w:r>
        <w:rPr>
          <w:rFonts w:ascii="Times New Roman" w:cs="Times New Roman" w:eastAsia="Times New Roman" w:hAnsi="Times New Roman"/>
          <w:sz w:val="16"/>
          <w:szCs w:val="16"/>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Bakkt Marketplace has obtained licenses to operate as a money transmitter (or its equivalent) in the states where it operates and where such licenses are required, as well as in the District of Columbia and Puerto Rico. As a licensed money transmitter, Bakkt Marketplace is subject to reporting requirements, restrictions with respect to the investment of consumer funds, bonding requirements and inspection by state regulatory agencies.</w:t>
      </w:r>
    </w:p>
    <w:p>
      <w:pPr>
        <w:spacing w:after="0" w:line="168"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color w:val="auto"/>
        </w:rPr>
        <w:t>Our success and increased visibility may result in increased regulatory oversight and enforcement and more restrictive rules and regulations that apply to our business. As we expand our business activities, both as to the products and services offered and into jurisdictions beyond the United States, we will become increasingly obligated to comply with new laws and regulations, including those of any additional countries or markets in which we operate. Laws regulating the internet, mobile, and related technologies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(“OFAC”) or U.S. anti-money laundering or counter-terrorist financing regulations.</w:t>
      </w:r>
    </w:p>
    <w:p>
      <w:pPr>
        <w:spacing w:after="0" w:line="168" w:lineRule="exact"/>
        <w:rPr>
          <w:sz w:val="20"/>
          <w:szCs w:val="20"/>
          <w:color w:val="auto"/>
        </w:rPr>
      </w:pPr>
    </w:p>
    <w:p>
      <w:pPr>
        <w:ind w:left="620" w:right="120" w:firstLine="400"/>
        <w:spacing w:after="0" w:line="264" w:lineRule="auto"/>
        <w:rPr>
          <w:sz w:val="20"/>
          <w:szCs w:val="20"/>
          <w:color w:val="auto"/>
        </w:rPr>
      </w:pPr>
      <w:r>
        <w:rPr>
          <w:rFonts w:ascii="Times New Roman" w:cs="Times New Roman" w:eastAsia="Times New Roman" w:hAnsi="Times New Roman"/>
          <w:sz w:val="16"/>
          <w:szCs w:val="16"/>
          <w:color w:val="auto"/>
        </w:rPr>
        <w:t>Additionally, significant parts of our business, such as our product and service offerings involving cryptoassets, are subject to uncertain and/or evolving regulatory regimes. As digital assets, including cryptoassets, have grown in both popularity and market size, governments have reacted differently to such digital assets, with certain governments deeming them illegal and others allowing their use and trade. Ongoing and future regulatory actions may impact our ability to continue to operate, and such actions could affect our ability to continue as a going concern, which would have a material adverse effect on our business, prospects or</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0620"/>
          </w:cols>
          <w:pgMar w:left="320" w:top="453" w:right="959" w:bottom="1440" w:gutter="0" w:footer="0" w:header="0"/>
        </w:sectPr>
      </w:pPr>
    </w:p>
    <w:bookmarkStart w:id="36" w:name="page37"/>
    <w:bookmarkEnd w:id="3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80"/>
        <w:spacing w:after="0" w:line="267" w:lineRule="auto"/>
        <w:rPr>
          <w:sz w:val="20"/>
          <w:szCs w:val="20"/>
          <w:color w:val="auto"/>
        </w:rPr>
      </w:pPr>
      <w:r>
        <w:rPr>
          <w:rFonts w:ascii="Times New Roman" w:cs="Times New Roman" w:eastAsia="Times New Roman" w:hAnsi="Times New Roman"/>
          <w:sz w:val="16"/>
          <w:szCs w:val="16"/>
          <w:color w:val="auto"/>
        </w:rPr>
        <w:t>operations. The regulatory framework is unsettled with respect to many forms of digital assets, which means that federal or state regulators may in the future curtail or prohibit the acquisition, use or redemption of certain digital assets. Ownership of, holding or trading in certain digital assets may be limited and subject to sanction. Federal or state regulators may also take regulatory action that may increase the cost and/or subject companies that custody or facilitate the trading of digital assets to additional regulation.</w:t>
      </w:r>
    </w:p>
    <w:p>
      <w:pPr>
        <w:spacing w:after="0" w:line="162" w:lineRule="exact"/>
        <w:rPr>
          <w:sz w:val="20"/>
          <w:szCs w:val="20"/>
          <w:color w:val="auto"/>
        </w:rPr>
      </w:pPr>
    </w:p>
    <w:p>
      <w:pPr>
        <w:ind w:left="620" w:right="100" w:firstLine="400"/>
        <w:spacing w:after="0" w:line="259" w:lineRule="auto"/>
        <w:rPr>
          <w:sz w:val="20"/>
          <w:szCs w:val="20"/>
          <w:color w:val="auto"/>
        </w:rPr>
      </w:pPr>
      <w:r>
        <w:rPr>
          <w:rFonts w:ascii="Times New Roman" w:cs="Times New Roman" w:eastAsia="Times New Roman" w:hAnsi="Times New Roman"/>
          <w:sz w:val="16"/>
          <w:szCs w:val="16"/>
          <w:color w:val="auto"/>
        </w:rPr>
        <w:t>In general, any failure or perceived failure to comply with existing or new laws, regulations, or orders of any regulatory authority (including changes to or expansion of the interpretation of those laws, regulations, or orders), including those discussed in this risk factor,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We have implemented policies and procedures designed to help ensure compliance with applicable laws and regulations, but there can be no assurance that our employees, contractors, or agents will not violate such laws and regulations.</w:t>
      </w:r>
    </w:p>
    <w:p>
      <w:pPr>
        <w:spacing w:after="0" w:line="263" w:lineRule="exact"/>
        <w:rPr>
          <w:sz w:val="20"/>
          <w:szCs w:val="20"/>
          <w:color w:val="auto"/>
        </w:rPr>
      </w:pPr>
    </w:p>
    <w:p>
      <w:pPr>
        <w:ind w:left="620" w:right="26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The U.S. state and federal regulatory regime governing blockchain technologies and cryptocurrencies is uncertain, and new regulations or policies may alter our business practices with respect to cryptocurrencies.</w:t>
      </w:r>
    </w:p>
    <w:p>
      <w:pPr>
        <w:spacing w:after="0" w:line="39" w:lineRule="exact"/>
        <w:rPr>
          <w:sz w:val="20"/>
          <w:szCs w:val="20"/>
          <w:color w:val="auto"/>
        </w:rPr>
      </w:pPr>
    </w:p>
    <w:p>
      <w:pPr>
        <w:ind w:left="620" w:firstLine="400"/>
        <w:spacing w:after="0" w:line="258" w:lineRule="auto"/>
        <w:rPr>
          <w:sz w:val="20"/>
          <w:szCs w:val="20"/>
          <w:color w:val="auto"/>
        </w:rPr>
      </w:pPr>
      <w:r>
        <w:rPr>
          <w:rFonts w:ascii="Times New Roman" w:cs="Times New Roman" w:eastAsia="Times New Roman" w:hAnsi="Times New Roman"/>
          <w:sz w:val="16"/>
          <w:szCs w:val="16"/>
          <w:color w:val="auto"/>
        </w:rPr>
        <w:t>We currently offer, and will continue to offer, virtual currency and cryptocurrency-related trading services through one or more subsidiaries that are licensed and registered with various governmental authorities as a money service business, money transmitter, virtual currency business, or the equivalent. Although many regulators have provided some guidance, regulation of digital assets based on or incorporating blockchain, such as cryptocurrencies and cryptocurrency exchanges, remains uncertain and will continue to evolve. Further, regulation varies significantly among federal, state and local jurisdictions. As blockchain networks and blockchain assets have grown in popularity and in market size, federal and state agencies are increasingly taking interest in, and in certain cases regulating, their use and operation. Treatment of virtual currencies continues to evolve under federal and state law. Many U.S. regulators, including the SEC, the Financial Crimes Enforcement Network (“FinCEN”), the IRS and certain state regulators have made official pronouncements or issued guidance or rules regarding the treatment of bitcoin and other cryptocurrencies. However, there remain uncertainties associated with being subject to FinCEN regulations as a money service business, as FinCEN’s rules, regulations and guidance are evolving and subject to change. For instance, while FinCEN has released guidance about how it considers its regulations to interact with cryptoasset businesses, there remain some uncertainties about the application of this guidance to certain cryptoasset businesses. Changes to FinCEN’s rules, regulations and guidance could subject us to increased scrutiny and/or require updates to our policies and procedures and compliance programs. The IRS released guidance treating virtual currency as property that is not currency for U.S. federal income tax purposes, although there is no indication yet whether other courts or federal or state regulators will follow this classification.</w:t>
      </w:r>
    </w:p>
    <w:p>
      <w:pPr>
        <w:spacing w:after="0" w:line="173" w:lineRule="exact"/>
        <w:rPr>
          <w:sz w:val="20"/>
          <w:szCs w:val="20"/>
          <w:color w:val="auto"/>
        </w:rPr>
      </w:pPr>
    </w:p>
    <w:p>
      <w:pPr>
        <w:ind w:left="620" w:right="80" w:firstLine="400"/>
        <w:spacing w:after="0" w:line="264" w:lineRule="auto"/>
        <w:rPr>
          <w:sz w:val="20"/>
          <w:szCs w:val="20"/>
          <w:color w:val="auto"/>
        </w:rPr>
      </w:pPr>
      <w:r>
        <w:rPr>
          <w:rFonts w:ascii="Times New Roman" w:cs="Times New Roman" w:eastAsia="Times New Roman" w:hAnsi="Times New Roman"/>
          <w:sz w:val="16"/>
          <w:szCs w:val="16"/>
          <w:color w:val="auto"/>
        </w:rPr>
        <w:t>Meanwhile, certain state regulators, such as the New York Department of Financial Services (“NYDFS”), have created or are in the process of creating new regulatory frameworks with respect to virtual currency. For example, in 2015, the NYDFS adopted the first U.S. regulatory framework for licensing participants in virtual currency business activity. The regulation, known informally as the “BitLicense,” regulates the conduct of businesses that are involved in virtual currencies in New York or with New York customers and prohibits any person or entity involved in such activity from conducting such activities without a license. Bakkt Marketplace currently operates under a BitLicense.</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0620"/>
          </w:cols>
          <w:pgMar w:left="320" w:top="453" w:right="959" w:bottom="1440" w:gutter="0" w:footer="0" w:header="0"/>
        </w:sectPr>
      </w:pPr>
    </w:p>
    <w:bookmarkStart w:id="37" w:name="page38"/>
    <w:bookmarkEnd w:id="3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00" w:firstLine="400"/>
        <w:spacing w:after="0" w:line="261" w:lineRule="auto"/>
        <w:rPr>
          <w:sz w:val="20"/>
          <w:szCs w:val="20"/>
          <w:color w:val="auto"/>
        </w:rPr>
      </w:pPr>
      <w:r>
        <w:rPr>
          <w:rFonts w:ascii="Times New Roman" w:cs="Times New Roman" w:eastAsia="Times New Roman" w:hAnsi="Times New Roman"/>
          <w:sz w:val="16"/>
          <w:szCs w:val="16"/>
          <w:color w:val="auto"/>
        </w:rPr>
        <w:t>Other states may adopt similar statutes and regulations that will require us or our subsidiaries to obtain a license to conduct cryptocurrency activities. For example, in July 2020, Louisiana adopted the Virtual Currency Business Act, which will require operators of virtual currency businesses to obtain a virtual currency license in order to conduct business in Louisiana in accordance with a rule, which is expected to be issued by the Louisiana Office of Financial Institutions.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168" w:lineRule="exact"/>
        <w:rPr>
          <w:sz w:val="20"/>
          <w:szCs w:val="20"/>
          <w:color w:val="auto"/>
        </w:rPr>
      </w:pPr>
    </w:p>
    <w:p>
      <w:pPr>
        <w:ind w:left="620" w:right="100" w:firstLine="400"/>
        <w:spacing w:after="0" w:line="259" w:lineRule="auto"/>
        <w:rPr>
          <w:sz w:val="20"/>
          <w:szCs w:val="20"/>
          <w:color w:val="auto"/>
        </w:rPr>
      </w:pPr>
      <w:r>
        <w:rPr>
          <w:rFonts w:ascii="Times New Roman" w:cs="Times New Roman" w:eastAsia="Times New Roman" w:hAnsi="Times New Roman"/>
          <w:sz w:val="16"/>
          <w:szCs w:val="16"/>
          <w:color w:val="auto"/>
        </w:rPr>
        <w:t>Both federal and state agencies have instituted enforcement actions against those violating their interpretation of existing laws. Other U.S. and many state agencies have offered little official guidance and issued no definitive rules regarding the treatment of cryptoassets. The Commodity Futures Trading Commission (“CFTC”) staff has publicly taken the position that certain virtual currencies, which can include cryptocurrencies,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 However, such informal guidance is not official policy, rule or regulation, may be subject to change and does not necessarily bind the CFTC. To the extent that bitcoin is deemed to fall within the definition of a “commodity interest” under the Commodity Exchange Act (“CEA”), we may be subject to additional regulation under the CEA and CFTC regulations. Although the CFTC has suggested it is not particularly focused on pursuing such enforcement at this time, in the event that the CFTC pursues such enforcement and ultimately shuts down an exchange on which our bitcoin futures contract is traded, it may have a significant adverse impact on our business and plan of operations.</w:t>
      </w:r>
    </w:p>
    <w:p>
      <w:pPr>
        <w:spacing w:after="0" w:line="172" w:lineRule="exact"/>
        <w:rPr>
          <w:sz w:val="20"/>
          <w:szCs w:val="20"/>
          <w:color w:val="auto"/>
        </w:rPr>
      </w:pPr>
    </w:p>
    <w:p>
      <w:pPr>
        <w:ind w:left="620" w:firstLine="400"/>
        <w:spacing w:after="0" w:line="267" w:lineRule="auto"/>
        <w:rPr>
          <w:sz w:val="20"/>
          <w:szCs w:val="20"/>
          <w:color w:val="auto"/>
        </w:rPr>
      </w:pPr>
      <w:r>
        <w:rPr>
          <w:rFonts w:ascii="Times New Roman" w:cs="Times New Roman" w:eastAsia="Times New Roman" w:hAnsi="Times New Roman"/>
          <w:sz w:val="16"/>
          <w:szCs w:val="16"/>
          <w:color w:val="auto"/>
        </w:rPr>
        <w:t>As blockchain technologies and cryptoasset business activities grow in popularity and market size, and as new cryptoasset businesses and technologies emerge and proliferate, federal, state and local regulators revisit and update their laws and policies and can be expected to continue to do so in the future. Changes in this regulatory environment, including changing interpretations and the implementation of new or varying regulatory requirements by the government, may significantly affect or change the manner in which we currently conduct some aspect of our business.</w:t>
      </w:r>
    </w:p>
    <w:p>
      <w:pPr>
        <w:spacing w:after="0" w:line="162" w:lineRule="exact"/>
        <w:rPr>
          <w:sz w:val="20"/>
          <w:szCs w:val="20"/>
          <w:color w:val="auto"/>
        </w:rPr>
      </w:pPr>
    </w:p>
    <w:p>
      <w:pPr>
        <w:ind w:left="620" w:right="80" w:firstLine="400"/>
        <w:spacing w:after="0" w:line="260" w:lineRule="auto"/>
        <w:rPr>
          <w:sz w:val="20"/>
          <w:szCs w:val="20"/>
          <w:color w:val="auto"/>
        </w:rPr>
      </w:pPr>
      <w:r>
        <w:rPr>
          <w:rFonts w:ascii="Times New Roman" w:cs="Times New Roman" w:eastAsia="Times New Roman" w:hAnsi="Times New Roman"/>
          <w:sz w:val="16"/>
          <w:szCs w:val="16"/>
          <w:color w:val="auto"/>
        </w:rPr>
        <w:t>The technologies underlying cryptoassets are novel technologies and relatively untested, and the application of U.S. federal and state securities laws to aspects of these technologies and cryptoassets is unclear in certain respects. Because of the novelty of cryptoassets and their underlying blockchain technologies, it is possible that securities regulators may interpret laws in a manner that adversely affects the value of cryptoassets and our business. Various legislative and executive bodies in the United States and in other countries may, in the future, adopt laws, regulations, or guidance, or take other actions that could severely or materially impact the permissibility of the operation of the blockchain networks underlying cryptoassets. It is difficult to predict how or whether regulatory agencies may apply existing or new regulation with respect to this technology and its applications. In addition, self-regulatory bodies may be established that set guidelines regarding cryptocurrencies, tokens like cryptoassets, which could have similar effects to new policies adopted by government bodies.</w:t>
      </w:r>
    </w:p>
    <w:p>
      <w:pPr>
        <w:spacing w:after="0" w:line="170" w:lineRule="exact"/>
        <w:rPr>
          <w:sz w:val="20"/>
          <w:szCs w:val="20"/>
          <w:color w:val="auto"/>
        </w:rPr>
      </w:pPr>
    </w:p>
    <w:p>
      <w:pPr>
        <w:ind w:left="620" w:right="140" w:firstLine="400"/>
        <w:spacing w:after="0" w:line="273" w:lineRule="auto"/>
        <w:rPr>
          <w:sz w:val="20"/>
          <w:szCs w:val="20"/>
          <w:color w:val="auto"/>
        </w:rPr>
      </w:pPr>
      <w:r>
        <w:rPr>
          <w:rFonts w:ascii="Times New Roman" w:cs="Times New Roman" w:eastAsia="Times New Roman" w:hAnsi="Times New Roman"/>
          <w:sz w:val="16"/>
          <w:szCs w:val="16"/>
          <w:color w:val="auto"/>
        </w:rPr>
        <w:t>Any future regulatory actions applicable to cryptoassets, the blockchain networks underlying them, our business, and our related activities could severely impact us. It could also result in negative publicity. Regulatory change could even potentially result in certain operations of our operations being viewed as impermissible, which could negatively affect the value of cryptoassets and our business.</w:t>
      </w:r>
    </w:p>
    <w:p>
      <w:pPr>
        <w:spacing w:after="0" w:line="157" w:lineRule="exact"/>
        <w:rPr>
          <w:sz w:val="20"/>
          <w:szCs w:val="20"/>
          <w:color w:val="auto"/>
        </w:rPr>
      </w:pPr>
    </w:p>
    <w:p>
      <w:pPr>
        <w:ind w:left="620" w:right="120" w:firstLine="400"/>
        <w:spacing w:after="0" w:line="273" w:lineRule="auto"/>
        <w:rPr>
          <w:sz w:val="20"/>
          <w:szCs w:val="20"/>
          <w:color w:val="auto"/>
        </w:rPr>
      </w:pPr>
      <w:r>
        <w:rPr>
          <w:rFonts w:ascii="Times New Roman" w:cs="Times New Roman" w:eastAsia="Times New Roman" w:hAnsi="Times New Roman"/>
          <w:sz w:val="16"/>
          <w:szCs w:val="16"/>
          <w:color w:val="auto"/>
        </w:rPr>
        <w:t>Cryptocurrency networks, blockchain technologies, and coin and token offerings also face an uncertain regulatory landscape in many foreign jurisdictions, including (among others) the European Union, China and Russia. Various foreign jurisdictions may, in the future, adopt laws, regulations or directives that affect</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0600"/>
          </w:cols>
          <w:pgMar w:left="320" w:top="452" w:right="979" w:bottom="1440" w:gutter="0" w:footer="0" w:header="0"/>
        </w:sectPr>
      </w:pPr>
    </w:p>
    <w:bookmarkStart w:id="38" w:name="page39"/>
    <w:bookmarkEnd w:id="3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80"/>
        <w:spacing w:after="0" w:line="291" w:lineRule="auto"/>
        <w:rPr>
          <w:sz w:val="20"/>
          <w:szCs w:val="20"/>
          <w:color w:val="auto"/>
        </w:rPr>
      </w:pPr>
      <w:r>
        <w:rPr>
          <w:rFonts w:ascii="Times New Roman" w:cs="Times New Roman" w:eastAsia="Times New Roman" w:hAnsi="Times New Roman"/>
          <w:sz w:val="16"/>
          <w:szCs w:val="16"/>
          <w:color w:val="auto"/>
        </w:rPr>
        <w:t>cryptoassets and our business. The effect of any future regulatory change is impossible to predict, but any change could be substantial and materially adverse to the adoption and value of cryptoassets and our business.</w:t>
      </w:r>
    </w:p>
    <w:p>
      <w:pPr>
        <w:spacing w:after="0" w:line="142" w:lineRule="exact"/>
        <w:rPr>
          <w:sz w:val="20"/>
          <w:szCs w:val="20"/>
          <w:color w:val="auto"/>
        </w:rPr>
      </w:pPr>
    </w:p>
    <w:p>
      <w:pPr>
        <w:ind w:left="620" w:right="100" w:firstLine="400"/>
        <w:spacing w:after="0" w:line="273" w:lineRule="auto"/>
        <w:rPr>
          <w:sz w:val="20"/>
          <w:szCs w:val="20"/>
          <w:color w:val="auto"/>
        </w:rPr>
      </w:pPr>
      <w:r>
        <w:rPr>
          <w:rFonts w:ascii="Times New Roman" w:cs="Times New Roman" w:eastAsia="Times New Roman" w:hAnsi="Times New Roman"/>
          <w:sz w:val="16"/>
          <w:szCs w:val="16"/>
          <w:color w:val="auto"/>
        </w:rPr>
        <w:t>New or changing laws and regulations or interpretations of existing laws and regulations, in the United States and other jurisdictions, may materially and adversely impact cryptoassets and our business, including with respect to their value, their liquidity, the ability to access marketplaces or exchanges on which to trade cryptoassets, and the structure, rights and transferability of cryptoassets.</w:t>
      </w:r>
    </w:p>
    <w:p>
      <w:pPr>
        <w:spacing w:after="0" w:line="251" w:lineRule="exact"/>
        <w:rPr>
          <w:sz w:val="20"/>
          <w:szCs w:val="20"/>
          <w:color w:val="auto"/>
        </w:rPr>
      </w:pPr>
    </w:p>
    <w:p>
      <w:pPr>
        <w:jc w:val="both"/>
        <w:ind w:left="620" w:right="20" w:firstLine="40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anti-money laundering and counter terrorist financing laws and regulations, globally, including the USA PATRIOT Act, and failure to comply with such laws and regulations may subject us to liability. There can be no assurance that our employees or agents will not violate such laws and regulations.</w:t>
      </w:r>
    </w:p>
    <w:p>
      <w:pPr>
        <w:spacing w:after="0" w:line="56" w:lineRule="exact"/>
        <w:rPr>
          <w:sz w:val="20"/>
          <w:szCs w:val="20"/>
          <w:color w:val="auto"/>
        </w:rPr>
      </w:pPr>
    </w:p>
    <w:p>
      <w:pPr>
        <w:ind w:left="620" w:firstLine="400"/>
        <w:spacing w:after="0" w:line="264" w:lineRule="auto"/>
        <w:rPr>
          <w:sz w:val="20"/>
          <w:szCs w:val="20"/>
          <w:color w:val="auto"/>
        </w:rPr>
      </w:pPr>
      <w:r>
        <w:rPr>
          <w:rFonts w:ascii="Times New Roman" w:cs="Times New Roman" w:eastAsia="Times New Roman" w:hAnsi="Times New Roman"/>
          <w:sz w:val="16"/>
          <w:szCs w:val="16"/>
          <w:color w:val="auto"/>
        </w:rPr>
        <w:t>We are subject to anti-money laundering and counter terrorist financing laws and regulations globally, including the Bank Secrecy Act, as amended by the USA PATRIOT Act, the regulations promulgated by FinCEN, as well as economic and trade sanctions programs, including those imposed and administered by OFAC. These regulations prohibit, among other things, our involvement in transferring the proceeds of criminal activities. Under OFAC’s economic sanctions program, we are prohibited from financial transactions and other dealings with certain countries and geographies and with persons and entities included in OFAC sanctions lists, including its list of Specially Designated Nationals and Blocked Persons.</w:t>
      </w:r>
    </w:p>
    <w:p>
      <w:pPr>
        <w:spacing w:after="0" w:line="165" w:lineRule="exact"/>
        <w:rPr>
          <w:sz w:val="20"/>
          <w:szCs w:val="20"/>
          <w:color w:val="auto"/>
        </w:rPr>
      </w:pPr>
    </w:p>
    <w:p>
      <w:pPr>
        <w:ind w:left="620" w:right="60" w:firstLine="400"/>
        <w:spacing w:after="0" w:line="263" w:lineRule="auto"/>
        <w:rPr>
          <w:sz w:val="20"/>
          <w:szCs w:val="20"/>
          <w:color w:val="auto"/>
        </w:rPr>
      </w:pPr>
      <w:r>
        <w:rPr>
          <w:rFonts w:ascii="Times New Roman" w:cs="Times New Roman" w:eastAsia="Times New Roman" w:hAnsi="Times New Roman"/>
          <w:sz w:val="16"/>
          <w:szCs w:val="16"/>
          <w:color w:val="auto"/>
        </w:rPr>
        <w:t>The United States is also a member of the Financial Action Task Force (“FATF”), an intergovernmental body that establishes international standards to combat money laundering, terrorist financing and other related threats to the integrity of the international financial system. FATF issues guidance that members states are required to observe. More recently, in October 2021, FATF issued the Updated Guidance Virtual Assets and Virtual Asset Service Providers (“FATF Guidance”) which provides additional details regarding expectations for cryptoasset businesses, including those related to due diligence, transmission of transaction data and reporting. We are digesting the impact of this FATF Guidance, which we also expect to evolve over time.</w:t>
      </w:r>
    </w:p>
    <w:p>
      <w:pPr>
        <w:spacing w:after="0" w:line="365" w:lineRule="exact"/>
        <w:rPr>
          <w:sz w:val="20"/>
          <w:szCs w:val="20"/>
          <w:color w:val="auto"/>
        </w:rPr>
      </w:pPr>
    </w:p>
    <w:p>
      <w:pPr>
        <w:ind w:left="620" w:right="20" w:firstLine="400"/>
        <w:spacing w:after="0" w:line="259" w:lineRule="auto"/>
        <w:rPr>
          <w:sz w:val="20"/>
          <w:szCs w:val="20"/>
          <w:color w:val="auto"/>
        </w:rPr>
      </w:pPr>
      <w:r>
        <w:rPr>
          <w:rFonts w:ascii="Times New Roman" w:cs="Times New Roman" w:eastAsia="Times New Roman" w:hAnsi="Times New Roman"/>
          <w:sz w:val="16"/>
          <w:szCs w:val="16"/>
          <w:color w:val="auto"/>
        </w:rPr>
        <w:t>We have implemented policies and procedures designed to help ensure compliance with these laws and regulations. However, regulators in the United States, where we currently operate, continue to increase their scrutiny of compliance with these obligations, which may require us to further revise or expand our compliance program. For example, Division F of the National Defense Authorization Act for Fiscal Year 2021, titled the Anti-Money Laundering Act of 2020, makes significant reforms to the Bank Secrecy Act and other anti-money laundering rules. Evaluation and incorporation of changes required under Division F could result in greater costs for compliance. Furthermore, on March 2, 2022, a group of United States Senators sent the Secretary of the United States Treasury Department a letter asking Secretary Yellen to investigate its ability to enforce such sanctions vis-à-vis bitcoin, and on March 8, 2022, President Biden announced an executive order on cryptocurrencies that seeks to establish a unified federal regulatory regime for cryptocurrencies. We are unable to predict the nature or extent of new and proposed legislation and regulation affecting the cryptocurrency industry, or the potential impact of the use of cryptocurrencies by Specially Designated Nationals or Blocked Persons, which could have material adverse effects on our business and our industry more broadly. Our failure to comply with such laws and regulations, as required by our regulators, may expose us to liability or enforcement actions.</w:t>
      </w:r>
    </w:p>
    <w:p>
      <w:pPr>
        <w:spacing w:after="0" w:line="169" w:lineRule="exact"/>
        <w:rPr>
          <w:sz w:val="20"/>
          <w:szCs w:val="20"/>
          <w:color w:val="auto"/>
        </w:rPr>
      </w:pPr>
    </w:p>
    <w:p>
      <w:pPr>
        <w:ind w:left="620" w:right="120" w:firstLine="400"/>
        <w:spacing w:after="0" w:line="273" w:lineRule="auto"/>
        <w:rPr>
          <w:sz w:val="20"/>
          <w:szCs w:val="20"/>
          <w:color w:val="auto"/>
        </w:rPr>
      </w:pPr>
      <w:r>
        <w:rPr>
          <w:rFonts w:ascii="Times New Roman" w:cs="Times New Roman" w:eastAsia="Times New Roman" w:hAnsi="Times New Roman"/>
          <w:sz w:val="16"/>
          <w:szCs w:val="16"/>
          <w:color w:val="auto"/>
        </w:rPr>
        <w:t>There also can be no assurance that our employees or agents will not violate such anti-money laundering and counter terrorist financing laws and regulations. A failure by us or our employees or agents to comply with such laws and regulations and subsequent judgment or settlement against us under these laws could subject us to monetary penalties, damages and/or have a significant reputational impact.</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0620"/>
          </w:cols>
          <w:pgMar w:left="320" w:top="453" w:right="959" w:bottom="1440" w:gutter="0" w:footer="0" w:header="0"/>
        </w:sectPr>
      </w:pPr>
    </w:p>
    <w:bookmarkStart w:id="39" w:name="page40"/>
    <w:bookmarkEnd w:id="3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right="200" w:firstLine="4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Digital assets are currently subject to many different, and potentially overlapping, regulatory regimes, and may in the future be subject to different regulatory regimes than those that are currently in effect. There can be no assurance that we will be able to comply with all of the regulatory regimes that currently apply or may be applied in the future to digital assets. In particular, a cryptoasset’s status as a “security” in any relevant jurisdiction is subject to a high degree of uncertainty, and if cryptoassets on our platform are later determined to be securities, we may be subject to regulatory scrutiny, investigations, fines, and other penalties, which may adversely affect our business, operating results, and financial condition.</w:t>
      </w:r>
    </w:p>
    <w:p>
      <w:pPr>
        <w:spacing w:after="0" w:line="64" w:lineRule="exact"/>
        <w:rPr>
          <w:sz w:val="20"/>
          <w:szCs w:val="20"/>
          <w:color w:val="auto"/>
        </w:rPr>
      </w:pPr>
    </w:p>
    <w:p>
      <w:pPr>
        <w:ind w:left="620" w:right="220" w:firstLine="400"/>
        <w:spacing w:after="0" w:line="263" w:lineRule="auto"/>
        <w:rPr>
          <w:sz w:val="20"/>
          <w:szCs w:val="20"/>
          <w:color w:val="auto"/>
        </w:rPr>
      </w:pPr>
      <w:r>
        <w:rPr>
          <w:rFonts w:ascii="Times New Roman" w:cs="Times New Roman" w:eastAsia="Times New Roman" w:hAnsi="Times New Roman"/>
          <w:sz w:val="16"/>
          <w:szCs w:val="16"/>
          <w:color w:val="auto"/>
        </w:rPr>
        <w:t>The digital assets that we currently intend to include in our platform include cryptoassets, consumer loyalty and rewards programs, merchant closed-loop gift cards and in-game payments. We plan to enable trading of traditional equity securities on our platform, but only through a registered broker-dealer. Each of the digital assets that we intend to include within our platform is currently subject to certain regulatory regimes and may in the future be subject to different regulatory regimes than those that are currently in effect. There can also be no assurance that we will be able to comply with all of the regulatory regimes that currently apply or may be applied in the future to these digital assets. In addition, it is possible that certain regulatory regimes will make it prohibitively expensive or impossible for us to provide our planned functionality for one or more digital assets.</w:t>
      </w:r>
    </w:p>
    <w:p>
      <w:pPr>
        <w:spacing w:after="0" w:line="163" w:lineRule="exact"/>
        <w:rPr>
          <w:sz w:val="20"/>
          <w:szCs w:val="20"/>
          <w:color w:val="auto"/>
        </w:rPr>
      </w:pPr>
    </w:p>
    <w:p>
      <w:pPr>
        <w:ind w:left="620" w:right="300" w:firstLine="400"/>
        <w:spacing w:after="0" w:line="273" w:lineRule="auto"/>
        <w:rPr>
          <w:sz w:val="20"/>
          <w:szCs w:val="20"/>
          <w:color w:val="auto"/>
        </w:rPr>
      </w:pPr>
      <w:r>
        <w:rPr>
          <w:rFonts w:ascii="Times New Roman" w:cs="Times New Roman" w:eastAsia="Times New Roman" w:hAnsi="Times New Roman"/>
          <w:sz w:val="16"/>
          <w:szCs w:val="16"/>
          <w:color w:val="auto"/>
        </w:rPr>
        <w:t>We evaluate which cryptoassets to include on our platform pursuant to a new cryptoasset listing policy, which includes review by operational, legal and compliance functions. While we plan to enable traditional equity securities trading on our platform through a broker-dealer, we do not currently intend to include cryptoassets that are securities among the digital assets offered through Bakkt Marketplace.</w:t>
      </w:r>
    </w:p>
    <w:p>
      <w:pPr>
        <w:spacing w:after="0" w:line="157" w:lineRule="exact"/>
        <w:rPr>
          <w:sz w:val="20"/>
          <w:szCs w:val="20"/>
          <w:color w:val="auto"/>
        </w:rPr>
      </w:pPr>
    </w:p>
    <w:p>
      <w:pPr>
        <w:ind w:left="620" w:firstLine="400"/>
        <w:spacing w:after="0" w:line="257" w:lineRule="auto"/>
        <w:rPr>
          <w:sz w:val="20"/>
          <w:szCs w:val="20"/>
          <w:color w:val="auto"/>
        </w:rPr>
      </w:pPr>
      <w:r>
        <w:rPr>
          <w:rFonts w:ascii="Times New Roman" w:cs="Times New Roman" w:eastAsia="Times New Roman" w:hAnsi="Times New Roman"/>
          <w:sz w:val="16"/>
          <w:szCs w:val="16"/>
          <w:color w:val="auto"/>
        </w:rPr>
        <w:t>The SEC and its staff have taken the position that certain cryptoassets fall within the definition of a “security” under the U.S. federal securities laws, and it is possible the SEC may take this position with respect to other assets that may be bought, sold, converted, spent and sent on our platform. The legal test for determining whether any given asset is a security is a highly complex, fact-driven analysis that evolves over time, and the outcome is difficult to predict. The SEC generally has not provided advance guidance or confirmation on the status of any particular cryptoasset as a security. Furthermore, the SEC’s views in this area have evolved over time, and it is difficult to predict the direction or timing of any continuing evolution. It is also possible that a change in the governing administration or the appointment of new SEC commissioners could substantially impact the views of the SEC and its staff. To date, public statements by senior officials at the SEC indicate that the SEC does not intend to take the position that bitcoin or ether are securities in their current form; however, these are the only cryptoassets as to which senior officials at the SEC have publicly expressed such a view. Moreover, such statements do not represent SEC rules or official policy statements by the SEC; they reflect only the speakers’ views and are not binding on the SEC or any other agency or court and cannot be generalized to any other cryptoasset or other asset. With respect to all other cryptoassets, there is currently no certainty under the existing securities laws to determine that such assets are not securities; though the SEC’s Strategic Hub for Innovation and Financial Technology published a framework for analyzing whether any given cryptoasset is a security in April 2019, this framework is also not a rule, regulation or statement of the SEC and is not binding on the SEC. With that said, the current SEC Chairman, Gary Gensler, has repeatedly indicated in remarks to various forums, including the U.S. Congress, that some cryptoassets and related products and services may qualify as securities and accordingly be subject to SEC oversight and regulation. Chairman Gensler further referred to the cryptoasset industry as the “Wild West” and called for more consistent and clear regulation of this sector. The SEC, as well as other regulators, seem increasingly fixated on the regulation of cryptoassets, which may impact our business. There also remains significant unclarity over whether individual cryptocurrencies or cryptoassets backed by local currencies (stablecoins) will be deemed as “securities.”</w:t>
      </w:r>
    </w:p>
    <w:p>
      <w:pPr>
        <w:spacing w:after="0" w:line="180" w:lineRule="exact"/>
        <w:rPr>
          <w:sz w:val="20"/>
          <w:szCs w:val="20"/>
          <w:color w:val="auto"/>
        </w:rPr>
      </w:pPr>
    </w:p>
    <w:p>
      <w:pPr>
        <w:ind w:left="620" w:right="60" w:firstLine="400"/>
        <w:spacing w:after="0" w:line="267" w:lineRule="auto"/>
        <w:rPr>
          <w:sz w:val="20"/>
          <w:szCs w:val="20"/>
          <w:color w:val="auto"/>
        </w:rPr>
      </w:pPr>
      <w:r>
        <w:rPr>
          <w:rFonts w:ascii="Times New Roman" w:cs="Times New Roman" w:eastAsia="Times New Roman" w:hAnsi="Times New Roman"/>
          <w:sz w:val="16"/>
          <w:szCs w:val="16"/>
          <w:color w:val="auto"/>
        </w:rPr>
        <w:t>While we currently operate only in the United States, we intend to expand internationally and will be required to comply with the securities (and other) laws of those jurisdictions as we do so. Foreign jurisdictions have varying approaches to classifying cryptoassets as “securities,” and certain cryptoassets and other assets may be deemed to be a “security” under the laws of some jurisdictions, but not others. Various non-U.S. jurisdictions may, in the future, adopt additional laws, regulations, or directives that affect the characterization of cryptoassets and other assets as “securities.”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0600"/>
          </w:cols>
          <w:pgMar w:left="320" w:top="453" w:right="979" w:bottom="1440" w:gutter="0" w:footer="0" w:header="0"/>
        </w:sectPr>
      </w:pPr>
    </w:p>
    <w:bookmarkStart w:id="40" w:name="page41"/>
    <w:bookmarkEnd w:id="4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firstLine="400"/>
        <w:spacing w:after="0" w:line="263" w:lineRule="auto"/>
        <w:rPr>
          <w:sz w:val="20"/>
          <w:szCs w:val="20"/>
          <w:color w:val="auto"/>
        </w:rPr>
      </w:pPr>
      <w:r>
        <w:rPr>
          <w:rFonts w:ascii="Times New Roman" w:cs="Times New Roman" w:eastAsia="Times New Roman" w:hAnsi="Times New Roman"/>
          <w:sz w:val="16"/>
          <w:szCs w:val="16"/>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the Financial Industry Regulatory Authority, Inc. (“FINRA”).</w:t>
      </w:r>
    </w:p>
    <w:p>
      <w:pPr>
        <w:spacing w:after="0" w:line="163" w:lineRule="exact"/>
        <w:rPr>
          <w:sz w:val="20"/>
          <w:szCs w:val="20"/>
          <w:color w:val="auto"/>
        </w:rPr>
      </w:pPr>
    </w:p>
    <w:p>
      <w:pPr>
        <w:ind w:left="620" w:right="20" w:firstLine="400"/>
        <w:spacing w:after="0" w:line="260" w:lineRule="auto"/>
        <w:rPr>
          <w:sz w:val="20"/>
          <w:szCs w:val="20"/>
          <w:color w:val="auto"/>
        </w:rPr>
      </w:pPr>
      <w:r>
        <w:rPr>
          <w:rFonts w:ascii="Times New Roman" w:cs="Times New Roman" w:eastAsia="Times New Roman" w:hAnsi="Times New Roman"/>
          <w:sz w:val="16"/>
          <w:szCs w:val="16"/>
          <w:color w:val="auto"/>
        </w:rPr>
        <w:t>We could be subject to legal or regulatory action in the event the SEC, a foreign regulatory authority, or a court were to determine that a supported cryptoasset bought, sold, converted, spent or sent through our platform is a “security” under applicable laws. Because our platform is not yet registered or licensed with the SEC or foreign authorities as a broker-dealer, national securities exchange, or alternative trading system (“ATS”) (or foreign equivalents), and we do not seek to register or rely on an exemption from such registration or license to facilitate the offer and sale of cryptoassets on our platform, we currently only permit transactions in digital assets that we have determined are not securities. We intend to offer other cryptoassets on our platform in the future, although which cryptoassets will be allowed on our platform and the timing for such cryptoassets to be allowed on out platform is uncertain. We will only allow those cryptoassets for which we determine there are reasonably strong arguments to conclude that the cryptoasset is not a security. Our process will reflect a comprehensive and thoughtful analysis and will be reasonably designed to facilitate consistent application of available legal guidance to facilitate informed risk-based business judgment.</w:t>
      </w:r>
    </w:p>
    <w:p>
      <w:pPr>
        <w:spacing w:after="0" w:line="167" w:lineRule="exact"/>
        <w:rPr>
          <w:sz w:val="20"/>
          <w:szCs w:val="20"/>
          <w:color w:val="auto"/>
        </w:rPr>
      </w:pPr>
    </w:p>
    <w:p>
      <w:pPr>
        <w:ind w:left="620" w:right="40" w:firstLine="400"/>
        <w:spacing w:after="0" w:line="263" w:lineRule="auto"/>
        <w:rPr>
          <w:sz w:val="20"/>
          <w:szCs w:val="20"/>
          <w:color w:val="auto"/>
        </w:rPr>
      </w:pPr>
      <w:r>
        <w:rPr>
          <w:rFonts w:ascii="Times New Roman" w:cs="Times New Roman" w:eastAsia="Times New Roman" w:hAnsi="Times New Roman"/>
          <w:sz w:val="16"/>
          <w:szCs w:val="16"/>
          <w:color w:val="auto"/>
        </w:rPr>
        <w:t>However, the application of securities laws to the specific facts and circumstances of cryptoassets may be complex and subject to change, and a listing determination does not guarantee any conclusion under the United States federal securities laws. For example, in December 2020 the SEC filed a lawsuit against Ripple Labs, Inc. and two of its executives, alleging that they have engaged in an unregistered, ongoing securities offering through the sale of XRP, Ripple’s digital asset, which had been in the public domain since 2012. We expect our risk assessment policies and procedures to continuously evolve to take into account developments in case law, facts and developments in technology, regulatory clarity and changes in market acceptance and adoption of these digital assets.</w:t>
      </w:r>
    </w:p>
    <w:p>
      <w:pPr>
        <w:spacing w:after="0" w:line="163" w:lineRule="exact"/>
        <w:rPr>
          <w:sz w:val="20"/>
          <w:szCs w:val="20"/>
          <w:color w:val="auto"/>
        </w:rPr>
      </w:pPr>
    </w:p>
    <w:p>
      <w:pPr>
        <w:ind w:left="620" w:right="20" w:firstLine="400"/>
        <w:spacing w:after="0" w:line="258" w:lineRule="auto"/>
        <w:rPr>
          <w:sz w:val="20"/>
          <w:szCs w:val="20"/>
          <w:color w:val="auto"/>
        </w:rPr>
      </w:pPr>
      <w:r>
        <w:rPr>
          <w:rFonts w:ascii="Times New Roman" w:cs="Times New Roman" w:eastAsia="Times New Roman" w:hAnsi="Times New Roman"/>
          <w:sz w:val="16"/>
          <w:szCs w:val="16"/>
          <w:color w:val="auto"/>
        </w:rPr>
        <w:t>There can be no assurances that we will properly characterize any given cryptoasset, or other digital asset, as a security or non-security for purposes of determining if that cryptoasset or digital asset is allowed to be offered through our platform, or that the SEC, foreign regulatory authority, or a court, if the question was presented to it, would agree with our assessment. If the SEC, foreign regulatory authority, or a court were to determine that bitcoin or any other cryptoasset or other digital asset to be offered, sold, or traded on our platform in the future is a security, we would not be able to offer such cryptoasset or other digital asset for trading until we are able to do so in a compliant manner, such as through an alternative trading system approved to trade cryptoassets or other digital assets that constitute securities, and such determination may have adverse consequences for such supported cryptoasset or other digital asset.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Such an action could result in injunctions, cease and desist orders, as well as civil monetary penalties, fines and disgorgement, criminal liability and reputational harm. Customers that traded such supported assets on our platform and suffered trading losses could also seek to rescind a transaction that we facilitated on the basis that it was conducted in violation of applicable law, which could subject us to significant liability. Furthermore, if we remove any assets from trading on our platform, our decision may be unpopular with users and may reduce our ability to attract and retain customers, especially if such assets remain traded on unregulated exchanges, which includes many of our competitors.</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0600"/>
          </w:cols>
          <w:pgMar w:left="320" w:top="453" w:right="979" w:bottom="1440" w:gutter="0" w:footer="0" w:header="0"/>
        </w:sectPr>
      </w:pPr>
    </w:p>
    <w:bookmarkStart w:id="41" w:name="page42"/>
    <w:bookmarkEnd w:id="4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Failure to comply with anti-bribery and anti-corruption laws and similar laws could subject us to penalties and other adverse consequences.</w:t>
      </w:r>
    </w:p>
    <w:p>
      <w:pPr>
        <w:spacing w:after="0" w:line="114" w:lineRule="exact"/>
        <w:rPr>
          <w:sz w:val="20"/>
          <w:szCs w:val="20"/>
          <w:color w:val="auto"/>
        </w:rPr>
      </w:pPr>
    </w:p>
    <w:p>
      <w:pPr>
        <w:jc w:val="both"/>
        <w:ind w:left="620" w:right="100" w:firstLine="400"/>
        <w:spacing w:after="0" w:line="264" w:lineRule="auto"/>
        <w:rPr>
          <w:sz w:val="20"/>
          <w:szCs w:val="20"/>
          <w:color w:val="auto"/>
        </w:rPr>
      </w:pPr>
      <w:r>
        <w:rPr>
          <w:rFonts w:ascii="Times New Roman" w:cs="Times New Roman" w:eastAsia="Times New Roman" w:hAnsi="Times New Roman"/>
          <w:sz w:val="16"/>
          <w:szCs w:val="16"/>
          <w:color w:val="auto"/>
        </w:rPr>
        <w:t>We are subject to the U.S. Foreign Corrupt Practices Act of 1977 (the “FCPA”), the U.S. domestic bribery statute contained in 18 U.S.C. § 201, and possibly other anti-bribery and anti-corruption laws in countries outside of the United States where we conduct our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65" w:lineRule="exact"/>
        <w:rPr>
          <w:sz w:val="20"/>
          <w:szCs w:val="20"/>
          <w:color w:val="auto"/>
        </w:rPr>
      </w:pPr>
    </w:p>
    <w:p>
      <w:pPr>
        <w:ind w:left="620" w:right="40" w:firstLine="400"/>
        <w:spacing w:after="0" w:line="263" w:lineRule="auto"/>
        <w:rPr>
          <w:sz w:val="20"/>
          <w:szCs w:val="20"/>
          <w:color w:val="auto"/>
        </w:rPr>
      </w:pPr>
      <w:r>
        <w:rPr>
          <w:rFonts w:ascii="Times New Roman" w:cs="Times New Roman" w:eastAsia="Times New Roman" w:hAnsi="Times New Roman"/>
          <w:sz w:val="16"/>
          <w:szCs w:val="16"/>
          <w:color w:val="auto"/>
        </w:rPr>
        <w:t>We may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 As we increase our international sales and business, our risks under these laws may increase.</w:t>
      </w:r>
    </w:p>
    <w:p>
      <w:pPr>
        <w:spacing w:after="0" w:line="163" w:lineRule="exact"/>
        <w:rPr>
          <w:sz w:val="20"/>
          <w:szCs w:val="20"/>
          <w:color w:val="auto"/>
        </w:rPr>
      </w:pPr>
    </w:p>
    <w:p>
      <w:pPr>
        <w:jc w:val="both"/>
        <w:ind w:left="620" w:right="120" w:firstLine="400"/>
        <w:spacing w:after="0" w:line="267" w:lineRule="auto"/>
        <w:rPr>
          <w:sz w:val="20"/>
          <w:szCs w:val="20"/>
          <w:color w:val="auto"/>
        </w:rPr>
      </w:pPr>
      <w:r>
        <w:rPr>
          <w:rFonts w:ascii="Times New Roman" w:cs="Times New Roman" w:eastAsia="Times New Roman" w:hAnsi="Times New Roman"/>
          <w:sz w:val="16"/>
          <w:szCs w:val="16"/>
          <w:color w:val="auto"/>
        </w:rPr>
        <w:t>These laws also require that we keep accurate books and records and maintain internal controls and compliance procedures designed to prevent any such actions. While we have implemented policies and procedures designed to ensure compliance with these laws and regulations, there can be no assurance that none of our employees, agents, representatives, business partners or third-party intermediaries will not violate our policies or applicable laws and regulations, for which we may be ultimately held responsible.</w:t>
      </w:r>
    </w:p>
    <w:p>
      <w:pPr>
        <w:spacing w:after="0" w:line="162" w:lineRule="exact"/>
        <w:rPr>
          <w:sz w:val="20"/>
          <w:szCs w:val="20"/>
          <w:color w:val="auto"/>
        </w:rPr>
      </w:pPr>
    </w:p>
    <w:p>
      <w:pPr>
        <w:ind w:left="620" w:right="40" w:firstLine="400"/>
        <w:spacing w:after="0" w:line="264" w:lineRule="auto"/>
        <w:rPr>
          <w:sz w:val="20"/>
          <w:szCs w:val="20"/>
          <w:color w:val="auto"/>
        </w:rPr>
      </w:pPr>
      <w:r>
        <w:rPr>
          <w:rFonts w:ascii="Times New Roman" w:cs="Times New Roman" w:eastAsia="Times New Roman" w:hAnsi="Times New Roman"/>
          <w:sz w:val="16"/>
          <w:szCs w:val="16"/>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259" w:lineRule="exact"/>
        <w:rPr>
          <w:sz w:val="20"/>
          <w:szCs w:val="20"/>
          <w:color w:val="auto"/>
        </w:rPr>
      </w:pPr>
    </w:p>
    <w:p>
      <w:pPr>
        <w:ind w:left="620" w:right="28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We are subject to federal and state consumer protection laws and regulations in the jurisdictions in which we operate, which may result in liability or expense, including potential private rights of action, if we do not comply, or it is alleged that we do not to comply, with such laws.</w:t>
      </w:r>
    </w:p>
    <w:p>
      <w:pPr>
        <w:spacing w:after="0" w:line="39" w:lineRule="exact"/>
        <w:rPr>
          <w:sz w:val="20"/>
          <w:szCs w:val="20"/>
          <w:color w:val="auto"/>
        </w:rPr>
      </w:pPr>
    </w:p>
    <w:p>
      <w:pPr>
        <w:ind w:left="620" w:firstLine="400"/>
        <w:spacing w:after="0" w:line="259" w:lineRule="auto"/>
        <w:rPr>
          <w:sz w:val="20"/>
          <w:szCs w:val="20"/>
          <w:color w:val="auto"/>
        </w:rPr>
      </w:pPr>
      <w:r>
        <w:rPr>
          <w:rFonts w:ascii="Times New Roman" w:cs="Times New Roman" w:eastAsia="Times New Roman" w:hAnsi="Times New Roman"/>
          <w:sz w:val="16"/>
          <w:szCs w:val="16"/>
          <w:color w:val="auto"/>
        </w:rPr>
        <w:t>We are subject to federal and state consumer protection laws and regulations in the jurisdictions in which we operate. In the United States, Bakkt Marketplace is subject to federal and state consumer protection laws and regulations applicable to its activities, including the Electronic Fund Transfer Act (“EFTA”) and Regulation E as implemented by the CFPB. These regulations require us to provide advance disclosure of changes to our services, follow specified error resolution procedures and reimburse consumers for losses from certain transactions not authorized by the consumer, among other requirements. There are uncertainties associated with being subject to consumer protection rules and regulations of the CFPB and other regulators, including in the application of certain rules and regulations to our business model and to cryptoassets. Bakkt Marketplace may be considered a “covered person” for purposes of the CFPB’s enforcement authority and may additionally be subject to the authority of the Federal Trade Commission. Under certain consumer protection rules and regulations, we may be exposed to significant liability to consumers in the event that there is an incident which results in a large number of unauthorized and fraudulent transfers out of our system. Additionally, we could face private litigation by consumers under consumer protection laws and regulations that have private rights of action. Technical violations of consumer protection laws could result in the assessment of actual damages or statutory damages or penalties of up to $1,000 in individual cases or up to $500,000 per violation in any class action and treble damages in some instances; we could also be liable for plaintiffs’ attorneys’ fees in such cases. We could be</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0580"/>
          </w:cols>
          <w:pgMar w:left="320" w:top="452" w:right="999" w:bottom="1440" w:gutter="0" w:footer="0" w:header="0"/>
        </w:sectPr>
      </w:pPr>
    </w:p>
    <w:bookmarkStart w:id="42" w:name="page43"/>
    <w:bookmarkEnd w:id="4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00"/>
        <w:spacing w:after="0" w:line="291" w:lineRule="auto"/>
        <w:rPr>
          <w:sz w:val="20"/>
          <w:szCs w:val="20"/>
          <w:color w:val="auto"/>
        </w:rPr>
      </w:pPr>
      <w:r>
        <w:rPr>
          <w:rFonts w:ascii="Times New Roman" w:cs="Times New Roman" w:eastAsia="Times New Roman" w:hAnsi="Times New Roman"/>
          <w:sz w:val="16"/>
          <w:szCs w:val="16"/>
          <w:color w:val="auto"/>
        </w:rPr>
        <w:t>subject to, and could be required to pay amounts in settlement of, lawsuits containing allegations that our business violated the EFTA and Regulation E or otherwise advance claims for relief relating to our business practices.</w:t>
      </w:r>
    </w:p>
    <w:p>
      <w:pPr>
        <w:spacing w:after="0" w:line="142" w:lineRule="exact"/>
        <w:rPr>
          <w:sz w:val="20"/>
          <w:szCs w:val="20"/>
          <w:color w:val="auto"/>
        </w:rPr>
      </w:pPr>
    </w:p>
    <w:p>
      <w:pPr>
        <w:ind w:left="620" w:right="20" w:firstLine="400"/>
        <w:spacing w:after="0" w:line="259" w:lineRule="auto"/>
        <w:rPr>
          <w:sz w:val="20"/>
          <w:szCs w:val="20"/>
          <w:color w:val="auto"/>
        </w:rPr>
      </w:pPr>
      <w:r>
        <w:rPr>
          <w:rFonts w:ascii="Times New Roman" w:cs="Times New Roman" w:eastAsia="Times New Roman" w:hAnsi="Times New Roman"/>
          <w:sz w:val="16"/>
          <w:szCs w:val="16"/>
          <w:color w:val="auto"/>
        </w:rPr>
        <w:t>In October 2016, the CFPB issued a final rule on prepaid accounts. The rule’s definition of prepaid account includes certain accounts that are capable of being loaded with funds and whose primary function is to conduct transactions with multiple, unaffiliated merchants, at ATMs and/or for person-to-person transfers, including certain digital wallets. The rule’s requirements include: the disclosure of fees and other information to the consumer prior to the creation of a prepaid account; the extension of Regulation E liability limits and error-resolution requirements to all prepaid accounts; the application of Regulation Z credit card requirements to prepaid accounts with overdraft and credit features; and the submission of prepaid account agreements to the CFPB and their publication to the general public. In April 2017, the CFPB delayed the effective date of the final rule on prepaid accounts to April 1, 2018, and indicated that it would review, among other issues, the linking of credit cards to digital wallets that are capable of storing funds. In June 2017, the CFPB released proposed changes to its final rule, and in January 2018, the CFPB issued its final rule, modifying some aspects of the rule, with an overall effective date of April 1, 2019. We have implemented certain changes to comply with the final rule, some of which constitute substantial changes to the design of certain U.S. consumer accounts and their operability, which could lead to consumer dissatisfaction, require us to reallocate resources, and increase our costs, which could negatively affect our business.</w:t>
      </w:r>
    </w:p>
    <w:p>
      <w:pPr>
        <w:spacing w:after="0" w:line="263" w:lineRule="exact"/>
        <w:rPr>
          <w:sz w:val="20"/>
          <w:szCs w:val="20"/>
          <w:color w:val="auto"/>
        </w:rPr>
      </w:pPr>
    </w:p>
    <w:p>
      <w:pPr>
        <w:ind w:left="620" w:right="58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Complying with evolving privacy and other data related laws and requirements may be expensive and force us to make changes to our business, and failure to comply with such laws and requirements could result in substantial harm to our business.</w:t>
      </w:r>
    </w:p>
    <w:p>
      <w:pPr>
        <w:spacing w:after="0" w:line="35" w:lineRule="exact"/>
        <w:rPr>
          <w:sz w:val="20"/>
          <w:szCs w:val="20"/>
          <w:color w:val="auto"/>
        </w:rPr>
      </w:pPr>
    </w:p>
    <w:p>
      <w:pPr>
        <w:ind w:left="620" w:right="40" w:firstLine="400"/>
        <w:spacing w:after="0" w:line="264" w:lineRule="auto"/>
        <w:rPr>
          <w:sz w:val="20"/>
          <w:szCs w:val="20"/>
          <w:color w:val="auto"/>
        </w:rPr>
      </w:pPr>
      <w:r>
        <w:rPr>
          <w:rFonts w:ascii="Times New Roman" w:cs="Times New Roman" w:eastAsia="Times New Roman" w:hAnsi="Times New Roman"/>
          <w:sz w:val="16"/>
          <w:szCs w:val="16"/>
          <w:color w:val="auto"/>
        </w:rPr>
        <w:t>We are subject to a number of laws, rules, directives and regulations (“privacy law</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relating to the collection, use, retention, security, processing and transfer of personally identifiable information about our consumers, employees, and other individuals (“personal data”) in the jurisdictions where we operate. Our business relies on the processing of data and the movement of data, and, as a result, much of the personal data that we process, especially financial information, may be regulated by multiple privacy laws. In many cases, these laws apply not only to third-party transactions, but also to transfers of information between or among us, our subsidiaries and other parties with which we have commercial relationships. Regulatory scrutiny of privacy, data protection and the collection, storage, use and sharing of personal data is increasing across multiple jurisdictions.</w:t>
      </w:r>
    </w:p>
    <w:p>
      <w:pPr>
        <w:spacing w:after="0" w:line="162" w:lineRule="exact"/>
        <w:rPr>
          <w:sz w:val="20"/>
          <w:szCs w:val="20"/>
          <w:color w:val="auto"/>
        </w:rPr>
      </w:pPr>
    </w:p>
    <w:p>
      <w:pPr>
        <w:ind w:left="620" w:right="100" w:firstLine="400"/>
        <w:spacing w:after="0" w:line="273" w:lineRule="auto"/>
        <w:rPr>
          <w:sz w:val="20"/>
          <w:szCs w:val="20"/>
          <w:color w:val="auto"/>
        </w:rPr>
      </w:pPr>
      <w:r>
        <w:rPr>
          <w:rFonts w:ascii="Times New Roman" w:cs="Times New Roman" w:eastAsia="Times New Roman" w:hAnsi="Times New Roman"/>
          <w:sz w:val="16"/>
          <w:szCs w:val="16"/>
          <w:color w:val="auto"/>
        </w:rPr>
        <w:t>Furthermore, laws relating to privacy and data protection, including with respect to the use of data in artificial intelligence and machine learning, are rapidly evolving, extensive, complex and include inconsistencies and uncertainties. Examples of recent and anticipated developments that have or could impact our business include the following:</w:t>
      </w:r>
    </w:p>
    <w:p>
      <w:pPr>
        <w:spacing w:after="0" w:line="71" w:lineRule="exact"/>
        <w:rPr>
          <w:sz w:val="20"/>
          <w:szCs w:val="20"/>
          <w:color w:val="auto"/>
        </w:rPr>
      </w:pPr>
    </w:p>
    <w:p>
      <w:pPr>
        <w:ind w:left="1500" w:right="160" w:hanging="387"/>
        <w:spacing w:after="0" w:line="273" w:lineRule="auto"/>
        <w:tabs>
          <w:tab w:leader="none" w:pos="1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2020, the California Consumer Privacy Act (“CCPA”) took effect, providing California residents increased privacy rights and protections, including the ability to opt out of sales of their personal information. The CCPA may increase our compliance costs and exposure to liability.</w:t>
      </w:r>
    </w:p>
    <w:p>
      <w:pPr>
        <w:spacing w:after="0" w:line="70" w:lineRule="exact"/>
        <w:rPr>
          <w:rFonts w:ascii="Times New Roman" w:cs="Times New Roman" w:eastAsia="Times New Roman" w:hAnsi="Times New Roman"/>
          <w:sz w:val="16"/>
          <w:szCs w:val="16"/>
          <w:color w:val="auto"/>
        </w:rPr>
      </w:pPr>
    </w:p>
    <w:p>
      <w:pPr>
        <w:ind w:left="1500" w:hanging="387"/>
        <w:spacing w:after="0" w:line="267" w:lineRule="auto"/>
        <w:tabs>
          <w:tab w:leader="none" w:pos="1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November 2021, the California Privacy Rights (“CPRA”) was approved by California voters. The CPRA significantly modifies the CCPA, including by imposing additional obligations on covered business and expanding consumers’ rights with respect to certain sensitive personal information, potentially resulting in further uncertainty and requiring us to incur additional costs and expenses in an effort to comply. The CPRA also creates a new state agency that will be vested with authority to implement and enforce the CCPA and the CPRA.</w:t>
      </w:r>
    </w:p>
    <w:p>
      <w:pPr>
        <w:spacing w:after="0" w:line="76" w:lineRule="exact"/>
        <w:rPr>
          <w:rFonts w:ascii="Times New Roman" w:cs="Times New Roman" w:eastAsia="Times New Roman" w:hAnsi="Times New Roman"/>
          <w:sz w:val="16"/>
          <w:szCs w:val="16"/>
          <w:color w:val="auto"/>
        </w:rPr>
      </w:pPr>
    </w:p>
    <w:p>
      <w:pPr>
        <w:ind w:left="1500" w:right="280" w:hanging="387"/>
        <w:spacing w:after="0" w:line="291" w:lineRule="auto"/>
        <w:tabs>
          <w:tab w:leader="none" w:pos="1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2021, the Governor of Virginia signed into law the Virginia Consumer Data Protection Act (“VCDPA”). The VCDPA creates consumer rights similar to the CCPA, but also imposes security and assessment requirements for businesses.</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0600"/>
          </w:cols>
          <w:pgMar w:left="320" w:top="453" w:right="979" w:bottom="1440" w:gutter="0" w:footer="0" w:header="0"/>
        </w:sectPr>
      </w:pPr>
    </w:p>
    <w:bookmarkStart w:id="43" w:name="page44"/>
    <w:bookmarkEnd w:id="4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500" w:right="40" w:hanging="387"/>
        <w:spacing w:after="0" w:line="291" w:lineRule="auto"/>
        <w:tabs>
          <w:tab w:leader="none" w:pos="1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2021, Colorado enacted the Colorado Privacy Act, which closely resembles the VCDPA, and, like the VCDPA, will be enforced by the state Attorney General and district attorney.</w:t>
      </w:r>
    </w:p>
    <w:p>
      <w:pPr>
        <w:spacing w:after="0" w:line="56" w:lineRule="exact"/>
        <w:rPr>
          <w:rFonts w:ascii="Times New Roman" w:cs="Times New Roman" w:eastAsia="Times New Roman" w:hAnsi="Times New Roman"/>
          <w:sz w:val="16"/>
          <w:szCs w:val="16"/>
          <w:color w:val="auto"/>
        </w:rPr>
      </w:pPr>
    </w:p>
    <w:p>
      <w:pPr>
        <w:ind w:left="1500" w:right="180" w:hanging="387"/>
        <w:spacing w:after="0" w:line="291" w:lineRule="auto"/>
        <w:tabs>
          <w:tab w:leader="none" w:pos="1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U.S. states are considering adopting similar laws. The enactment of such laws could have potentially conflicting requirements that would make compliance challenging.</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United States government is considering regulating artificial intelligence and machine learning.</w:t>
      </w:r>
    </w:p>
    <w:p>
      <w:pPr>
        <w:spacing w:after="0" w:line="122" w:lineRule="exact"/>
        <w:rPr>
          <w:rFonts w:ascii="Times New Roman" w:cs="Times New Roman" w:eastAsia="Times New Roman" w:hAnsi="Times New Roman"/>
          <w:sz w:val="16"/>
          <w:szCs w:val="16"/>
          <w:color w:val="auto"/>
        </w:rPr>
      </w:pPr>
    </w:p>
    <w:p>
      <w:pPr>
        <w:ind w:left="1500" w:right="260" w:hanging="387"/>
        <w:spacing w:after="0" w:line="291" w:lineRule="auto"/>
        <w:tabs>
          <w:tab w:leader="none" w:pos="1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we maintain and the standards we comply with, including the Payment Card Industry Data Security Standard, among others, are becoming more stringent.</w:t>
      </w:r>
    </w:p>
    <w:p>
      <w:pPr>
        <w:spacing w:after="0" w:line="142" w:lineRule="exact"/>
        <w:rPr>
          <w:sz w:val="20"/>
          <w:szCs w:val="20"/>
          <w:color w:val="auto"/>
        </w:rPr>
      </w:pPr>
    </w:p>
    <w:p>
      <w:pPr>
        <w:ind w:left="620" w:right="20" w:firstLine="400"/>
        <w:spacing w:after="0" w:line="259" w:lineRule="auto"/>
        <w:rPr>
          <w:sz w:val="20"/>
          <w:szCs w:val="20"/>
          <w:color w:val="auto"/>
        </w:rPr>
      </w:pPr>
      <w:r>
        <w:rPr>
          <w:rFonts w:ascii="Times New Roman" w:cs="Times New Roman" w:eastAsia="Times New Roman" w:hAnsi="Times New Roman"/>
          <w:sz w:val="16"/>
          <w:szCs w:val="16"/>
          <w:color w:val="auto"/>
        </w:rPr>
        <w:t>These and other similar legal and regulatory developments could contribute to legal and economic uncertainty, affect how we design, market, sell and operate our platform, how our merchant partners, consumers and vendors process and share data, how we process and use data, and how we transfer personal data from one jurisdiction to another, which could negatively impact demand for our platform. We may incur substantial costs to comply with such laws and regulations, to meet the demands of our merchant partners relating to their own compliance with applicable laws and regulations, and to establish and maintain internal policies, self-certifications and third-party certifications supporting our compliance programs. Our merchant partners may delegate their obligations relating to these or other laws or regulations to us via contract, and we may otherwise be required to expend resources to assist our merchant partners with such compliance obligations. In addition, any actual or perceived non-compliance with applicable laws, regulations, policies, industry data protections, security standards and certifications could result in proceedings, investigations, or claims against us by regulatory authorities, consumers, merchant partners, or others, leading to reputational harm, significant fines, litigation costs and damages. All of these impacts could have a material adverse effect on our business, financial condition and results of operations.</w:t>
      </w:r>
    </w:p>
    <w:p>
      <w:pPr>
        <w:spacing w:after="0" w:line="172" w:lineRule="exact"/>
        <w:rPr>
          <w:sz w:val="20"/>
          <w:szCs w:val="20"/>
          <w:color w:val="auto"/>
        </w:rPr>
      </w:pPr>
    </w:p>
    <w:p>
      <w:pPr>
        <w:ind w:left="620" w:firstLine="400"/>
        <w:spacing w:after="0" w:line="264" w:lineRule="auto"/>
        <w:rPr>
          <w:sz w:val="20"/>
          <w:szCs w:val="20"/>
          <w:color w:val="auto"/>
        </w:rPr>
      </w:pPr>
      <w:r>
        <w:rPr>
          <w:rFonts w:ascii="Times New Roman" w:cs="Times New Roman" w:eastAsia="Times New Roman" w:hAnsi="Times New Roman"/>
          <w:sz w:val="16"/>
          <w:szCs w:val="16"/>
          <w:color w:val="auto"/>
        </w:rPr>
        <w:t>We publish privacy policies and other documentation regarding our collection, processing, use and disclosure of personal data, including credit card information, and certain other information. Although we endeavor to comply with our published policies, certifications and documentation, we may at times fail to do so or may be perceived to have failed to do so. Moreover, despite our efforts, we may not be successful in achieving compliance if our employees or vendors fail to comply with our published policies, certifications and documentation. Such failures can subject us to potential local, state and federal action if they are found to be deceptive, unfair, or misrepresentative of our actual practices.</w:t>
      </w:r>
    </w:p>
    <w:p>
      <w:pPr>
        <w:spacing w:after="0" w:line="165" w:lineRule="exact"/>
        <w:rPr>
          <w:sz w:val="20"/>
          <w:szCs w:val="20"/>
          <w:color w:val="auto"/>
        </w:rPr>
      </w:pPr>
    </w:p>
    <w:p>
      <w:pPr>
        <w:ind w:left="620" w:right="80" w:firstLine="400"/>
        <w:spacing w:after="0" w:line="260" w:lineRule="auto"/>
        <w:rPr>
          <w:sz w:val="20"/>
          <w:szCs w:val="20"/>
          <w:color w:val="auto"/>
        </w:rPr>
      </w:pPr>
      <w:r>
        <w:rPr>
          <w:rFonts w:ascii="Times New Roman" w:cs="Times New Roman" w:eastAsia="Times New Roman" w:hAnsi="Times New Roman"/>
          <w:sz w:val="16"/>
          <w:szCs w:val="16"/>
          <w:color w:val="auto"/>
        </w:rPr>
        <w:t>In addition, because of the large number of text messages, emails, phone calls and other communications we send or make to our consumers for various business purposes, communication-related privacy laws that provide a specified monetary damage award or fine for each violation could result in particularly significant damage awards or fines. For example, under the Telephone Consumer Protection Act (“TCPA”), in the U.S., plaintiffs may seek actual monetary loss or statutory damages of $500 per violation, whichever is greater, and courts may triple the damage award for willful or knowing violations. We could be subject to lawsuits (including class-action lawsuits) containing allegations that our business violated the TCPA. These lawsuits seek damages (including statutory damages) and injunctive relief, among other remedies. Given the large number of communications we send to our consumers, a determination that there have been violations of the TCPA or other communications-based statutes could expose us to significant damage awards that could, individually or in the aggregate, materially harm our business.</w:t>
      </w:r>
    </w:p>
    <w:p>
      <w:pPr>
        <w:spacing w:after="0" w:line="265" w:lineRule="exact"/>
        <w:rPr>
          <w:sz w:val="20"/>
          <w:szCs w:val="20"/>
          <w:color w:val="auto"/>
        </w:rPr>
      </w:pPr>
    </w:p>
    <w:p>
      <w:pPr>
        <w:ind w:left="620" w:right="22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We are subject to significant litigation risk and risk of regulatory liability and penalties. Any future litigation against us could be costly and time-consuming to defend.</w:t>
      </w:r>
    </w:p>
    <w:p>
      <w:pPr>
        <w:spacing w:after="0" w:line="39" w:lineRule="exact"/>
        <w:rPr>
          <w:sz w:val="20"/>
          <w:szCs w:val="20"/>
          <w:color w:val="auto"/>
        </w:rPr>
      </w:pPr>
    </w:p>
    <w:p>
      <w:pPr>
        <w:ind w:left="620" w:right="40" w:firstLine="400"/>
        <w:spacing w:after="0" w:line="273" w:lineRule="auto"/>
        <w:rPr>
          <w:sz w:val="20"/>
          <w:szCs w:val="20"/>
          <w:color w:val="auto"/>
        </w:rPr>
      </w:pPr>
      <w:r>
        <w:rPr>
          <w:rFonts w:ascii="Times New Roman" w:cs="Times New Roman" w:eastAsia="Times New Roman" w:hAnsi="Times New Roman"/>
          <w:sz w:val="16"/>
          <w:szCs w:val="16"/>
          <w:color w:val="auto"/>
        </w:rPr>
        <w:t>Many aspects of our business involve substantial litigation risks. These risks include, among others, potential liability from disputes over terms of a trade, the claim that a system failure or delay caused monetary losses to a user, that we entered into an unauthorized transaction, that we provided materially false or misleading statements in connection with a transaction or that we failed to effectively fulfill our regulatory oversight</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0600"/>
          </w:cols>
          <w:pgMar w:left="320" w:top="453" w:right="979" w:bottom="1440" w:gutter="0" w:footer="0" w:header="0"/>
        </w:sectPr>
      </w:pPr>
    </w:p>
    <w:bookmarkStart w:id="44" w:name="page45"/>
    <w:bookmarkEnd w:id="4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40"/>
        <w:spacing w:after="0" w:line="264" w:lineRule="auto"/>
        <w:rPr>
          <w:sz w:val="20"/>
          <w:szCs w:val="20"/>
          <w:color w:val="auto"/>
        </w:rPr>
      </w:pPr>
      <w:r>
        <w:rPr>
          <w:rFonts w:ascii="Times New Roman" w:cs="Times New Roman" w:eastAsia="Times New Roman" w:hAnsi="Times New Roman"/>
          <w:sz w:val="16"/>
          <w:szCs w:val="16"/>
          <w:color w:val="auto"/>
        </w:rPr>
        <w:t>responsibilities. We may be subject to disputes regarding the quality of consumer order execution, the settlement of consumer orders or other matters relating to our services. We may become subject to these claims as a result of failures or malfunctions of our systems and the services we provide. More generally, we may become subject to legal proceedings and claims that arise in the ordinary course of business, such as claims brought by our users in connection with commercial disputes, employment claims made by our current or former employees and securities class action litigation or other shareholder action litigation.</w:t>
      </w:r>
    </w:p>
    <w:p>
      <w:pPr>
        <w:spacing w:after="0" w:line="165" w:lineRule="exact"/>
        <w:rPr>
          <w:sz w:val="20"/>
          <w:szCs w:val="20"/>
          <w:color w:val="auto"/>
        </w:rPr>
      </w:pPr>
    </w:p>
    <w:p>
      <w:pPr>
        <w:ind w:left="620" w:right="40" w:firstLine="400"/>
        <w:spacing w:after="0" w:line="259" w:lineRule="auto"/>
        <w:rPr>
          <w:sz w:val="20"/>
          <w:szCs w:val="20"/>
          <w:color w:val="auto"/>
        </w:rPr>
      </w:pPr>
      <w:r>
        <w:rPr>
          <w:rFonts w:ascii="Times New Roman" w:cs="Times New Roman" w:eastAsia="Times New Roman" w:hAnsi="Times New Roman"/>
          <w:sz w:val="16"/>
          <w:szCs w:val="16"/>
          <w:color w:val="auto"/>
        </w:rPr>
        <w:t>Litigation, even claims without merit,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 Further, an adverse resolution of any future lawsuit or claim against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26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We agree to indemnify enterprise and loyalty partners and other third parties, which exposes us to substantial potential liability.</w:t>
      </w:r>
    </w:p>
    <w:p>
      <w:pPr>
        <w:spacing w:after="0" w:line="114"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color w:val="auto"/>
        </w:rPr>
        <w:t>Our contracts with enterprise and loyalty partners, investors and other third parties generally include indemnification provisions under which we agree to defend and indemnify them against claims and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enterprise and loyalty partners or other third parties. We may be liable for up to the full amount of the indemnified claims, which could result in substantial liability or material disruption to our business or could negatively impact our relationships with loyalty partners, enterprises or other third parties, reduce demand for our products and adversely affect our business, financial condition and results of operations.</w:t>
      </w:r>
    </w:p>
    <w:p>
      <w:pPr>
        <w:spacing w:after="0" w:line="200" w:lineRule="exact"/>
        <w:rPr>
          <w:sz w:val="20"/>
          <w:szCs w:val="20"/>
          <w:color w:val="auto"/>
        </w:rPr>
      </w:pPr>
    </w:p>
    <w:p>
      <w:pPr>
        <w:spacing w:after="0" w:line="2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patent litigation.</w:t>
      </w:r>
    </w:p>
    <w:p>
      <w:pPr>
        <w:spacing w:after="0" w:line="114" w:lineRule="exact"/>
        <w:rPr>
          <w:sz w:val="20"/>
          <w:szCs w:val="20"/>
          <w:color w:val="auto"/>
        </w:rPr>
      </w:pPr>
    </w:p>
    <w:p>
      <w:pPr>
        <w:ind w:left="620" w:right="240" w:firstLine="400"/>
        <w:spacing w:after="0" w:line="291" w:lineRule="auto"/>
        <w:rPr>
          <w:sz w:val="20"/>
          <w:szCs w:val="20"/>
          <w:color w:val="auto"/>
        </w:rPr>
      </w:pPr>
      <w:r>
        <w:rPr>
          <w:rFonts w:ascii="Times New Roman" w:cs="Times New Roman" w:eastAsia="Times New Roman" w:hAnsi="Times New Roman"/>
          <w:sz w:val="16"/>
          <w:szCs w:val="16"/>
          <w:color w:val="auto"/>
        </w:rPr>
        <w:t>We have been sued for allegedly infringing other parties’ patents and may continue to be subject to patent infringement claims because, among other reasons:</w:t>
      </w:r>
    </w:p>
    <w:p>
      <w:pPr>
        <w:spacing w:after="0" w:line="56" w:lineRule="exact"/>
        <w:rPr>
          <w:sz w:val="20"/>
          <w:szCs w:val="20"/>
          <w:color w:val="auto"/>
        </w:rPr>
      </w:pPr>
    </w:p>
    <w:p>
      <w:pPr>
        <w:ind w:left="1500" w:right="200" w:hanging="387"/>
        <w:spacing w:after="0" w:line="291" w:lineRule="auto"/>
        <w:tabs>
          <w:tab w:leader="none" w:pos="1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and services continue to expand in scope and complexity and to converge with technologies not previously associated with the payments and loyalty points space;</w:t>
      </w:r>
    </w:p>
    <w:p>
      <w:pPr>
        <w:spacing w:after="0" w:line="56" w:lineRule="exact"/>
        <w:rPr>
          <w:rFonts w:ascii="Times New Roman" w:cs="Times New Roman" w:eastAsia="Times New Roman" w:hAnsi="Times New Roman"/>
          <w:sz w:val="16"/>
          <w:szCs w:val="16"/>
          <w:color w:val="auto"/>
        </w:rPr>
      </w:pPr>
    </w:p>
    <w:p>
      <w:pPr>
        <w:ind w:left="1500" w:right="100" w:hanging="387"/>
        <w:spacing w:after="0" w:line="291" w:lineRule="auto"/>
        <w:tabs>
          <w:tab w:leader="none" w:pos="1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and services may be designed, developed and delivered without thorough due diligence of prior works covered by legitimate patent protections;</w:t>
      </w:r>
    </w:p>
    <w:p>
      <w:pPr>
        <w:spacing w:after="0" w:line="56" w:lineRule="exact"/>
        <w:rPr>
          <w:rFonts w:ascii="Times New Roman" w:cs="Times New Roman" w:eastAsia="Times New Roman" w:hAnsi="Times New Roman"/>
          <w:sz w:val="16"/>
          <w:szCs w:val="16"/>
          <w:color w:val="auto"/>
        </w:rPr>
      </w:pPr>
    </w:p>
    <w:p>
      <w:pPr>
        <w:ind w:left="1500" w:right="220" w:hanging="387"/>
        <w:spacing w:after="0" w:line="291" w:lineRule="auto"/>
        <w:tabs>
          <w:tab w:leader="none" w:pos="1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and services may be designed, developed or delivered by bad actors knowingly using intellectual property from a previous employer or vendor;</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continue to expand into new business areas, including through acquisitions; and</w:t>
      </w:r>
    </w:p>
    <w:p>
      <w:pPr>
        <w:spacing w:after="0" w:line="122" w:lineRule="exact"/>
        <w:rPr>
          <w:rFonts w:ascii="Times New Roman" w:cs="Times New Roman" w:eastAsia="Times New Roman" w:hAnsi="Times New Roman"/>
          <w:sz w:val="16"/>
          <w:szCs w:val="16"/>
          <w:color w:val="auto"/>
        </w:rPr>
      </w:pPr>
    </w:p>
    <w:p>
      <w:pPr>
        <w:ind w:left="1500" w:right="420" w:hanging="387"/>
        <w:spacing w:after="0" w:line="291" w:lineRule="auto"/>
        <w:tabs>
          <w:tab w:leader="none" w:pos="1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patent owners who may claim that we, or any of the companies we have acquired, or our enterprise or loyalty partners infringe their patents, and the aggregate number of patents controlled by such patent owners, continues to increase.</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0600"/>
          </w:cols>
          <w:pgMar w:left="320" w:top="453" w:right="979" w:bottom="1440" w:gutter="0" w:footer="0" w:header="0"/>
        </w:sectPr>
      </w:pPr>
    </w:p>
    <w:bookmarkStart w:id="45" w:name="page46"/>
    <w:bookmarkEnd w:id="4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Such claims may be brought directly against us or against our enterprise and loyalty partners, who we may be required to indemnify due to contractual obligations or as a business matter. We believe that many of the claims against us and other technology companies have been, and continue to be, initiated by third parties whose sole or primary business is to assert such claims. We expect to vigorously defend against patent infringement claims. In addition, there have been significant patent disputes between operating companies in some technology industries. Patent claims, whether or not meritorious, could be time-consuming, divert management’s resources, be costly to manage, defend and resolve, and lead to attempts by other parties to pursue similar claims. Additionally, patent claims could require us to make expensive changes in our methods of doing business, enter into costly royalty or licensing agreements, make substantial payments to satisfy adverse judgments, settle claims or proceedings, or cease conducting certain operations, which would harm our business, results of operations, financial condition and future prospects.</w:t>
      </w:r>
    </w:p>
    <w:p>
      <w:pPr>
        <w:spacing w:after="0" w:line="265" w:lineRule="exact"/>
        <w:rPr>
          <w:sz w:val="20"/>
          <w:szCs w:val="20"/>
          <w:color w:val="auto"/>
        </w:rPr>
      </w:pPr>
    </w:p>
    <w:p>
      <w:pPr>
        <w:ind w:left="620" w:right="58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sufficiently protect our proprietary rights and may encounter disputes from time to time relating to our use of the intellectual property of third parties.</w:t>
      </w:r>
    </w:p>
    <w:p>
      <w:pPr>
        <w:spacing w:after="0" w:line="39" w:lineRule="exact"/>
        <w:rPr>
          <w:sz w:val="20"/>
          <w:szCs w:val="20"/>
          <w:color w:val="auto"/>
        </w:rPr>
      </w:pPr>
    </w:p>
    <w:p>
      <w:pPr>
        <w:ind w:left="620" w:right="340" w:firstLine="400"/>
        <w:spacing w:after="0" w:line="273" w:lineRule="auto"/>
        <w:rPr>
          <w:sz w:val="20"/>
          <w:szCs w:val="20"/>
          <w:color w:val="auto"/>
        </w:rPr>
      </w:pPr>
      <w:r>
        <w:rPr>
          <w:rFonts w:ascii="Times New Roman" w:cs="Times New Roman" w:eastAsia="Times New Roman" w:hAnsi="Times New Roman"/>
          <w:sz w:val="16"/>
          <w:szCs w:val="16"/>
          <w:color w:val="auto"/>
        </w:rPr>
        <w:t>We rely on a combination of trademarks, patents, service marks, copyrights, trade secrets, domain names and agreements with employees and third parties to protect our proprietary rights. Nonetheless, third parties may challenge, invalidate or circumvent our intellectual property, and our intellectual property may not be sufficient to provide it with a competitive advantage.</w:t>
      </w:r>
    </w:p>
    <w:p>
      <w:pPr>
        <w:spacing w:after="0" w:line="157" w:lineRule="exact"/>
        <w:rPr>
          <w:sz w:val="20"/>
          <w:szCs w:val="20"/>
          <w:color w:val="auto"/>
        </w:rPr>
      </w:pPr>
    </w:p>
    <w:p>
      <w:pPr>
        <w:ind w:left="620" w:right="40" w:firstLine="400"/>
        <w:spacing w:after="0" w:line="261" w:lineRule="auto"/>
        <w:rPr>
          <w:sz w:val="20"/>
          <w:szCs w:val="20"/>
          <w:color w:val="auto"/>
        </w:rPr>
      </w:pPr>
      <w:r>
        <w:rPr>
          <w:rFonts w:ascii="Times New Roman" w:cs="Times New Roman" w:eastAsia="Times New Roman" w:hAnsi="Times New Roman"/>
          <w:sz w:val="16"/>
          <w:szCs w:val="16"/>
          <w:color w:val="auto"/>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Measures in place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could cause a diversion of resources and may not be successful.</w:t>
      </w:r>
    </w:p>
    <w:p>
      <w:pPr>
        <w:spacing w:after="0" w:line="168"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color w:val="auto"/>
        </w:rPr>
        <w:t>We also may encounter disputes from time to time concerning intellectual property rights of others, and we may not prevail in these disputes. Third parties may raise claims alleging that we, or consultants or other third parties retained or indemnified by us, infringe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262" w:lineRule="exact"/>
        <w:rPr>
          <w:sz w:val="20"/>
          <w:szCs w:val="20"/>
          <w:color w:val="auto"/>
        </w:rPr>
      </w:pPr>
    </w:p>
    <w:p>
      <w:pPr>
        <w:ind w:left="620" w:right="24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Regulatory requirements upon a change of control of our regulated subsidiaries may require an investor to obtain prior approval or submit information to regulators upon acquiring a direct or indirect controlling interest in us.</w:t>
      </w:r>
    </w:p>
    <w:p>
      <w:pPr>
        <w:spacing w:after="0" w:line="39" w:lineRule="exact"/>
        <w:rPr>
          <w:sz w:val="20"/>
          <w:szCs w:val="20"/>
          <w:color w:val="auto"/>
        </w:rPr>
      </w:pPr>
    </w:p>
    <w:p>
      <w:pPr>
        <w:ind w:left="620" w:right="40" w:firstLine="400"/>
        <w:spacing w:after="0" w:line="267" w:lineRule="auto"/>
        <w:rPr>
          <w:sz w:val="20"/>
          <w:szCs w:val="20"/>
          <w:color w:val="auto"/>
        </w:rPr>
      </w:pPr>
      <w:r>
        <w:rPr>
          <w:rFonts w:ascii="Times New Roman" w:cs="Times New Roman" w:eastAsia="Times New Roman" w:hAnsi="Times New Roman"/>
          <w:sz w:val="16"/>
          <w:szCs w:val="16"/>
          <w:color w:val="auto"/>
        </w:rPr>
        <w:t>Certain of our subsidiaries are subject to regulatory supervision, including the requirement to obtain prior consent from the relevant regulator when a person holds, acquires or increases a controlling interest in those entities. For instance, under certain state money transmitter regulations, no person may hold or acquire, alone or together with others, a direct or indirect stake of 10% or more of us, or exercise, directly or indirectly, a controlling influence over us or any of the regulated subsidiaries. Under other state money transmitter regulations, that threshold may be higher.</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0620"/>
          </w:cols>
          <w:pgMar w:left="320" w:top="453" w:right="959" w:bottom="1440" w:gutter="0" w:footer="0" w:header="0"/>
        </w:sectPr>
      </w:pPr>
    </w:p>
    <w:bookmarkStart w:id="46" w:name="page47"/>
    <w:bookmarkEnd w:id="4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40" w:firstLine="400"/>
        <w:spacing w:after="0" w:line="264" w:lineRule="auto"/>
        <w:rPr>
          <w:sz w:val="20"/>
          <w:szCs w:val="20"/>
          <w:color w:val="auto"/>
        </w:rPr>
      </w:pPr>
      <w:r>
        <w:rPr>
          <w:rFonts w:ascii="Times New Roman" w:cs="Times New Roman" w:eastAsia="Times New Roman" w:hAnsi="Times New Roman"/>
          <w:sz w:val="16"/>
          <w:szCs w:val="16"/>
          <w:color w:val="auto"/>
        </w:rPr>
        <w:t>Non-compliance with those requirements may lead to injunctions, penalties and sanctions against us as well as the person seeking to hold, acquire or increase a controlling interest, may subject the relevant transactions to cancellation or forced sale, and may result in increased regulatory compliance requirements or other potential regulatory restrictions on our business (including in respect of matters such as corporate governance, restructurings, mergers and acquisitions, financings and distributions). If any of this were to occur, it could damage our reputation, limit our growth and materially and adversely affect our business, financial condition and results of operations.</w:t>
      </w:r>
    </w:p>
    <w:p>
      <w:pPr>
        <w:spacing w:after="0" w:line="2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Our tax information reporting obligations with respect to transactions involving loyalty points or other incentives are subject to change.</w:t>
      </w:r>
    </w:p>
    <w:p>
      <w:pPr>
        <w:spacing w:after="0" w:line="114" w:lineRule="exact"/>
        <w:rPr>
          <w:sz w:val="20"/>
          <w:szCs w:val="20"/>
          <w:color w:val="auto"/>
        </w:rPr>
      </w:pPr>
    </w:p>
    <w:p>
      <w:pPr>
        <w:ind w:left="620" w:firstLine="400"/>
        <w:spacing w:after="0" w:line="267" w:lineRule="auto"/>
        <w:rPr>
          <w:sz w:val="20"/>
          <w:szCs w:val="20"/>
          <w:color w:val="auto"/>
        </w:rPr>
      </w:pPr>
      <w:r>
        <w:rPr>
          <w:rFonts w:ascii="Times New Roman" w:cs="Times New Roman" w:eastAsia="Times New Roman" w:hAnsi="Times New Roman"/>
          <w:sz w:val="16"/>
          <w:szCs w:val="16"/>
          <w:color w:val="auto"/>
        </w:rPr>
        <w:t>Under the current law, we do not believe that we are required to file any information returns with taxing authorities with respect to the issuance by our partners of loyalty points or other incentives, and we believe that we are in compliance with our tax information reporting obligations with respect to incentives that we issue. There can be no assurance that the IRS will not challenge our position, or that the applicable laws and administrative guidance will not change in a manner requiring us to provide additional tax information reporting to our users.</w:t>
      </w:r>
    </w:p>
    <w:p>
      <w:pPr>
        <w:spacing w:after="0" w:line="162" w:lineRule="exact"/>
        <w:rPr>
          <w:sz w:val="20"/>
          <w:szCs w:val="20"/>
          <w:color w:val="auto"/>
        </w:rPr>
      </w:pPr>
    </w:p>
    <w:p>
      <w:pPr>
        <w:ind w:left="620" w:firstLine="400"/>
        <w:spacing w:after="0" w:line="258" w:lineRule="auto"/>
        <w:rPr>
          <w:sz w:val="20"/>
          <w:szCs w:val="20"/>
          <w:color w:val="auto"/>
        </w:rPr>
      </w:pPr>
      <w:r>
        <w:rPr>
          <w:rFonts w:ascii="Times New Roman" w:cs="Times New Roman" w:eastAsia="Times New Roman" w:hAnsi="Times New Roman"/>
          <w:sz w:val="16"/>
          <w:szCs w:val="16"/>
          <w:color w:val="auto"/>
        </w:rPr>
        <w:t>It is unclear whether the conversion to cash or cryptoassets of loyalty points by means of using our platform is or may become subject to information reporting by us. In our capacity as the facilitator of an exchange on which such transactions occur, we may be deemed to have certain information reporting obligations to the IRS or another taxing authority. The IRS has provided limited guidance with respect to information reporting obligations for transactions involving loyalty points or other incentives, and, absent future regulatory or administrative guidance, we expect to file information returns with the IRS for only a limited number of such transactions. There can be no assurances, however, that the IRS will not take a contrary position with respect to our information reporting obligations. If the IRS were to successfully challenge our position with respect to its information reporting obligations or if it were ultimately determined that the conversion of loyalty points to cash or cryptoassets is subject to information reporting obligations, we could potentially be subject to penalties for any failure to satisfy such information reporting obligations. Additionally, changes in applicable laws and administrative guidance could impose such obligations on us. For example, under the recently enacted Infrastructure Investment and Jobs Act of 2021 (Pub. L. 117-58), we may be treated as a “broker” with respect to cryptoassets transactions we facilitate. As a result, we may be required to file certain information reports, including customer’s names and addresses, gross proceeds from sales, and any capital gains or losses to the IRS. The IRS has not yet provided any administrative guidance with respect to the application of this new legislation to companies like ours.</w:t>
      </w:r>
    </w:p>
    <w:p>
      <w:pPr>
        <w:spacing w:after="0" w:line="372" w:lineRule="exact"/>
        <w:rPr>
          <w:sz w:val="20"/>
          <w:szCs w:val="20"/>
          <w:color w:val="auto"/>
        </w:rPr>
      </w:pPr>
    </w:p>
    <w:p>
      <w:pPr>
        <w:ind w:left="620" w:right="260" w:firstLine="400"/>
        <w:spacing w:after="0" w:line="273" w:lineRule="auto"/>
        <w:rPr>
          <w:sz w:val="20"/>
          <w:szCs w:val="20"/>
          <w:color w:val="auto"/>
        </w:rPr>
      </w:pPr>
      <w:r>
        <w:rPr>
          <w:rFonts w:ascii="Times New Roman" w:cs="Times New Roman" w:eastAsia="Times New Roman" w:hAnsi="Times New Roman"/>
          <w:sz w:val="16"/>
          <w:szCs w:val="16"/>
          <w:color w:val="auto"/>
        </w:rPr>
        <w:t>Such changes in our tax information reporting obligations may have a negative effect on the experience of our users and may significantly increase our compliance costs. As a result of the foregoing, our planned business model may be adversely affected or it may incur additional costs in connection therewith.</w:t>
      </w:r>
    </w:p>
    <w:p>
      <w:pPr>
        <w:spacing w:after="0" w:line="251" w:lineRule="exact"/>
        <w:rPr>
          <w:sz w:val="20"/>
          <w:szCs w:val="20"/>
          <w:color w:val="auto"/>
        </w:rPr>
      </w:pPr>
    </w:p>
    <w:p>
      <w:pPr>
        <w:ind w:left="620" w:right="12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Changes in tax laws or their judicial or administrative interpretations, or becoming subject to additional taxes that cannot be passed through to our loyalty users, could negatively affect our business, financial condition and results of operations.</w:t>
      </w:r>
    </w:p>
    <w:p>
      <w:pPr>
        <w:spacing w:after="0" w:line="39" w:lineRule="exact"/>
        <w:rPr>
          <w:sz w:val="20"/>
          <w:szCs w:val="20"/>
          <w:color w:val="auto"/>
        </w:rPr>
      </w:pPr>
    </w:p>
    <w:p>
      <w:pPr>
        <w:ind w:left="620" w:firstLine="400"/>
        <w:spacing w:after="0" w:line="263" w:lineRule="auto"/>
        <w:rPr>
          <w:sz w:val="20"/>
          <w:szCs w:val="20"/>
          <w:color w:val="auto"/>
        </w:rPr>
      </w:pPr>
      <w:r>
        <w:rPr>
          <w:rFonts w:ascii="Times New Roman" w:cs="Times New Roman" w:eastAsia="Times New Roman" w:hAnsi="Times New Roman"/>
          <w:sz w:val="16"/>
          <w:szCs w:val="16"/>
          <w:color w:val="auto"/>
        </w:rPr>
        <w:t>Our operations may be subject to extensive tax liabilities, including federal and state income taxes and other taxes, such as excise, sales/use, payroll, franchise, withholding and ad valorem taxes. Changes in tax laws or their judicial or administrative interpretations could decrease the amount of revenues we receive, the value of any tax loss carryforwards and tax credits recorded on our balance sheet and the amount of our cash flow and may have a material adverse impact on our business, financial condition and results of operations. Some of our tax liabilities may be subject to periodic audits by the applicable taxing authority, which could increase our tax liabilities. Furthermore, we may become subject to taxation in various taxing jurisdictions. If we are required to pay additional taxes and are unable to pass the tax expense through to our users, our costs would increase and our net</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0600"/>
          </w:cols>
          <w:pgMar w:left="320" w:top="453" w:right="979" w:bottom="1440" w:gutter="0" w:footer="0" w:header="0"/>
        </w:sectPr>
      </w:pPr>
    </w:p>
    <w:bookmarkStart w:id="47" w:name="page48"/>
    <w:bookmarkEnd w:id="4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income would be reduced, which could have a material adverse effect on our business, financial condition and results of operations.</w:t>
      </w:r>
    </w:p>
    <w:p>
      <w:pPr>
        <w:spacing w:after="0" w:line="302" w:lineRule="exact"/>
        <w:rPr>
          <w:sz w:val="20"/>
          <w:szCs w:val="20"/>
          <w:color w:val="auto"/>
        </w:rPr>
      </w:pPr>
    </w:p>
    <w:p>
      <w:pPr>
        <w:ind w:left="620" w:right="20" w:firstLine="40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Because there is limited guidance for tax reporting or accounting of bitcoin and other cryptoasset transactions, the determination that we have made for how to account for or report the tax treatment of cryptoasset transactions may be subject to change and challenge by relevant tax authorities in various countries, including the United States. Failure to properly report activity related to cryptoassets for tax or accounting purposes may have negative regulatory or legal outcomes and harm our reputation.</w:t>
      </w:r>
    </w:p>
    <w:p>
      <w:pPr>
        <w:spacing w:after="0" w:line="62" w:lineRule="exact"/>
        <w:rPr>
          <w:sz w:val="20"/>
          <w:szCs w:val="20"/>
          <w:color w:val="auto"/>
        </w:rPr>
      </w:pPr>
    </w:p>
    <w:p>
      <w:pPr>
        <w:ind w:left="620" w:firstLine="400"/>
        <w:spacing w:after="0" w:line="258" w:lineRule="auto"/>
        <w:rPr>
          <w:sz w:val="20"/>
          <w:szCs w:val="20"/>
          <w:color w:val="auto"/>
        </w:rPr>
      </w:pPr>
      <w:r>
        <w:rPr>
          <w:rFonts w:ascii="Times New Roman" w:cs="Times New Roman" w:eastAsia="Times New Roman" w:hAnsi="Times New Roman"/>
          <w:sz w:val="16"/>
          <w:szCs w:val="16"/>
          <w:color w:val="auto"/>
        </w:rPr>
        <w:t>Because there has been limited guidance for the tax reporting or accounting of cryptoassets and limited guidance has been provided by the IRS, it is unclear how cryptoasset transactions or other actions related to cryptoassets (such as forks, provision of staking rewards and other cryptoasset incentives and rewards products or other similar items) and related tax consequences should be accounted for or reported for tax purposes. In 2014, the IRS released Notice 2014-21, IRB 2014-16, or IRS Notice, discussing certain aspects of “convertible virtual currency” (that is, digital currency that has an equivalent value in real (or fiat) currency or that acts as a substitute for fiat currency) for U.S. federal income tax purposes. IRS stated that such digital currency is treated as “property”, not “currency” for purposes of the rules relating to foreign currency gain or loss, and may be held as a capital asset. In 2019, the IRS released Revenue Ruling 2019-24 and a set of “Frequently Asked Questions”, or the Revenue Ruling &amp; FAQs, that provide some additional guidance, including guidance to the effect that, under certain circumstances, hard forks of digital currencies are taxable events giving rise to ordinary income and guidance with respect to the determination of the tax basis of digital currency. However, the IRS Notice and the Revenue Ruling &amp; FAQs do not address other significant aspects of the U.S. federal income tax treatment of cryptoassets and related transactions. Moreover, although the Revenue Ruling &amp; FAQs address the treatment of forks, there continues to be uncertainty with respect to the timing and amount of income inclusions for various cryptoasset transactions including, but not limited to, staking rewards and other cryptoasset products. Furthermore, the accounting treatment for revenues from cryptocurrency transactions is currently under review and subject to change. Failure to properly account for and report the transactions and other items related to the cryptoassets held by our consumers to relevant tax authorities, such as the IRS, could have negative outcomes for us and harm our reputation with consumers and others.</w:t>
      </w:r>
    </w:p>
    <w:p>
      <w:pPr>
        <w:spacing w:after="0" w:line="171"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There can be no assurance that the IRS or other foreign tax authority will not alter its existing positions with respect to cryptoassets in the future or that a court would uphold the treatment set forth in the existing IRS guidance. It is also unclear what additional guidance may be issued in the future on the treatment of existing cryptoasset transactions and future cryptoasset innovations for purposes of U.S. federal income tax or other foreign tax regulations. Any such alteration of existing IRS and foreign tax authority positions or additional guidance regarding cryptoasset products and transactions could result in adverse tax consequences for holders of cryptoassets and could have an adverse effect on the value of cryptoassets and the broader cryptoassets markets. Future technological and operational developments that may arise with respect to digital currencies may increase the uncertainty with respect to the treatment of digital currencies for U.S. federal income and foreign tax purposes. The uncertainty regarding tax treatment of cryptoasset transactions impacts our customers, and could impact our business, both domestically and abroad.</w:t>
      </w:r>
    </w:p>
    <w:p>
      <w:pPr>
        <w:spacing w:after="0" w:line="170" w:lineRule="exact"/>
        <w:rPr>
          <w:sz w:val="20"/>
          <w:szCs w:val="20"/>
          <w:color w:val="auto"/>
        </w:rPr>
      </w:pPr>
    </w:p>
    <w:p>
      <w:pPr>
        <w:ind w:left="620" w:right="20" w:firstLine="400"/>
        <w:spacing w:after="0" w:line="260" w:lineRule="auto"/>
        <w:rPr>
          <w:sz w:val="20"/>
          <w:szCs w:val="20"/>
          <w:color w:val="auto"/>
        </w:rPr>
      </w:pPr>
      <w:r>
        <w:rPr>
          <w:rFonts w:ascii="Times New Roman" w:cs="Times New Roman" w:eastAsia="Times New Roman" w:hAnsi="Times New Roman"/>
          <w:sz w:val="16"/>
          <w:szCs w:val="16"/>
          <w:color w:val="auto"/>
        </w:rPr>
        <w:t>It is likely that the IRS will introduce new rules related to our tax reporting and withholding obligations on our customer transactions in the future, possibly in ways that differ from our existing compliance protocols and where there is risk that we do not have proper records to ensure compliance for certain legacy customers. If the IRS determines that we are not in compliance with our tax reporting or withholding requirements with respect to customer crypto asset transactions, we may be exposed to significant penalties, which could adversely affect our financial position. We anticipate additional guidance from the IRS regarding tax reporting and withholding obligations with respect to customer crypto asset transactions that will likely require us to invest substantially in new compliance measures and may require significant retroactive compliance efforts, which could adversely affect our financial position. Similarly, it is likely that new rules for reporting crypto assets under the “common reporting standard” will be implemented on our international operations, creating new obligations and a need to</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0620"/>
          </w:cols>
          <w:pgMar w:left="320" w:top="453" w:right="959" w:bottom="1440" w:gutter="0" w:footer="0" w:header="0"/>
        </w:sectPr>
      </w:pPr>
    </w:p>
    <w:bookmarkStart w:id="48" w:name="page49"/>
    <w:bookmarkEnd w:id="4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jc w:val="both"/>
        <w:ind w:left="620" w:right="40"/>
        <w:spacing w:after="0" w:line="273" w:lineRule="auto"/>
        <w:rPr>
          <w:sz w:val="20"/>
          <w:szCs w:val="20"/>
          <w:color w:val="auto"/>
        </w:rPr>
      </w:pPr>
      <w:r>
        <w:rPr>
          <w:rFonts w:ascii="Times New Roman" w:cs="Times New Roman" w:eastAsia="Times New Roman" w:hAnsi="Times New Roman"/>
          <w:sz w:val="16"/>
          <w:szCs w:val="16"/>
          <w:color w:val="auto"/>
        </w:rPr>
        <w:t>invest in new onboarding and reporting infrastructure. Such rules are under discussion today by the member and observer states of the “Organization for Economic Cooperation and Development” and may give rise to potential liabilities or disclosure requirements for prior customer arrangements and new rules that affect how we onboard our customers and report their transactions to taxing authorities.</w:t>
      </w:r>
    </w:p>
    <w:p>
      <w:pPr>
        <w:spacing w:after="0" w:line="2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Our ability to use net operating losses to offset future taxable income may be subject to certain limitations under U.S. or foreign tax law.</w:t>
      </w:r>
    </w:p>
    <w:p>
      <w:pPr>
        <w:spacing w:after="0" w:line="114" w:lineRule="exact"/>
        <w:rPr>
          <w:sz w:val="20"/>
          <w:szCs w:val="20"/>
          <w:color w:val="auto"/>
        </w:rPr>
      </w:pPr>
    </w:p>
    <w:p>
      <w:pPr>
        <w:ind w:left="620" w:firstLine="400"/>
        <w:spacing w:after="0" w:line="259" w:lineRule="auto"/>
        <w:rPr>
          <w:sz w:val="20"/>
          <w:szCs w:val="20"/>
          <w:color w:val="auto"/>
        </w:rPr>
      </w:pPr>
      <w:r>
        <w:rPr>
          <w:rFonts w:ascii="Times New Roman" w:cs="Times New Roman" w:eastAsia="Times New Roman" w:hAnsi="Times New Roman"/>
          <w:sz w:val="16"/>
          <w:szCs w:val="16"/>
          <w:color w:val="auto"/>
        </w:rPr>
        <w:t>Under Section 382 of the Internal Revenue Code of 1986, as amended (the “Code”), a corporation that undergoes an “ownership change” is subject to limitations on its ability to utilize its net operating losses, or NOLs to offset future taxable income. Future changes in our stock ownership, the causes of which may be outside of our control, could result in an ownership change under Section 382 of the Code. Any future NOLs we generate may also be impaired under state laws. In addition, under the 2017 Tax Cuts and Jobs Act, or Tax Act, future tax losses may be utilized to offset no more than 80% of taxable income annually. Under the Coronavirus Aid, Relief, and Economic Security, or CARES Act, signed into law in March 2020, the limitation on the deduction of NOLs to 80% of current year taxable income is eliminated for taxable years beginning before January 1, 2021. Notwithstanding the CARES Act, we may be required to pay federal income taxes in future years despite generating a loss for federal income tax purposes. There is also a risk that due to statutory or regulatory changes, such as suspensions on the use of NOLs, or other unforeseen reasons, our future NOLs could expire or otherwise be unavailable to offset future income tax liabilities. It is uncertain if and to what extent various states will conform to the Tax Act, as modified by the CARES Act. For these reasons, we may not be able to realize a tax benefit from the use of any future NOLs we generate, whether or not we attain profitability.</w:t>
      </w:r>
    </w:p>
    <w:p>
      <w:pPr>
        <w:spacing w:after="0" w:line="200" w:lineRule="exact"/>
        <w:rPr>
          <w:sz w:val="20"/>
          <w:szCs w:val="20"/>
          <w:color w:val="auto"/>
        </w:rPr>
      </w:pPr>
    </w:p>
    <w:p>
      <w:pPr>
        <w:spacing w:after="0" w:line="262" w:lineRule="exact"/>
        <w:rPr>
          <w:sz w:val="20"/>
          <w:szCs w:val="20"/>
          <w:color w:val="auto"/>
        </w:rPr>
      </w:pPr>
    </w:p>
    <w:p>
      <w:pPr>
        <w:ind w:left="620" w:right="2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various governmental export control and trade sanctions laws and regulations that could impair our ability to compete in international markets or subject us to liability if we violate these controls.</w:t>
      </w:r>
    </w:p>
    <w:p>
      <w:pPr>
        <w:spacing w:after="0" w:line="39" w:lineRule="exact"/>
        <w:rPr>
          <w:sz w:val="20"/>
          <w:szCs w:val="20"/>
          <w:color w:val="auto"/>
        </w:rPr>
      </w:pPr>
    </w:p>
    <w:p>
      <w:pPr>
        <w:ind w:left="620" w:right="100" w:firstLine="400"/>
        <w:spacing w:after="0" w:line="260" w:lineRule="auto"/>
        <w:rPr>
          <w:sz w:val="20"/>
          <w:szCs w:val="20"/>
          <w:color w:val="auto"/>
        </w:rPr>
      </w:pPr>
      <w:r>
        <w:rPr>
          <w:rFonts w:ascii="Times New Roman" w:cs="Times New Roman" w:eastAsia="Times New Roman" w:hAnsi="Times New Roman"/>
          <w:sz w:val="16"/>
          <w:szCs w:val="16"/>
          <w:color w:val="auto"/>
        </w:rPr>
        <w:t>In some cases, our platform may be subject to export control laws and regulations, including the Export Administration Regulations administered by the U.S. Department of Commerce, and our activities may be subject to trade and economic sanctions, including those administered by the United States Department of the Treasury’s Office of Foreign Assets Control, or OFAC, (collectively, “Trade Controls”). As such, a license may be required to make our platform available to certain countries and end-users, and for certain end-uses. The process for obtaining necessary licenses may be time-consuming or unsuccessful, potentially causing delays in sales or losses of sales opportunities, and these licenses may not be issued. Trade Controls are complex and dynamic regimes and monitoring and ensuring compliance can be challenging. Although we have procedures in place designed to ensure our compliance with Trade Controls, any failure to comply could subject us to both civil and criminal penalties, including substantial fines, possible incarceration of responsible individuals for willful violations, possible loss of our export or import privileges, and reputational harm.</w:t>
      </w:r>
    </w:p>
    <w:p>
      <w:pPr>
        <w:spacing w:after="0" w:line="170" w:lineRule="exact"/>
        <w:rPr>
          <w:sz w:val="20"/>
          <w:szCs w:val="20"/>
          <w:color w:val="auto"/>
        </w:rPr>
      </w:pPr>
    </w:p>
    <w:p>
      <w:pPr>
        <w:ind w:left="620" w:right="40" w:firstLine="400"/>
        <w:spacing w:after="0" w:line="264" w:lineRule="auto"/>
        <w:rPr>
          <w:sz w:val="20"/>
          <w:szCs w:val="20"/>
          <w:color w:val="auto"/>
        </w:rPr>
      </w:pPr>
      <w:r>
        <w:rPr>
          <w:rFonts w:ascii="Times New Roman" w:cs="Times New Roman" w:eastAsia="Times New Roman" w:hAnsi="Times New Roman"/>
          <w:sz w:val="16"/>
          <w:szCs w:val="16"/>
          <w:color w:val="auto"/>
        </w:rPr>
        <w:t>In addition, various countries regulate the import of certain encryption technology, including through import permit and license requirements, and have enacted laws that could limit our ability to distribute our software and services or could limit our customers’ ability to implement our platform in those countries. Changes in our platform or changes in export and import regulations in such countries may create delays in the introduction of our platform into international markets, prevent our customers with international operations from deploying our platform globally or, in some cases, prevent or delay the export or import of our software and services to certain countries, governments, or persons altogether.</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Risks Related to Information Technology and Data</w:t>
      </w:r>
    </w:p>
    <w:p>
      <w:pPr>
        <w:spacing w:after="0" w:line="110" w:lineRule="exact"/>
        <w:rPr>
          <w:sz w:val="20"/>
          <w:szCs w:val="20"/>
          <w:color w:val="auto"/>
        </w:rPr>
      </w:pPr>
    </w:p>
    <w:p>
      <w:pPr>
        <w:ind w:left="620" w:right="62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Actual or perceived cyberattacks, security incidents or breaches could result in serious harm to our reputation, business and financial condition.</w:t>
      </w:r>
    </w:p>
    <w:p>
      <w:pPr>
        <w:spacing w:after="0" w:line="39" w:lineRule="exact"/>
        <w:rPr>
          <w:sz w:val="20"/>
          <w:szCs w:val="20"/>
          <w:color w:val="auto"/>
        </w:rPr>
      </w:pPr>
    </w:p>
    <w:p>
      <w:pPr>
        <w:ind w:left="620" w:right="260" w:firstLine="400"/>
        <w:spacing w:after="0" w:line="291" w:lineRule="auto"/>
        <w:rPr>
          <w:sz w:val="20"/>
          <w:szCs w:val="20"/>
          <w:color w:val="auto"/>
        </w:rPr>
      </w:pPr>
      <w:r>
        <w:rPr>
          <w:rFonts w:ascii="Times New Roman" w:cs="Times New Roman" w:eastAsia="Times New Roman" w:hAnsi="Times New Roman"/>
          <w:sz w:val="16"/>
          <w:szCs w:val="16"/>
          <w:color w:val="auto"/>
        </w:rPr>
        <w:t>Our business involves the collection, storage, processing and transmission of confidential information and consumers’ personal data, including financial information and information about how consumers interact with</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0620"/>
          </w:cols>
          <w:pgMar w:left="320" w:top="453" w:right="959" w:bottom="1440" w:gutter="0" w:footer="0" w:header="0"/>
        </w:sectPr>
      </w:pPr>
    </w:p>
    <w:bookmarkStart w:id="49" w:name="page50"/>
    <w:bookmarkEnd w:id="4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our platform. We have built our reputation on the premise that we offer consumers a secure and convenient way to manage their digital assets. We also maintain and process other information in our business, including our own proprietary, confidential, or otherwise sensitive information, and information we maintain or otherwise process for third parties. 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65" w:lineRule="exact"/>
        <w:rPr>
          <w:sz w:val="20"/>
          <w:szCs w:val="20"/>
          <w:color w:val="auto"/>
        </w:rPr>
      </w:pPr>
    </w:p>
    <w:p>
      <w:pPr>
        <w:ind w:left="620" w:firstLine="400"/>
        <w:spacing w:after="0" w:line="257" w:lineRule="auto"/>
        <w:rPr>
          <w:sz w:val="20"/>
          <w:szCs w:val="20"/>
          <w:color w:val="auto"/>
        </w:rPr>
      </w:pPr>
      <w:r>
        <w:rPr>
          <w:rFonts w:ascii="Times New Roman" w:cs="Times New Roman" w:eastAsia="Times New Roman" w:hAnsi="Times New Roman"/>
          <w:sz w:val="16"/>
          <w:szCs w:val="16"/>
          <w:color w:val="auto"/>
        </w:rPr>
        <w:t>The techniques used to obtain unauthorized, improper, or illegal access to systems and information (including consumers’ personal data), disable or degrade service, or sabotage systems are constantly evolving and have become increasingly complex and sophisticated, may be difficult to detect quickly, and often are not recognized or detected until after they have been launched against a target. We may be unable to anticipate these techniques or to implement adequate preventative measures, and any cyberattack, breach or other security incident may take longer than expected to remediate or otherwise address. Unauthorized parties have attempted, and we expect that they will continue to attempt, to gain access to our systems or facilities through various means, including, but not limited to, hacking into our systems or facilities or those of our users or vendors, and attempting to fraudulently induce users of our systems (including employees and consumers) into disclosing user names, passwords, payment card information, or other sensitive information, which may in turn be used to access our information technology systems, or to steal digital assets stored by our users.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Numerous and evolving cybersecurity threats, including advanced and persistent cyberattacks, cyberextortion, ransomware, denial-or service attacks, spear phishing and social engineering schemes, the introduction of computer viruses or other malware, and the physical destruction of all or portions of our information technology and infrastructure could compromise the confidentiality, availability and integrity of the information (including consumers’ personal data) in our systems. Although we have developed systems and processes designed to protect information we manage, prevent data loss and other security breaches and effectively respond to known and potential risks, and we expect to continue to expend significant resources to bolster these protections, there can be no assurance that these security measures will provide absolute security or prevent breaches, security incidents or attacks, in particular, as the frequency and sophistication of cyberattacks increases. For example, cybersecurity researchers anticipate an increase in cyberattack activity in connection with Russia’s activities in Ukraine.</w:t>
      </w:r>
    </w:p>
    <w:p>
      <w:pPr>
        <w:spacing w:after="0" w:line="180" w:lineRule="exact"/>
        <w:rPr>
          <w:sz w:val="20"/>
          <w:szCs w:val="20"/>
          <w:color w:val="auto"/>
        </w:rPr>
      </w:pPr>
    </w:p>
    <w:p>
      <w:pPr>
        <w:ind w:left="620" w:right="20" w:firstLine="400"/>
        <w:spacing w:after="0" w:line="263" w:lineRule="auto"/>
        <w:rPr>
          <w:sz w:val="20"/>
          <w:szCs w:val="20"/>
          <w:color w:val="auto"/>
        </w:rPr>
      </w:pPr>
      <w:r>
        <w:rPr>
          <w:rFonts w:ascii="Times New Roman" w:cs="Times New Roman" w:eastAsia="Times New Roman" w:hAnsi="Times New Roman"/>
          <w:sz w:val="16"/>
          <w:szCs w:val="16"/>
          <w:color w:val="auto"/>
        </w:rPr>
        <w:t>Our information technology and infrastructure and those of our vendors (including data center and cloud computing providers) may be vulnerable to cyberattacks, security incidents and breaches and third parties may be able to access our users’ personal data and/or proprietary information, banking, digital asset and payment card information, or other confidential, proprietary, or otherwise sensitive information, stored on or accessible through those systems. We have experienced from time to time, and may experience in the future, security incidents or breaches due to human error, malfeasance, insider threats, system errors, bugs, vulnerabilities, or other irregularities. Actual or perceived breaches of our or our vendors’ security could, among other things:</w:t>
      </w:r>
    </w:p>
    <w:p>
      <w:pPr>
        <w:spacing w:after="0" w:line="279" w:lineRule="exact"/>
        <w:rPr>
          <w:sz w:val="20"/>
          <w:szCs w:val="20"/>
          <w:color w:val="auto"/>
        </w:rPr>
      </w:pPr>
    </w:p>
    <w:p>
      <w:pPr>
        <w:ind w:left="1500" w:hanging="387"/>
        <w:spacing w:after="0"/>
        <w:tabs>
          <w:tab w:leader="none" w:pos="1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 our operations;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our systems or services being unavailable or degraded;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improper disclosure of information (including consumers’ personal data) and violations of applicable privacy and other laws;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materially harm our reputation and brand;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significant liability claims, litigation, regulatory scrutiny, investigations, fines, penalties and other legal and financial exposure;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us to incur significant remediation costs;</w:t>
      </w:r>
    </w:p>
    <w:p>
      <w:pPr>
        <w:spacing w:after="0" w:line="1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0580"/>
          </w:cols>
          <w:pgMar w:left="320" w:top="453" w:right="999" w:bottom="1440" w:gutter="0" w:footer="0" w:header="0"/>
        </w:sectPr>
      </w:pPr>
    </w:p>
    <w:bookmarkStart w:id="50" w:name="page51"/>
    <w:bookmarkEnd w:id="5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500" w:hanging="387"/>
        <w:spacing w:after="0"/>
        <w:tabs>
          <w:tab w:leader="none" w:pos="1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lead to loss or theft of user digital assets, such as rewards points;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lead to loss of user confidence in, or decreased use of, our products and services;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divert the attention of management from the operation of our business;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significant compensation or contractual penalties from us to our users as a result of losses to them or claims by them;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adversely affect our business and results of operations.</w:t>
      </w:r>
    </w:p>
    <w:p>
      <w:pPr>
        <w:spacing w:after="0" w:line="208" w:lineRule="exact"/>
        <w:rPr>
          <w:sz w:val="20"/>
          <w:szCs w:val="20"/>
          <w:color w:val="auto"/>
        </w:rPr>
      </w:pPr>
    </w:p>
    <w:p>
      <w:pPr>
        <w:ind w:left="620" w:firstLine="400"/>
        <w:spacing w:after="0" w:line="258" w:lineRule="auto"/>
        <w:rPr>
          <w:sz w:val="20"/>
          <w:szCs w:val="20"/>
          <w:color w:val="auto"/>
        </w:rPr>
      </w:pPr>
      <w:r>
        <w:rPr>
          <w:rFonts w:ascii="Times New Roman" w:cs="Times New Roman" w:eastAsia="Times New Roman" w:hAnsi="Times New Roman"/>
          <w:sz w:val="16"/>
          <w:szCs w:val="16"/>
          <w:color w:val="auto"/>
        </w:rPr>
        <w:t>We expect to expend significant resources to protect against privacy and security incidents and breaches and may be required to redress problems caused by privacy and security incidents or breaches. We have implemented remote working protocols and offer work-issued devices to certain employees, but the actions of employees while working remotely may have a greater effect on the security of our infrastructure, networks, and the information, including personal data, we process, including for example by increasing the risk of compromise to systems or information arising from employees’ combined personal and private use of devices, accessing our networks or information using wireless networks that we do not control, or the ability to transmit or store information outside of our secured network. Although many of these risks are not unique to the remote working environment, they have been heightened by the dramatic increase in the numbers of our employees who have been and are continuing to work from home as a result of government requirements or guidelines and internal policies that have been put in place in response to the COVID-19 pandemic. Our employees’ or third parties’ intentional, unintentional, or inadvertent actions may increase our vulnerability or expose us to security threats, such as ransomware, other malware and phishing attacks, and we may remain responsible for unauthorized access to, loss, alteration, destruction, acquisition, disclosure or other processing of information we or our vendors process or otherwise maintain, even if the security measures used to protect such information comply with applicable laws, regulations and other actual or asserted obligations. Also, cyberattacks, including on the supply chain, continue to increase in frequency and magnitude, and we cannot provide assurances that our preventative efforts will be successful.</w:t>
      </w:r>
    </w:p>
    <w:p>
      <w:pPr>
        <w:spacing w:after="0" w:line="174" w:lineRule="exact"/>
        <w:rPr>
          <w:sz w:val="20"/>
          <w:szCs w:val="20"/>
          <w:color w:val="auto"/>
        </w:rPr>
      </w:pPr>
    </w:p>
    <w:p>
      <w:pPr>
        <w:ind w:left="620" w:right="20" w:firstLine="400"/>
        <w:spacing w:after="0" w:line="260" w:lineRule="auto"/>
        <w:rPr>
          <w:sz w:val="20"/>
          <w:szCs w:val="20"/>
          <w:color w:val="auto"/>
        </w:rPr>
      </w:pPr>
      <w:r>
        <w:rPr>
          <w:rFonts w:ascii="Times New Roman" w:cs="Times New Roman" w:eastAsia="Times New Roman" w:hAnsi="Times New Roman"/>
          <w:sz w:val="16"/>
          <w:szCs w:val="16"/>
          <w:color w:val="auto"/>
        </w:rPr>
        <w:t>Financial services regulators in various jurisdictions have implemented authentication requirements for banks and payment processors intended to reduce online fraud, which could impose significant costs, require us to change our business practices, make it more difficult for new consumers to join us, and reduce the ease of use of our platform, which could harm our business. While we maintain insurance policies, they may not be adequate to reimburse us for losses caused by security incidents or breaches. We also cannot be certain that our insurance coverage will be adequate for incurred information security liabilities,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2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Systems failures and resulting interruptions in the availability of our websites, applications, products or services could harm our business.</w:t>
      </w:r>
    </w:p>
    <w:p>
      <w:pPr>
        <w:spacing w:after="0" w:line="114" w:lineRule="exact"/>
        <w:rPr>
          <w:sz w:val="20"/>
          <w:szCs w:val="20"/>
          <w:color w:val="auto"/>
        </w:rPr>
      </w:pPr>
    </w:p>
    <w:p>
      <w:pPr>
        <w:ind w:left="620" w:right="140" w:firstLine="400"/>
        <w:spacing w:after="0" w:line="261" w:lineRule="auto"/>
        <w:rPr>
          <w:sz w:val="20"/>
          <w:szCs w:val="20"/>
          <w:color w:val="auto"/>
        </w:rPr>
      </w:pPr>
      <w:r>
        <w:rPr>
          <w:rFonts w:ascii="Times New Roman" w:cs="Times New Roman" w:eastAsia="Times New Roman" w:hAnsi="Times New Roman"/>
          <w:sz w:val="16"/>
          <w:szCs w:val="16"/>
          <w:color w:val="auto"/>
        </w:rPr>
        <w:t>Our systems and those of our service providers, enterprise and loyalty partners have experienced from time to time, and may experience in the future service interruptions or degradation because of hardware and software defects or malfunctions, insider threats, human error, earthquakes, hurricanes, floods, fires and other natural disasters, power losses, disruptions in telecommunications services, fraud, military or political conflicts (including ongoing geopolitical tensions related to Russia’s actions in Ukraine, resulting sanctions imposed by the U.S. and other countries, and retaliatory actions taken by Russia or its allies in response to such sanctions), terrorist attacks, computer viruses or other malware, or other events. We have experienced from time to time, and may experience in the future, disruptions in our systems. In addition, as a provider of payments solutions and digital assets trading and custody solutions, we are subject to heightened scrutiny by regulators that may require</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0580"/>
          </w:cols>
          <w:pgMar w:left="320" w:top="453" w:right="999" w:bottom="1440" w:gutter="0" w:footer="0" w:header="0"/>
        </w:sectPr>
      </w:pPr>
    </w:p>
    <w:bookmarkStart w:id="51" w:name="page52"/>
    <w:bookmarkEnd w:id="5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80"/>
        <w:spacing w:after="0" w:line="291" w:lineRule="auto"/>
        <w:rPr>
          <w:sz w:val="20"/>
          <w:szCs w:val="20"/>
          <w:color w:val="auto"/>
        </w:rPr>
      </w:pPr>
      <w:r>
        <w:rPr>
          <w:rFonts w:ascii="Times New Roman" w:cs="Times New Roman" w:eastAsia="Times New Roman" w:hAnsi="Times New Roman"/>
          <w:sz w:val="16"/>
          <w:szCs w:val="16"/>
          <w:color w:val="auto"/>
        </w:rPr>
        <w:t>specific business continuity, resiliency and disaster recovery plans and more rigorous testing of such plans, which may be costly and time-consuming to implement, and may divert our resources from other business priorities.</w:t>
      </w:r>
    </w:p>
    <w:p>
      <w:pPr>
        <w:spacing w:after="0" w:line="142" w:lineRule="exact"/>
        <w:rPr>
          <w:sz w:val="20"/>
          <w:szCs w:val="20"/>
          <w:color w:val="auto"/>
        </w:rPr>
      </w:pPr>
    </w:p>
    <w:p>
      <w:pPr>
        <w:ind w:left="620" w:firstLine="400"/>
        <w:spacing w:after="0" w:line="258" w:lineRule="auto"/>
        <w:rPr>
          <w:sz w:val="20"/>
          <w:szCs w:val="20"/>
          <w:color w:val="auto"/>
        </w:rPr>
      </w:pPr>
      <w:r>
        <w:rPr>
          <w:rFonts w:ascii="Times New Roman" w:cs="Times New Roman" w:eastAsia="Times New Roman" w:hAnsi="Times New Roman"/>
          <w:sz w:val="16"/>
          <w:szCs w:val="16"/>
          <w:color w:val="auto"/>
        </w:rPr>
        <w:t>We have experienced and expect to continue to experience system failures, denial-of-service attacks and other events or conditions from time to time that interrupt the availability, or reduce or adversely affect the speed or functionality, of our products and services. These events have resulted and likely will result in loss of revenue. A prolonged interruption in the availability or reduction in the availability, speed, or functionality of our products and services could materially harm our business. The full-time availability and expeditious delivery of our products and services is critical to our goal of gaining widespread acceptance among users for digital payments. Frequent or persistent interruptions in our services could cause current or potential users to believe that our systems are unreliable, leading them to switch to competitors or to avoid or reduce the use of our platform, and could permanently harm our reputation and brand. Moreover, if any system failure or similar event results in damages to our users, these users could seek significant compensation or contractual penalties from us for their losses, and those claims, even if unsuccessful, would likely be time-consuming and costly for us to address, and could have other consequences described in this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section under the caption “</w:t>
      </w:r>
      <w:r>
        <w:rPr>
          <w:rFonts w:ascii="Times New Roman" w:cs="Times New Roman" w:eastAsia="Times New Roman" w:hAnsi="Times New Roman"/>
          <w:sz w:val="16"/>
          <w:szCs w:val="16"/>
          <w:i w:val="1"/>
          <w:iCs w:val="1"/>
          <w:color w:val="auto"/>
        </w:rPr>
        <w:t>Actual or perceived cyberattacks,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security incidents, or breaches could result in serious harm to our reputation, business and financial condition</w:t>
      </w:r>
      <w:r>
        <w:rPr>
          <w:rFonts w:ascii="Times New Roman" w:cs="Times New Roman" w:eastAsia="Times New Roman" w:hAnsi="Times New Roman"/>
          <w:sz w:val="16"/>
          <w:szCs w:val="16"/>
          <w:color w:val="auto"/>
        </w:rPr>
        <w:t>.” Further, frequent or persistent site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372" w:lineRule="exact"/>
        <w:rPr>
          <w:sz w:val="20"/>
          <w:szCs w:val="20"/>
          <w:color w:val="auto"/>
        </w:rPr>
      </w:pPr>
    </w:p>
    <w:p>
      <w:pPr>
        <w:ind w:left="620" w:right="40" w:firstLine="400"/>
        <w:spacing w:after="0" w:line="260" w:lineRule="auto"/>
        <w:rPr>
          <w:sz w:val="20"/>
          <w:szCs w:val="20"/>
          <w:color w:val="auto"/>
        </w:rPr>
      </w:pPr>
      <w:r>
        <w:rPr>
          <w:rFonts w:ascii="Times New Roman" w:cs="Times New Roman" w:eastAsia="Times New Roman" w:hAnsi="Times New Roman"/>
          <w:sz w:val="16"/>
          <w:szCs w:val="16"/>
          <w:color w:val="auto"/>
        </w:rPr>
        <w:t>We also rely on facilities, components, applications and services supplied by third parties, including data center facilities and cloud storage services, which subjects us to risks in the nature of those discussed in this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section under the caption “</w:t>
      </w:r>
      <w:r>
        <w:rPr>
          <w:rFonts w:ascii="Times New Roman" w:cs="Times New Roman" w:eastAsia="Times New Roman" w:hAnsi="Times New Roman"/>
          <w:sz w:val="16"/>
          <w:szCs w:val="16"/>
          <w:i w:val="1"/>
          <w:iCs w:val="1"/>
          <w:color w:val="auto"/>
        </w:rPr>
        <w:t>We rely on third parties, over which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we have no control, in many aspects of our business which creates additional risk, including risks related to the failure of third parties to provide various services that are important to our operations or to comply with legal or regulatory requirements.</w:t>
      </w:r>
      <w:r>
        <w:rPr>
          <w:rFonts w:ascii="Times New Roman" w:cs="Times New Roman" w:eastAsia="Times New Roman" w:hAnsi="Times New Roman"/>
          <w:sz w:val="16"/>
          <w:szCs w:val="16"/>
          <w:color w:val="auto"/>
        </w:rPr>
        <w:t>” From time to time, such third parties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cease to provide us with such facilities and services. Additionally, if these third parties experience operational interference or disruptions, breach their agreements with us, fail to perform their obligations and meet our expectations, or experience a cyberattack, security incident or breach, our operations could be disrupted or otherwise negatively affected, which could result in consumer dissatisfaction, regulatory scrutiny and damage to our reputation and brands and materially and adversely affect our business. While we maintain business interruption insurance, our coverage may be insufficient to compensate us for all losses that may result from interruptions in our service as a result of systems failures and similar events.</w:t>
      </w:r>
    </w:p>
    <w:p>
      <w:pPr>
        <w:spacing w:after="0" w:line="167" w:lineRule="exact"/>
        <w:rPr>
          <w:sz w:val="20"/>
          <w:szCs w:val="20"/>
          <w:color w:val="auto"/>
        </w:rPr>
      </w:pPr>
    </w:p>
    <w:p>
      <w:pPr>
        <w:ind w:left="620" w:right="100" w:firstLine="400"/>
        <w:spacing w:after="0" w:line="264" w:lineRule="auto"/>
        <w:rPr>
          <w:sz w:val="20"/>
          <w:szCs w:val="20"/>
          <w:color w:val="auto"/>
        </w:rPr>
      </w:pPr>
      <w:r>
        <w:rPr>
          <w:rFonts w:ascii="Times New Roman" w:cs="Times New Roman" w:eastAsia="Times New Roman" w:hAnsi="Times New Roman"/>
          <w:sz w:val="16"/>
          <w:szCs w:val="16"/>
          <w:color w:val="auto"/>
        </w:rPr>
        <w:t>In addition, we are continually improving and upgrading our information systems and technologies. Implementation of new systems and technologies is complex, expensive and time-consuming. If we fail to timely and successfully implement new information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259" w:lineRule="exact"/>
        <w:rPr>
          <w:sz w:val="20"/>
          <w:szCs w:val="20"/>
          <w:color w:val="auto"/>
        </w:rPr>
      </w:pPr>
    </w:p>
    <w:p>
      <w:pPr>
        <w:ind w:left="620" w:right="34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If we use open source software inconsistent with our policies and procedures or the license terms applicable to such software, we could be subject to legal expenses, damages, or costly remediation or disruption to our business.</w:t>
      </w:r>
    </w:p>
    <w:p>
      <w:pPr>
        <w:spacing w:after="0" w:line="39" w:lineRule="exact"/>
        <w:rPr>
          <w:sz w:val="20"/>
          <w:szCs w:val="20"/>
          <w:color w:val="auto"/>
        </w:rPr>
      </w:pPr>
    </w:p>
    <w:p>
      <w:pPr>
        <w:ind w:left="620" w:right="100" w:firstLine="400"/>
        <w:spacing w:after="0" w:line="263" w:lineRule="auto"/>
        <w:rPr>
          <w:sz w:val="20"/>
          <w:szCs w:val="20"/>
          <w:color w:val="auto"/>
        </w:rPr>
      </w:pPr>
      <w:r>
        <w:rPr>
          <w:rFonts w:ascii="Times New Roman" w:cs="Times New Roman" w:eastAsia="Times New Roman" w:hAnsi="Times New Roman"/>
          <w:sz w:val="16"/>
          <w:szCs w:val="16"/>
          <w:color w:val="auto"/>
        </w:rPr>
        <w:t>We use open source software in our platform. While we have policies and procedures in place governing the use of open source software, there is a risk that we incorporate open source software with onerous licensing terms, including the obligation to make our source code available for others to use or modify without compensation. If we receive an allegation that we have violated an open source license, we may incur significant legal expenses, be subject to damages, be required to redesign our platform or app to remove the open source software, or be required to comply with onerous license restrictions, all of which could have a material impact on our business. Even in the absence of a claim, if we discover the use of open source software inconsistent with our</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0620"/>
          </w:cols>
          <w:pgMar w:left="320" w:top="453" w:right="959" w:bottom="1440" w:gutter="0" w:footer="0" w:header="0"/>
        </w:sectPr>
      </w:pPr>
    </w:p>
    <w:bookmarkStart w:id="52" w:name="page53"/>
    <w:bookmarkEnd w:id="5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policies, we could expend significant time and resources to replace the open source software or obtain a commercial license, if available. All of these risks are heightened by the fact that the ownership of open source software can be uncertain, leading to litigation, and many of the licenses applicable to open source software have not been interpreted by courts, and these licenses could be construed to impose unanticipated conditions or restrictions on our ability to commercialize our products. Any use of open source software inconsistent with our policies or licensing terms could harm our business and financial position.</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Risks Related to Risk Management and Financial Reporting</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Real or perceived inaccuracies in our key operating metrics may harm our reputation and negatively affect our business.</w:t>
      </w:r>
    </w:p>
    <w:p>
      <w:pPr>
        <w:spacing w:after="0" w:line="114" w:lineRule="exact"/>
        <w:rPr>
          <w:sz w:val="20"/>
          <w:szCs w:val="20"/>
          <w:color w:val="auto"/>
        </w:rPr>
      </w:pPr>
    </w:p>
    <w:p>
      <w:pPr>
        <w:ind w:left="620" w:right="120" w:firstLine="400"/>
        <w:spacing w:after="0" w:line="260" w:lineRule="auto"/>
        <w:rPr>
          <w:sz w:val="20"/>
          <w:szCs w:val="20"/>
          <w:color w:val="auto"/>
        </w:rPr>
      </w:pPr>
      <w:r>
        <w:rPr>
          <w:rFonts w:ascii="Times New Roman" w:cs="Times New Roman" w:eastAsia="Times New Roman" w:hAnsi="Times New Roman"/>
          <w:sz w:val="16"/>
          <w:szCs w:val="16"/>
          <w:color w:val="auto"/>
        </w:rPr>
        <w:t>We track certain key operating metrics with internal systems and tools that are not independently verified by any third party. While the metrics presented in this prospectus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265" w:lineRule="exact"/>
        <w:rPr>
          <w:sz w:val="20"/>
          <w:szCs w:val="20"/>
          <w:color w:val="auto"/>
        </w:rPr>
      </w:pPr>
    </w:p>
    <w:p>
      <w:pPr>
        <w:ind w:left="620" w:right="54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39" w:lineRule="exact"/>
        <w:rPr>
          <w:sz w:val="20"/>
          <w:szCs w:val="20"/>
          <w:color w:val="auto"/>
        </w:rPr>
      </w:pPr>
    </w:p>
    <w:p>
      <w:pPr>
        <w:jc w:val="both"/>
        <w:ind w:left="620" w:right="20" w:firstLine="400"/>
        <w:spacing w:after="0" w:line="273" w:lineRule="auto"/>
        <w:rPr>
          <w:sz w:val="20"/>
          <w:szCs w:val="20"/>
          <w:color w:val="auto"/>
        </w:rPr>
      </w:pPr>
      <w:r>
        <w:rPr>
          <w:rFonts w:ascii="Times New Roman" w:cs="Times New Roman" w:eastAsia="Times New Roman" w:hAnsi="Times New Roman"/>
          <w:sz w:val="16"/>
          <w:szCs w:val="16"/>
          <w:color w:val="auto"/>
        </w:rPr>
        <w:t>We have limited accounting and finance personnel and other resources and must develop our own internal controls and procedures consistent with PCAOB standards. We intend to continue to evaluate actions to enhance our internal controls over financial reporting, but there is no assurance that we will identify control deficiencies or material weaknesses in the future.</w:t>
      </w:r>
    </w:p>
    <w:p>
      <w:pPr>
        <w:spacing w:after="0" w:line="157" w:lineRule="exact"/>
        <w:rPr>
          <w:sz w:val="20"/>
          <w:szCs w:val="20"/>
          <w:color w:val="auto"/>
        </w:rPr>
      </w:pPr>
    </w:p>
    <w:p>
      <w:pPr>
        <w:ind w:left="620" w:right="40" w:firstLine="400"/>
        <w:spacing w:after="0" w:line="261" w:lineRule="auto"/>
        <w:rPr>
          <w:sz w:val="20"/>
          <w:szCs w:val="20"/>
          <w:color w:val="auto"/>
        </w:rPr>
      </w:pPr>
      <w:r>
        <w:rPr>
          <w:rFonts w:ascii="Times New Roman" w:cs="Times New Roman" w:eastAsia="Times New Roman" w:hAnsi="Times New Roman"/>
          <w:sz w:val="16"/>
          <w:szCs w:val="16"/>
          <w:color w:val="auto"/>
        </w:rPr>
        <w:t>The Sarbanes-Oxley Act requires, among other things, that we maintain effective internal control over financial reporting and disclosure controls and procedures. To comply with Section 404 of the Sarbanes-Oxley Act, we expect to incur substantial cost, expend significant management time on compliance-related issues and hire additional accounting, financial and internal audit staff with appropriate public company experience and technical accounting knowledge.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168" w:lineRule="exact"/>
        <w:rPr>
          <w:sz w:val="20"/>
          <w:szCs w:val="20"/>
          <w:color w:val="auto"/>
        </w:rPr>
      </w:pPr>
    </w:p>
    <w:p>
      <w:pPr>
        <w:jc w:val="both"/>
        <w:ind w:left="620" w:right="280" w:firstLine="400"/>
        <w:spacing w:after="0" w:line="273" w:lineRule="auto"/>
        <w:rPr>
          <w:sz w:val="20"/>
          <w:szCs w:val="20"/>
          <w:color w:val="auto"/>
        </w:rPr>
      </w:pPr>
      <w:r>
        <w:rPr>
          <w:rFonts w:ascii="Times New Roman" w:cs="Times New Roman" w:eastAsia="Times New Roman" w:hAnsi="Times New Roman"/>
          <w:sz w:val="16"/>
          <w:szCs w:val="16"/>
          <w:color w:val="auto"/>
        </w:rPr>
        <w:t>Pursuant to the Sarbanes-Oxley Act we will be required to make a formal assessment of the effectiveness of our internal control over financial reporting, and once we cease to be an “emerging growth company” under the JOBS Act, we will also be required to include an attestation report on internal control over financial reporting issued by our independent registered public accounting firm.</w:t>
      </w:r>
    </w:p>
    <w:p>
      <w:pPr>
        <w:spacing w:after="0" w:line="157" w:lineRule="exact"/>
        <w:rPr>
          <w:sz w:val="20"/>
          <w:szCs w:val="20"/>
          <w:color w:val="auto"/>
        </w:rPr>
      </w:pPr>
    </w:p>
    <w:p>
      <w:pPr>
        <w:ind w:left="620" w:right="220" w:firstLine="400"/>
        <w:spacing w:after="0" w:line="291" w:lineRule="auto"/>
        <w:rPr>
          <w:sz w:val="20"/>
          <w:szCs w:val="20"/>
          <w:color w:val="auto"/>
        </w:rPr>
      </w:pPr>
      <w:r>
        <w:rPr>
          <w:rFonts w:ascii="Times New Roman" w:cs="Times New Roman" w:eastAsia="Times New Roman" w:hAnsi="Times New Roman"/>
          <w:sz w:val="16"/>
          <w:szCs w:val="16"/>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0600"/>
          </w:cols>
          <w:pgMar w:left="320" w:top="453" w:right="979" w:bottom="1440" w:gutter="0" w:footer="0" w:header="0"/>
        </w:sectPr>
      </w:pPr>
    </w:p>
    <w:bookmarkStart w:id="53" w:name="page54"/>
    <w:bookmarkEnd w:id="5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right="30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If our estimates or judgments relating to our critical accounting policies prove to be incorrect, our results of operations could be adversely affected.</w:t>
      </w:r>
    </w:p>
    <w:p>
      <w:pPr>
        <w:spacing w:after="0" w:line="39" w:lineRule="exact"/>
        <w:rPr>
          <w:sz w:val="20"/>
          <w:szCs w:val="20"/>
          <w:color w:val="auto"/>
        </w:rPr>
      </w:pPr>
    </w:p>
    <w:p>
      <w:pPr>
        <w:ind w:left="620" w:right="20" w:firstLine="400"/>
        <w:spacing w:after="0" w:line="259"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and the amounts reported in our consolidated financial statements and accompanying notes appearing elsewhere in this prospectus.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internal-use software development costs, valuation of our stock-based compensation awards, including the determination of fair value of our common stock, accounting for income taxes, the carrying value of operating lease right-of-use assets and useful lives of long-lived assets,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securities.</w:t>
      </w:r>
    </w:p>
    <w:p>
      <w:pPr>
        <w:spacing w:after="0" w:line="2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Our management has limited experience in operating a public company.</w:t>
      </w:r>
    </w:p>
    <w:p>
      <w:pPr>
        <w:spacing w:after="0" w:line="114" w:lineRule="exact"/>
        <w:rPr>
          <w:sz w:val="20"/>
          <w:szCs w:val="20"/>
          <w:color w:val="auto"/>
        </w:rPr>
      </w:pPr>
    </w:p>
    <w:p>
      <w:pPr>
        <w:ind w:left="620" w:right="80" w:firstLine="400"/>
        <w:spacing w:after="0" w:line="273" w:lineRule="auto"/>
        <w:rPr>
          <w:sz w:val="20"/>
          <w:szCs w:val="20"/>
          <w:color w:val="auto"/>
        </w:rPr>
      </w:pPr>
      <w:r>
        <w:rPr>
          <w:rFonts w:ascii="Times New Roman" w:cs="Times New Roman" w:eastAsia="Times New Roman" w:hAnsi="Times New Roman"/>
          <w:sz w:val="16"/>
          <w:szCs w:val="16"/>
          <w:color w:val="auto"/>
        </w:rPr>
        <w:t>Certain of our executive officers and directors have limited experience in the management of a publicly traded company. Such limited experience in dealing with the increasingly complex laws pertaining to public companies could be a disadvantage and result in a significant amount of their time being devoted to these activities, which will result in less time being devoted to our management and growth.</w:t>
      </w:r>
    </w:p>
    <w:p>
      <w:pPr>
        <w:spacing w:after="0" w:line="251" w:lineRule="exact"/>
        <w:rPr>
          <w:sz w:val="20"/>
          <w:szCs w:val="20"/>
          <w:color w:val="auto"/>
        </w:rPr>
      </w:pPr>
    </w:p>
    <w:p>
      <w:pPr>
        <w:ind w:left="620" w:firstLine="40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have and continue to incur increased costs and become subject to additional regulations and requirements as a result of becoming a public company, and our management is required to devote substantial time to new compliance matters, which could lower profits and make it more difficult to run our business.</w:t>
      </w:r>
    </w:p>
    <w:p>
      <w:pPr>
        <w:spacing w:after="0" w:line="56" w:lineRule="exact"/>
        <w:rPr>
          <w:sz w:val="20"/>
          <w:szCs w:val="20"/>
          <w:color w:val="auto"/>
        </w:rPr>
      </w:pPr>
    </w:p>
    <w:p>
      <w:pPr>
        <w:ind w:left="620" w:right="20" w:firstLine="400"/>
        <w:spacing w:after="0" w:line="259" w:lineRule="auto"/>
        <w:rPr>
          <w:sz w:val="20"/>
          <w:szCs w:val="20"/>
          <w:color w:val="auto"/>
        </w:rPr>
      </w:pPr>
      <w:r>
        <w:rPr>
          <w:rFonts w:ascii="Times New Roman" w:cs="Times New Roman" w:eastAsia="Times New Roman" w:hAnsi="Times New Roman"/>
          <w:sz w:val="16"/>
          <w:szCs w:val="16"/>
          <w:color w:val="auto"/>
        </w:rPr>
        <w:t>As a public company, we have and expect to continue to incur significant legal, accounting, reporting and other expenses we did not incur as a private company, including costs associated with public company reporting requirements (which expenses may increase once we no longer qualify as an “emerging growth company” under the JOBS Act) and costs of recruiting and retaining non-executive directors. We also have incurred, and will continue to incur, costs associated with compliance with the rules and regulations of the SEC, the listing requirements of NYSE, and various other costs of a public company.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Our management needs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w:t>
      </w:r>
    </w:p>
    <w:p>
      <w:pPr>
        <w:spacing w:after="0" w:line="169" w:lineRule="exact"/>
        <w:rPr>
          <w:sz w:val="20"/>
          <w:szCs w:val="20"/>
          <w:color w:val="auto"/>
        </w:rPr>
      </w:pPr>
    </w:p>
    <w:p>
      <w:pPr>
        <w:ind w:left="620" w:firstLine="400"/>
        <w:spacing w:after="0" w:line="291" w:lineRule="auto"/>
        <w:rPr>
          <w:sz w:val="20"/>
          <w:szCs w:val="20"/>
          <w:color w:val="auto"/>
        </w:rPr>
      </w:pPr>
      <w:r>
        <w:rPr>
          <w:rFonts w:ascii="Times New Roman" w:cs="Times New Roman" w:eastAsia="Times New Roman" w:hAnsi="Times New Roman"/>
          <w:sz w:val="16"/>
          <w:szCs w:val="16"/>
          <w:color w:val="auto"/>
        </w:rPr>
        <w:t>Furthermore, if we are unable to satisfy our obligations as a public company, we could be subject to delisting of our securities, fines, sanctions and other regulatory action and potentially civil litigation.</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0600"/>
          </w:cols>
          <w:pgMar w:left="320" w:top="452" w:right="979" w:bottom="1440" w:gutter="0" w:footer="0" w:header="0"/>
        </w:sectPr>
      </w:pPr>
    </w:p>
    <w:bookmarkStart w:id="54" w:name="page55"/>
    <w:bookmarkEnd w:id="5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right="220" w:firstLine="40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a “smaller reporting company” and any decision to comply with certain reduced reporting and disclosure requirements applicable to emerging growth companies and smaller reporting companies could make our securities less attractive to investors.</w:t>
      </w:r>
    </w:p>
    <w:p>
      <w:pPr>
        <w:spacing w:after="0" w:line="56" w:lineRule="exact"/>
        <w:rPr>
          <w:sz w:val="20"/>
          <w:szCs w:val="20"/>
          <w:color w:val="auto"/>
        </w:rPr>
      </w:pPr>
    </w:p>
    <w:p>
      <w:pPr>
        <w:ind w:left="620" w:right="380" w:firstLine="400"/>
        <w:spacing w:after="0" w:line="273"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71" w:lineRule="exact"/>
        <w:rPr>
          <w:sz w:val="20"/>
          <w:szCs w:val="20"/>
          <w:color w:val="auto"/>
        </w:rPr>
      </w:pPr>
    </w:p>
    <w:p>
      <w:pPr>
        <w:ind w:left="1500" w:right="460" w:hanging="387"/>
        <w:spacing w:after="0" w:line="291" w:lineRule="auto"/>
        <w:tabs>
          <w:tab w:leader="none" w:pos="1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being required to have an independent registered public accounting firm audit our internal control over financial reporting under Section 404 of the Sarbanes-Oxley Act;</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disclosure obligations regarding executive compensation in our periodic reports and annual report on Form 10-K; and</w:t>
      </w:r>
    </w:p>
    <w:p>
      <w:pPr>
        <w:spacing w:after="0" w:line="122" w:lineRule="exact"/>
        <w:rPr>
          <w:rFonts w:ascii="Times New Roman" w:cs="Times New Roman" w:eastAsia="Times New Roman" w:hAnsi="Times New Roman"/>
          <w:sz w:val="16"/>
          <w:szCs w:val="16"/>
          <w:color w:val="auto"/>
        </w:rPr>
      </w:pPr>
    </w:p>
    <w:p>
      <w:pPr>
        <w:ind w:left="1500" w:right="340" w:hanging="387"/>
        <w:spacing w:after="0" w:line="291" w:lineRule="auto"/>
        <w:tabs>
          <w:tab w:leader="none" w:pos="15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exemptions from the requirements of holding non-binding advisory votes on executive compensation and stockholder approval of any golden parachute payments not previously approved.</w:t>
      </w:r>
    </w:p>
    <w:p>
      <w:pPr>
        <w:spacing w:after="0" w:line="142" w:lineRule="exact"/>
        <w:rPr>
          <w:sz w:val="20"/>
          <w:szCs w:val="20"/>
          <w:color w:val="auto"/>
        </w:rPr>
      </w:pPr>
    </w:p>
    <w:p>
      <w:pPr>
        <w:ind w:left="620" w:right="580" w:firstLine="400"/>
        <w:spacing w:after="0" w:line="291" w:lineRule="auto"/>
        <w:rPr>
          <w:sz w:val="20"/>
          <w:szCs w:val="20"/>
          <w:color w:val="auto"/>
        </w:rPr>
      </w:pPr>
      <w:r>
        <w:rPr>
          <w:rFonts w:ascii="Times New Roman" w:cs="Times New Roman" w:eastAsia="Times New Roman" w:hAnsi="Times New Roman"/>
          <w:sz w:val="16"/>
          <w:szCs w:val="16"/>
          <w:color w:val="auto"/>
        </w:rPr>
        <w:t>As a result, our stockholders may not have access to certain information that they may deem important. Our status as an emerging growth company will end as soon as any of the following takes place:</w:t>
      </w:r>
    </w:p>
    <w:p>
      <w:pPr>
        <w:spacing w:after="0" w:line="56" w:lineRule="exact"/>
        <w:rPr>
          <w:sz w:val="20"/>
          <w:szCs w:val="20"/>
          <w:color w:val="auto"/>
        </w:rPr>
      </w:pPr>
    </w:p>
    <w:p>
      <w:pPr>
        <w:ind w:left="1500" w:hanging="387"/>
        <w:spacing w:after="0"/>
        <w:tabs>
          <w:tab w:leader="none" w:pos="1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had at least $1.07 billion in annual revenue;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we qualify as a “large accelerated filer,” with at least $700.0 million of equity securities held by non-affiliates;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issued, in any three-year period, more than $1.0 billion in non-convertible debt securities; or</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December 31, 2025.</w:t>
      </w:r>
    </w:p>
    <w:p>
      <w:pPr>
        <w:spacing w:after="0" w:line="208" w:lineRule="exact"/>
        <w:rPr>
          <w:sz w:val="20"/>
          <w:szCs w:val="20"/>
          <w:color w:val="auto"/>
        </w:rPr>
      </w:pPr>
    </w:p>
    <w:p>
      <w:pPr>
        <w:ind w:left="620" w:firstLine="400"/>
        <w:spacing w:after="0" w:line="264" w:lineRule="auto"/>
        <w:rPr>
          <w:sz w:val="20"/>
          <w:szCs w:val="20"/>
          <w:color w:val="auto"/>
        </w:rPr>
      </w:pPr>
      <w:r>
        <w:rPr>
          <w:rFonts w:ascii="Times New Roman" w:cs="Times New Roman" w:eastAsia="Times New Roman" w:hAnsi="Times New Roman"/>
          <w:sz w:val="16"/>
          <w:szCs w:val="16"/>
          <w:color w:val="auto"/>
        </w:rPr>
        <w:t>Under the JOBS Act, emerging growth companies can also delay adopting new or revised accounting standards until such time as those standards apply to private companies. We have elected to take advantage of this extended transition period and as a result, our financial statements may not be comparable with similarly situated public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w:t>
      </w:r>
    </w:p>
    <w:p>
      <w:pPr>
        <w:spacing w:after="0" w:line="165" w:lineRule="exact"/>
        <w:rPr>
          <w:sz w:val="20"/>
          <w:szCs w:val="20"/>
          <w:color w:val="auto"/>
        </w:rPr>
      </w:pPr>
    </w:p>
    <w:p>
      <w:pPr>
        <w:ind w:left="620" w:right="100" w:firstLine="400"/>
        <w:spacing w:after="0" w:line="273" w:lineRule="auto"/>
        <w:rPr>
          <w:sz w:val="20"/>
          <w:szCs w:val="20"/>
          <w:color w:val="auto"/>
        </w:rPr>
      </w:pPr>
      <w:r>
        <w:rPr>
          <w:rFonts w:ascii="Times New Roman" w:cs="Times New Roman" w:eastAsia="Times New Roman" w:hAnsi="Times New Roman"/>
          <w:sz w:val="16"/>
          <w:szCs w:val="16"/>
          <w:color w:val="auto"/>
        </w:rPr>
        <w:t>We cannot predict if investors will find our securities less attractive if we choose to rely on any of the exemptions afforded emerging growth companies and smaller reporting companies. If some investors find our securities less attractive because we rely on any of these exemptions, there may be a less active trading market for such securities and the market price of such securities may be more volatile and may decline.</w:t>
      </w:r>
    </w:p>
    <w:p>
      <w:pPr>
        <w:spacing w:after="0" w:line="2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Future changes in financial accounting standards may significantly change our reported results of operations.</w:t>
      </w:r>
    </w:p>
    <w:p>
      <w:pPr>
        <w:spacing w:after="0" w:line="114" w:lineRule="exact"/>
        <w:rPr>
          <w:sz w:val="20"/>
          <w:szCs w:val="20"/>
          <w:color w:val="auto"/>
        </w:rPr>
      </w:pPr>
    </w:p>
    <w:p>
      <w:pPr>
        <w:ind w:left="620" w:right="20" w:firstLine="400"/>
        <w:spacing w:after="0" w:line="261" w:lineRule="auto"/>
        <w:rPr>
          <w:sz w:val="20"/>
          <w:szCs w:val="20"/>
          <w:color w:val="auto"/>
        </w:rPr>
      </w:pPr>
      <w:r>
        <w:rPr>
          <w:rFonts w:ascii="Times New Roman" w:cs="Times New Roman" w:eastAsia="Times New Roman" w:hAnsi="Times New Roman"/>
          <w:sz w:val="16"/>
          <w:szCs w:val="16"/>
          <w:color w:val="auto"/>
        </w:rPr>
        <w:t>GAAP is subject to standard setting or interpretation by the Financial Accounting Standards Board (“FASB”), the SEC and various bodies formed to promulgate and interpret appropriate accounting principles. A change in these principles or interpretations could have a significant effect on our reported financial results. For example, the accounting treatment for revenues from cryptocurrency transactions is under review and subject to change. To the extent we account for revenue from cryptocurrency transactions in a manner that is different than the manner ultimately established by the SEC and GAAP, such revenue information, and the timing of revenue recognition, could vary materially and require subsequent adjustment. Any such adjustment could materially impact our reported results of operations, which could have negative outcomes for us and harm our reputation and could affect the reporting of transactions completed before the announcement of a change.</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0600"/>
          </w:cols>
          <w:pgMar w:left="320" w:top="453" w:right="979" w:bottom="1440" w:gutter="0" w:footer="0" w:header="0"/>
        </w:sectPr>
      </w:pPr>
    </w:p>
    <w:bookmarkStart w:id="55" w:name="page56"/>
    <w:bookmarkEnd w:id="5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both"/>
        <w:ind w:left="620" w:right="60" w:firstLine="40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VIH identified a material weakness in its internal control over financial reporting prior to the Business Combination. Although such material weakness was remediated as of the date of this prospectus, other material weaknesses or control deficiencies could occur that could adversely affect our ability to report our results of operations and financial condition accurately and in a timely manner.</w:t>
      </w:r>
    </w:p>
    <w:p>
      <w:pPr>
        <w:spacing w:after="0" w:line="56" w:lineRule="exact"/>
        <w:rPr>
          <w:sz w:val="20"/>
          <w:szCs w:val="20"/>
          <w:color w:val="auto"/>
        </w:rPr>
      </w:pPr>
    </w:p>
    <w:p>
      <w:pPr>
        <w:ind w:left="620" w:right="40" w:firstLine="400"/>
        <w:spacing w:after="0" w:line="263"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63" w:lineRule="exact"/>
        <w:rPr>
          <w:sz w:val="20"/>
          <w:szCs w:val="20"/>
          <w:color w:val="auto"/>
        </w:rPr>
      </w:pPr>
    </w:p>
    <w:p>
      <w:pPr>
        <w:ind w:left="620" w:right="180" w:firstLine="400"/>
        <w:spacing w:after="0" w:line="263" w:lineRule="auto"/>
        <w:rPr>
          <w:sz w:val="20"/>
          <w:szCs w:val="20"/>
          <w:color w:val="auto"/>
        </w:rPr>
      </w:pPr>
      <w:r>
        <w:rPr>
          <w:rFonts w:ascii="Times New Roman" w:cs="Times New Roman" w:eastAsia="Times New Roman" w:hAnsi="Times New Roman"/>
          <w:sz w:val="16"/>
          <w:szCs w:val="16"/>
          <w:color w:val="auto"/>
        </w:rPr>
        <w:t>As described in VIH’s Annual Report on Form 10-K for the year ended December 31, 2020 (the “2020 Annual Report”), a material weakness in our internal control over financial reporting was identified related the accounting for complex financial instruments. As a result of this material weakness, VIH management concluded that VIH’s internal control over financial reporting was not effective as of December 31, 2020. The material weakness resulted in a material misstatement of VIH’s warrant liabilities, change in fair value of warrant liabilities, Class A Common Stock subject to possible redemption, additional paid-in capital, accumulated deficit, and earnings per share and related financial disclosures as of and for the period ended December 31, 2020 (the “Affected Period”).</w:t>
      </w:r>
    </w:p>
    <w:p>
      <w:pPr>
        <w:spacing w:after="0" w:line="163"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On October 15, 2021, VIH completed the Business Combination with Bakkt, following which the Company appointed a new Chief Executive Officer, Chief Financial Officer and Chief Accounting Officer, among others. The Company, among other things, has established enhanced procedures whereby the post-Business Combination management team provides enhanced access to accounting literature, research materials and documents, and has increased communication with the Company’s third-party professionals regarding complex accounting applications. These enhancements remediated the material weakness reported by VIH in the 2020 Annual Report. The remediation of this material weakness may not prevent any future material weakness or significant deficiency in our internal control over financial reporting. If other material weaknesses or control deficiencies occur in the future, we may be unable to report our financial results accurately on a timely basis, which could cause our reported financial results to be materially misstated and result in the loss of investor confidence and cause the market price of our common stock to decline. Ineffective internal controls could also cause investors to lose confidence in our reported financial information, which could have a negative effect on the trading price of our stock.</w:t>
      </w:r>
    </w:p>
    <w:p>
      <w:pPr>
        <w:spacing w:after="0" w:line="167" w:lineRule="exact"/>
        <w:rPr>
          <w:sz w:val="20"/>
          <w:szCs w:val="20"/>
          <w:color w:val="auto"/>
        </w:rPr>
      </w:pPr>
    </w:p>
    <w:p>
      <w:pPr>
        <w:ind w:left="620" w:right="60" w:firstLine="400"/>
        <w:spacing w:after="0" w:line="267" w:lineRule="auto"/>
        <w:rPr>
          <w:sz w:val="20"/>
          <w:szCs w:val="20"/>
          <w:color w:val="auto"/>
        </w:rPr>
      </w:pPr>
      <w:r>
        <w:rPr>
          <w:rFonts w:ascii="Times New Roman" w:cs="Times New Roman" w:eastAsia="Times New Roman" w:hAnsi="Times New Roman"/>
          <w:sz w:val="16"/>
          <w:szCs w:val="16"/>
          <w:color w:val="auto"/>
        </w:rPr>
        <w:t>We can give no assurance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2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Our merchant partners may be subject to sales reporting and record-keeping obligations.</w:t>
      </w:r>
    </w:p>
    <w:p>
      <w:pPr>
        <w:spacing w:after="0" w:line="114" w:lineRule="exact"/>
        <w:rPr>
          <w:sz w:val="20"/>
          <w:szCs w:val="20"/>
          <w:color w:val="auto"/>
        </w:rPr>
      </w:pPr>
    </w:p>
    <w:p>
      <w:pPr>
        <w:ind w:left="620" w:right="280" w:firstLine="400"/>
        <w:spacing w:after="0" w:line="263" w:lineRule="auto"/>
        <w:rPr>
          <w:sz w:val="20"/>
          <w:szCs w:val="20"/>
          <w:color w:val="auto"/>
        </w:rPr>
      </w:pPr>
      <w:r>
        <w:rPr>
          <w:rFonts w:ascii="Times New Roman" w:cs="Times New Roman" w:eastAsia="Times New Roman" w:hAnsi="Times New Roman"/>
          <w:sz w:val="16"/>
          <w:szCs w:val="16"/>
          <w:color w:val="auto"/>
        </w:rPr>
        <w:t>A number of U.S. states and the U.S. federal government have implemented or are in the process of implementing reporting or record-keeping obligations on companies that engage in or facilitate e-commerce to improve tax compliance. Additionally, a number of jurisdictions are reviewing whether payment service providers and other intermediaries could be deemed to be the legal agent of merchants for certain tax purposes. We may be required to modify our systems to comply with future requirements, which may negatively impact our consumer experience and increase operational costs. Any failure by us to comply with these and similar reporting and record-keeping obligations could result in substantial monetary penalties and other sanctions, adversely impact our ability to do business in certain jurisdictions and harm our business.</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0620"/>
          </w:cols>
          <w:pgMar w:left="320" w:top="453" w:right="959" w:bottom="1440" w:gutter="0" w:footer="0" w:header="0"/>
        </w:sectPr>
      </w:pPr>
    </w:p>
    <w:bookmarkStart w:id="56" w:name="page57"/>
    <w:bookmarkEnd w:id="5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Risks Related to Our Securities</w:t>
      </w:r>
    </w:p>
    <w:p>
      <w:pPr>
        <w:spacing w:after="0" w:line="110" w:lineRule="exact"/>
        <w:rPr>
          <w:sz w:val="20"/>
          <w:szCs w:val="20"/>
          <w:color w:val="auto"/>
        </w:rPr>
      </w:pPr>
    </w:p>
    <w:p>
      <w:pPr>
        <w:ind w:left="620" w:right="46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A significant portion of our total outstanding securities are restricted from immediate resale but may be sold into the market in the near future. This could cause the market price of our securities to drop significantly, even if our business is doing well.</w:t>
      </w:r>
    </w:p>
    <w:p>
      <w:pPr>
        <w:spacing w:after="0" w:line="39" w:lineRule="exact"/>
        <w:rPr>
          <w:sz w:val="20"/>
          <w:szCs w:val="20"/>
          <w:color w:val="auto"/>
        </w:rPr>
      </w:pPr>
    </w:p>
    <w:p>
      <w:pPr>
        <w:ind w:left="620" w:right="20" w:firstLine="400"/>
        <w:spacing w:after="0" w:line="260" w:lineRule="auto"/>
        <w:rPr>
          <w:sz w:val="20"/>
          <w:szCs w:val="20"/>
          <w:color w:val="auto"/>
        </w:rPr>
      </w:pPr>
      <w:r>
        <w:rPr>
          <w:rFonts w:ascii="Times New Roman" w:cs="Times New Roman" w:eastAsia="Times New Roman" w:hAnsi="Times New Roman"/>
          <w:sz w:val="16"/>
          <w:szCs w:val="16"/>
          <w:color w:val="auto"/>
        </w:rPr>
        <w:t>Pursuant to our Stockholders Agreement with the Sponsor and the Opco Equity Holders, up to 208,200,000 shares of Class A Common Stock issuable upon the exchange of Paired Interests held by, or issuable to, Opco Equity Holders are subject to a six-month lock-up that expires on April 16, 2022. Additionally, the Sponsor and Insiders have agreed not to transfer, assign or sell any of their 5,184,300 shares of Class A Common Stock acquired in connection with the Domestication until the earlier of (i) October 15, 2022 and (ii) subsequent to the Closing, (x) if the closing price of our Class A Common Stock equals or exceeds $12.00 per share (subject to adjustment) for any 20 trading days within any 30-trading day period commencing on March 14, 2022 or (y) the date on which we complete a liquidation, merger, amalgamation, capital stock exchange, reorganization or other similar transaction that results in all holders of Class A Common Stock having the right to exchange their Class A Common Stock for cash, securities or other property.</w:t>
      </w:r>
    </w:p>
    <w:p>
      <w:pPr>
        <w:spacing w:after="0" w:line="170" w:lineRule="exact"/>
        <w:rPr>
          <w:sz w:val="20"/>
          <w:szCs w:val="20"/>
          <w:color w:val="auto"/>
        </w:rPr>
      </w:pPr>
    </w:p>
    <w:p>
      <w:pPr>
        <w:ind w:left="620" w:firstLine="400"/>
        <w:spacing w:after="0" w:line="267" w:lineRule="auto"/>
        <w:rPr>
          <w:sz w:val="20"/>
          <w:szCs w:val="20"/>
          <w:color w:val="auto"/>
        </w:rPr>
      </w:pPr>
      <w:r>
        <w:rPr>
          <w:rFonts w:ascii="Times New Roman" w:cs="Times New Roman" w:eastAsia="Times New Roman" w:hAnsi="Times New Roman"/>
          <w:sz w:val="16"/>
          <w:szCs w:val="16"/>
          <w:color w:val="auto"/>
        </w:rPr>
        <w:t>Upon expiration of the applicable lock-up restrictions described above, holders of our securities that are currently restricted, which in the aggregate represent 78% of our outstanding shares of Class A Common Stock (assuming that all outstanding or issuable Paired Interests are exchanged for shares of Class A Common Stock and that no outstanding Warrants are exercised), could sell such securities. The market price of our securities could decline if holders of currently restricted shares sell them or are perceived by the market as intending to sell them.</w:t>
      </w:r>
    </w:p>
    <w:p>
      <w:pPr>
        <w:spacing w:after="0" w:line="256" w:lineRule="exact"/>
        <w:rPr>
          <w:sz w:val="20"/>
          <w:szCs w:val="20"/>
          <w:color w:val="auto"/>
        </w:rPr>
      </w:pPr>
    </w:p>
    <w:p>
      <w:pPr>
        <w:ind w:left="620" w:right="42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Our warrants are exercisable for Class A Common Stock. Any such exercise increases the number of shares outstanding and eligible for future resale in the public market and results in dilution to our stockholders.</w:t>
      </w:r>
    </w:p>
    <w:p>
      <w:pPr>
        <w:spacing w:after="0" w:line="39" w:lineRule="exact"/>
        <w:rPr>
          <w:sz w:val="20"/>
          <w:szCs w:val="20"/>
          <w:color w:val="auto"/>
        </w:rPr>
      </w:pPr>
    </w:p>
    <w:p>
      <w:pPr>
        <w:ind w:left="620" w:right="200" w:firstLine="400"/>
        <w:spacing w:after="0" w:line="264" w:lineRule="auto"/>
        <w:rPr>
          <w:sz w:val="20"/>
          <w:szCs w:val="20"/>
          <w:color w:val="auto"/>
        </w:rPr>
      </w:pPr>
      <w:r>
        <w:rPr>
          <w:rFonts w:ascii="Times New Roman" w:cs="Times New Roman" w:eastAsia="Times New Roman" w:hAnsi="Times New Roman"/>
          <w:sz w:val="16"/>
          <w:szCs w:val="16"/>
          <w:color w:val="auto"/>
        </w:rPr>
        <w:t>As of December 31, 2021, our warrants to purchase an aggregate of 7,141,035 shares of Class A Common Stock are exercisable in accordance with the terms of the warrant agreement. To the extent such warrants are exercised, additional shares of Class A Common Stock will be issued, which will result in dilution to the holders of Class A Common Stock and increase the number of shares eligible for resale in the public market. Sales of substantial numbers of such shares in the public market or the fact that such warrants may be exercised could adversely affect the market price of Class A Common Stock.</w:t>
      </w:r>
    </w:p>
    <w:p>
      <w:pPr>
        <w:spacing w:after="0" w:line="259" w:lineRule="exact"/>
        <w:rPr>
          <w:sz w:val="20"/>
          <w:szCs w:val="20"/>
          <w:color w:val="auto"/>
        </w:rPr>
      </w:pPr>
    </w:p>
    <w:p>
      <w:pPr>
        <w:ind w:left="620" w:right="28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We may issue additional shares of common stock or other equity securities without stockholder approval, which would dilute stockholders’ ownership interest in us and may reduce the market price of our securities.</w:t>
      </w:r>
    </w:p>
    <w:p>
      <w:pPr>
        <w:spacing w:after="0" w:line="39" w:lineRule="exact"/>
        <w:rPr>
          <w:sz w:val="20"/>
          <w:szCs w:val="20"/>
          <w:color w:val="auto"/>
        </w:rPr>
      </w:pPr>
    </w:p>
    <w:p>
      <w:pPr>
        <w:ind w:left="620" w:right="240" w:firstLine="400"/>
        <w:spacing w:after="0" w:line="267" w:lineRule="auto"/>
        <w:rPr>
          <w:sz w:val="20"/>
          <w:szCs w:val="20"/>
          <w:color w:val="auto"/>
        </w:rPr>
      </w:pPr>
      <w:r>
        <w:rPr>
          <w:rFonts w:ascii="Times New Roman" w:cs="Times New Roman" w:eastAsia="Times New Roman" w:hAnsi="Times New Roman"/>
          <w:sz w:val="16"/>
          <w:szCs w:val="16"/>
          <w:color w:val="auto"/>
        </w:rPr>
        <w:t>We may issue additional shares of our Class A Common Stock or other equity securities in the future in connection with, among other things, future acquisitions, repayment of outstanding indebtedness or grants under the 2021 Omnibus Incentive Plan (the “2021 Plan”) without stockholder approval in a number of circumstances. The issuance of additional Class A Common Stock or other equity securities could have, among other things, one or more of the following effects:</w:t>
      </w:r>
    </w:p>
    <w:p>
      <w:pPr>
        <w:spacing w:after="0" w:line="76" w:lineRule="exact"/>
        <w:rPr>
          <w:sz w:val="20"/>
          <w:szCs w:val="20"/>
          <w:color w:val="auto"/>
        </w:rPr>
      </w:pPr>
    </w:p>
    <w:p>
      <w:pPr>
        <w:ind w:left="1500" w:hanging="387"/>
        <w:spacing w:after="0"/>
        <w:tabs>
          <w:tab w:leader="none" w:pos="1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existing stockholders’ proportionate ownership interest will decrease;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cash available per share, including for payment of dividends in the future, may decrease;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relative voting strength of each previously outstanding share of our common stock may be diminished;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price of our Class A Common Stock and/or Warrants may decline.</w:t>
      </w:r>
    </w:p>
    <w:p>
      <w:pPr>
        <w:spacing w:after="0" w:line="1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0600"/>
          </w:cols>
          <w:pgMar w:left="320" w:top="453" w:right="979" w:bottom="1440" w:gutter="0" w:footer="0" w:header="0"/>
        </w:sectPr>
      </w:pPr>
    </w:p>
    <w:bookmarkStart w:id="57" w:name="page58"/>
    <w:bookmarkEnd w:id="5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right="22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If securities and industry analysts do not publish research or publish inaccurate or unfavorable research about our business, the prices and trading volumes of our securities could decline.</w:t>
      </w:r>
    </w:p>
    <w:p>
      <w:pPr>
        <w:spacing w:after="0" w:line="39" w:lineRule="exact"/>
        <w:rPr>
          <w:sz w:val="20"/>
          <w:szCs w:val="20"/>
          <w:color w:val="auto"/>
        </w:rPr>
      </w:pPr>
    </w:p>
    <w:p>
      <w:pPr>
        <w:ind w:left="620" w:right="20" w:firstLine="400"/>
        <w:spacing w:after="0" w:line="267" w:lineRule="auto"/>
        <w:rPr>
          <w:sz w:val="20"/>
          <w:szCs w:val="20"/>
          <w:color w:val="auto"/>
        </w:rPr>
      </w:pPr>
      <w:r>
        <w:rPr>
          <w:rFonts w:ascii="Times New Roman" w:cs="Times New Roman" w:eastAsia="Times New Roman" w:hAnsi="Times New Roman"/>
          <w:sz w:val="16"/>
          <w:szCs w:val="16"/>
          <w:color w:val="auto"/>
        </w:rPr>
        <w:t>The trading market for our securities will depend, in part, on the research and reports that securities and industry analysts publish about us and our business. Securities and industry analysts. If securities and industry analysts downgrade our securities or publish inaccurate or unfavorable research about our business, the market price of our securities would likely decline. If one or more of these analysts cease coverage of us or fail to publish reports on us regularly, demand for our stock could decrease, which might cause the market price and trading volume of our securities to decline.</w:t>
      </w:r>
    </w:p>
    <w:p>
      <w:pPr>
        <w:spacing w:after="0" w:line="256" w:lineRule="exact"/>
        <w:rPr>
          <w:sz w:val="20"/>
          <w:szCs w:val="20"/>
          <w:color w:val="auto"/>
        </w:rPr>
      </w:pPr>
    </w:p>
    <w:p>
      <w:pPr>
        <w:ind w:left="620" w:right="18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39" w:lineRule="exact"/>
        <w:rPr>
          <w:sz w:val="20"/>
          <w:szCs w:val="20"/>
          <w:color w:val="auto"/>
        </w:rPr>
      </w:pPr>
    </w:p>
    <w:p>
      <w:pPr>
        <w:ind w:left="620" w:right="60" w:firstLine="400"/>
        <w:spacing w:after="0" w:line="264" w:lineRule="auto"/>
        <w:rPr>
          <w:sz w:val="20"/>
          <w:szCs w:val="20"/>
          <w:color w:val="auto"/>
        </w:rPr>
      </w:pPr>
      <w:r>
        <w:rPr>
          <w:rFonts w:ascii="Times New Roman" w:cs="Times New Roman" w:eastAsia="Times New Roman" w:hAnsi="Times New Roman"/>
          <w:sz w:val="16"/>
          <w:szCs w:val="16"/>
          <w:color w:val="auto"/>
        </w:rPr>
        <w:t>Our certificate of incorporation (the “Certificate of Incorporation”) and our by-laws (the “By-Laws”) contain provisions that could have the effect of rendering more difficult, delaying, or preventing an acquisition deemed undesirable by the Board and therefore depress the trading price of our securities. These provisions could also make it difficult for stockholders to take certain actions, including electing directors who are not nominated by the current members of the Board or taking other corporate actions, including effecting changes in management. Among other things, the Certificate of Incorporation and By-Laws include provisions regarding:</w:t>
      </w:r>
    </w:p>
    <w:p>
      <w:pPr>
        <w:spacing w:after="0" w:line="79" w:lineRule="exact"/>
        <w:rPr>
          <w:sz w:val="20"/>
          <w:szCs w:val="20"/>
          <w:color w:val="auto"/>
        </w:rPr>
      </w:pPr>
    </w:p>
    <w:p>
      <w:pPr>
        <w:ind w:left="1500" w:hanging="387"/>
        <w:spacing w:after="0" w:line="291" w:lineRule="auto"/>
        <w:tabs>
          <w:tab w:leader="none" w:pos="1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classified Board with three-year staggered terms, which could delay the ability of stockholders to change the membership of a majority of the Board;</w:t>
      </w:r>
    </w:p>
    <w:p>
      <w:pPr>
        <w:spacing w:after="0" w:line="56" w:lineRule="exact"/>
        <w:rPr>
          <w:rFonts w:ascii="Times New Roman" w:cs="Times New Roman" w:eastAsia="Times New Roman" w:hAnsi="Times New Roman"/>
          <w:sz w:val="16"/>
          <w:szCs w:val="16"/>
          <w:color w:val="auto"/>
        </w:rPr>
      </w:pPr>
    </w:p>
    <w:p>
      <w:pPr>
        <w:ind w:left="1500" w:hanging="387"/>
        <w:spacing w:after="0" w:line="273" w:lineRule="auto"/>
        <w:tabs>
          <w:tab w:leader="none" w:pos="1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70"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limitation of the liability of, and the indemnification of, our directors and officers;</w:t>
      </w:r>
    </w:p>
    <w:p>
      <w:pPr>
        <w:spacing w:after="0" w:line="122" w:lineRule="exact"/>
        <w:rPr>
          <w:rFonts w:ascii="Times New Roman" w:cs="Times New Roman" w:eastAsia="Times New Roman" w:hAnsi="Times New Roman"/>
          <w:sz w:val="16"/>
          <w:szCs w:val="16"/>
          <w:color w:val="auto"/>
        </w:rPr>
      </w:pPr>
    </w:p>
    <w:p>
      <w:pPr>
        <w:ind w:left="1500" w:right="260" w:hanging="387"/>
        <w:spacing w:after="0" w:line="291" w:lineRule="auto"/>
        <w:tabs>
          <w:tab w:leader="none" w:pos="1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 of the Board to elect a director to fill a vacancy created by the expansion of the Board or the resignation, death or removal of a director, which prevents stockholders from being able to fill vacancies on the Board;</w:t>
      </w:r>
    </w:p>
    <w:p>
      <w:pPr>
        <w:spacing w:after="0" w:line="56" w:lineRule="exact"/>
        <w:rPr>
          <w:rFonts w:ascii="Times New Roman" w:cs="Times New Roman" w:eastAsia="Times New Roman" w:hAnsi="Times New Roman"/>
          <w:sz w:val="16"/>
          <w:szCs w:val="16"/>
          <w:color w:val="auto"/>
        </w:rPr>
      </w:pPr>
    </w:p>
    <w:p>
      <w:pPr>
        <w:ind w:left="1500" w:right="260" w:hanging="387"/>
        <w:spacing w:after="0" w:line="291" w:lineRule="auto"/>
        <w:tabs>
          <w:tab w:leader="none" w:pos="1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that directors may only be removed from the Board for cause and upon the affirmative vote of the holders of at least 66 2/3% of the total voting power of then outstanding Class A Common Stock;</w:t>
      </w:r>
    </w:p>
    <w:p>
      <w:pPr>
        <w:spacing w:after="0" w:line="56" w:lineRule="exact"/>
        <w:rPr>
          <w:rFonts w:ascii="Times New Roman" w:cs="Times New Roman" w:eastAsia="Times New Roman" w:hAnsi="Times New Roman"/>
          <w:sz w:val="16"/>
          <w:szCs w:val="16"/>
          <w:color w:val="auto"/>
        </w:rPr>
      </w:pPr>
    </w:p>
    <w:p>
      <w:pPr>
        <w:ind w:left="1500" w:hanging="387"/>
        <w:spacing w:after="0" w:line="273" w:lineRule="auto"/>
        <w:tabs>
          <w:tab w:leader="none" w:pos="1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prohibition on stockholder action by written consent (except for actions by the holders of Class V Common Stock or as required for holders of future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70" w:lineRule="exact"/>
        <w:rPr>
          <w:rFonts w:ascii="Times New Roman" w:cs="Times New Roman" w:eastAsia="Times New Roman" w:hAnsi="Times New Roman"/>
          <w:sz w:val="16"/>
          <w:szCs w:val="16"/>
          <w:color w:val="auto"/>
        </w:rPr>
      </w:pPr>
    </w:p>
    <w:p>
      <w:pPr>
        <w:ind w:left="1500" w:right="60" w:hanging="387"/>
        <w:spacing w:after="0" w:line="273" w:lineRule="auto"/>
        <w:tabs>
          <w:tab w:leader="none" w:pos="1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that a special meeting of stockholders may be called only by the Board, the Chairman of the Board or our Chief Executive Officer, which could delay the ability of stockholders to force consideration of a proposal or to take action, including the removal of directors;</w:t>
      </w:r>
    </w:p>
    <w:p>
      <w:pPr>
        <w:spacing w:after="0" w:line="70"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controlling the procedures for the conduct and scheduling of the Board and stockholder meetings;</w:t>
      </w:r>
    </w:p>
    <w:p>
      <w:pPr>
        <w:spacing w:after="0" w:line="122" w:lineRule="exact"/>
        <w:rPr>
          <w:rFonts w:ascii="Times New Roman" w:cs="Times New Roman" w:eastAsia="Times New Roman" w:hAnsi="Times New Roman"/>
          <w:sz w:val="16"/>
          <w:szCs w:val="16"/>
          <w:color w:val="auto"/>
        </w:rPr>
      </w:pPr>
    </w:p>
    <w:p>
      <w:pPr>
        <w:ind w:left="1500" w:right="60" w:hanging="387"/>
        <w:spacing w:after="0" w:line="267" w:lineRule="auto"/>
        <w:tabs>
          <w:tab w:leader="none" w:pos="1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 preclude stockholders from bringing matters before annual or special meetings of stockholders and delay changes in the Board and also may inhibit the ability of an acquirer to effect such amendments to facilitate an unsolicited takeover attempt;</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0620"/>
          </w:cols>
          <w:pgMar w:left="320" w:top="453" w:right="959" w:bottom="1440" w:gutter="0" w:footer="0" w:header="0"/>
        </w:sectPr>
      </w:pPr>
    </w:p>
    <w:bookmarkStart w:id="58" w:name="page59"/>
    <w:bookmarkEnd w:id="5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500" w:right="260" w:hanging="387"/>
        <w:spacing w:after="0" w:line="291" w:lineRule="auto"/>
        <w:tabs>
          <w:tab w:leader="none" w:pos="1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56" w:lineRule="exact"/>
        <w:rPr>
          <w:rFonts w:ascii="Times New Roman" w:cs="Times New Roman" w:eastAsia="Times New Roman" w:hAnsi="Times New Roman"/>
          <w:sz w:val="16"/>
          <w:szCs w:val="16"/>
          <w:color w:val="auto"/>
        </w:rPr>
      </w:pPr>
    </w:p>
    <w:p>
      <w:pPr>
        <w:ind w:left="1500" w:hanging="387"/>
        <w:spacing w:after="0" w:line="267" w:lineRule="auto"/>
        <w:tabs>
          <w:tab w:leader="none" w:pos="1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These provisions, alone or together, could delay or prevent hostile takeovers and changes in control or changes in the Board or management.</w:t>
      </w:r>
    </w:p>
    <w:p>
      <w:pPr>
        <w:spacing w:after="0" w:line="302" w:lineRule="exact"/>
        <w:rPr>
          <w:sz w:val="20"/>
          <w:szCs w:val="20"/>
          <w:color w:val="auto"/>
        </w:rPr>
      </w:pPr>
    </w:p>
    <w:p>
      <w:pPr>
        <w:ind w:left="620" w:right="100" w:firstLine="40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56" w:lineRule="exact"/>
        <w:rPr>
          <w:sz w:val="20"/>
          <w:szCs w:val="20"/>
          <w:color w:val="auto"/>
        </w:rPr>
      </w:pPr>
    </w:p>
    <w:p>
      <w:pPr>
        <w:ind w:left="620" w:right="20" w:firstLine="400"/>
        <w:spacing w:after="0" w:line="260" w:lineRule="auto"/>
        <w:rPr>
          <w:sz w:val="20"/>
          <w:szCs w:val="20"/>
          <w:color w:val="auto"/>
        </w:rPr>
      </w:pPr>
      <w:r>
        <w:rPr>
          <w:rFonts w:ascii="Times New Roman" w:cs="Times New Roman" w:eastAsia="Times New Roman" w:hAnsi="Times New Roman"/>
          <w:sz w:val="16"/>
          <w:szCs w:val="16"/>
          <w:color w:val="auto"/>
        </w:rPr>
        <w:t>Our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us, (b) any action asserting a claim of breach of a fiduciary duty owed by any current or former director, officer, other employee or stockholder of ours to us or our stockholders, (c) any action asserting a claim against us or our officers or directors arising pursuant to any provision of the DGCL or the Certificate of Incorporation or By-Laws or as to which the DGCL confers jurisdiction on the Court of Chancery of the State of Delaware, (d) any action to interpret, apply, enforce or determine the validity of the Certificate of Incorporation or the By-Laws or any provision thereof, (e) any action asserting a claim against us or any current or former director, officer, employee, stockholder or agent of ours governed by the internal affairs doctrine of the law of the State of Delaware or (f) any action asserting an “internal corporate claim” as defined in Section 115 of the DGCL.</w:t>
      </w:r>
    </w:p>
    <w:p>
      <w:pPr>
        <w:spacing w:after="0" w:line="167" w:lineRule="exact"/>
        <w:rPr>
          <w:sz w:val="20"/>
          <w:szCs w:val="20"/>
          <w:color w:val="auto"/>
        </w:rPr>
      </w:pPr>
    </w:p>
    <w:p>
      <w:pPr>
        <w:ind w:left="620" w:right="20" w:firstLine="400"/>
        <w:spacing w:after="0" w:line="259" w:lineRule="auto"/>
        <w:rPr>
          <w:sz w:val="20"/>
          <w:szCs w:val="20"/>
          <w:color w:val="auto"/>
        </w:rPr>
      </w:pPr>
      <w:r>
        <w:rPr>
          <w:rFonts w:ascii="Times New Roman" w:cs="Times New Roman" w:eastAsia="Times New Roman" w:hAnsi="Times New Roman"/>
          <w:sz w:val="16"/>
          <w:szCs w:val="16"/>
          <w:color w:val="auto"/>
        </w:rPr>
        <w:t>Section 22 of the Securities Act of 1933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169" w:lineRule="exact"/>
        <w:rPr>
          <w:sz w:val="20"/>
          <w:szCs w:val="20"/>
          <w:color w:val="auto"/>
        </w:rPr>
      </w:pPr>
    </w:p>
    <w:p>
      <w:pPr>
        <w:ind w:left="620" w:right="60" w:firstLine="400"/>
        <w:spacing w:after="0" w:line="264" w:lineRule="auto"/>
        <w:rPr>
          <w:sz w:val="20"/>
          <w:szCs w:val="20"/>
          <w:color w:val="auto"/>
        </w:rPr>
      </w:pPr>
      <w:r>
        <w:rPr>
          <w:rFonts w:ascii="Times New Roman" w:cs="Times New Roman" w:eastAsia="Times New Roman" w:hAnsi="Times New Roman"/>
          <w:sz w:val="16"/>
          <w:szCs w:val="16"/>
          <w:color w:val="auto"/>
        </w:rPr>
        <w:t>Any person or entity purchasing or otherwise acquiring any interest in any of our securities will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these exclusive-forum provisions to be inapplicable or unenforceable in an action, we may incur additional costs associated with resolving the dispute in other jurisdictions, which could harm our results of operations.</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0620"/>
          </w:cols>
          <w:pgMar w:left="320" w:top="453" w:right="959" w:bottom="1440" w:gutter="0" w:footer="0" w:header="0"/>
        </w:sectPr>
      </w:pPr>
    </w:p>
    <w:bookmarkStart w:id="59" w:name="page60"/>
    <w:bookmarkEnd w:id="5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Our Certificate of Incorporation does not limit the ability of ICE to compete with us.</w:t>
      </w:r>
    </w:p>
    <w:p>
      <w:pPr>
        <w:spacing w:after="0" w:line="114" w:lineRule="exact"/>
        <w:rPr>
          <w:sz w:val="20"/>
          <w:szCs w:val="20"/>
          <w:color w:val="auto"/>
        </w:rPr>
      </w:pPr>
    </w:p>
    <w:p>
      <w:pPr>
        <w:ind w:left="620" w:firstLine="400"/>
        <w:spacing w:after="0" w:line="259" w:lineRule="auto"/>
        <w:rPr>
          <w:sz w:val="20"/>
          <w:szCs w:val="20"/>
          <w:color w:val="auto"/>
        </w:rPr>
      </w:pPr>
      <w:r>
        <w:rPr>
          <w:rFonts w:ascii="Times New Roman" w:cs="Times New Roman" w:eastAsia="Times New Roman" w:hAnsi="Times New Roman"/>
          <w:sz w:val="16"/>
          <w:szCs w:val="16"/>
          <w:color w:val="auto"/>
        </w:rPr>
        <w:t>ICE and its affiliates engage in a broad spectrum of activities, including investments in the financial services and technology industries. In the ordinary course of its business activities, ICE and its respective affiliates may engage in activities where their interests conflict with our interests, or those of our other stockholders. The Certificate of Incorporation provides that ICE and its affiliates (including any non-employee directors of ours appointed by ICE) have no duty to refrain from (1) engaging in and possessing interests in other business ventures of every type and description, including those engaged in the same or similar business activities or lines of business in which we now engage or propose to engage or (2) otherwise competing with us, on their own account, in partnership with, or as an employee, officer, director or shareholder of any other individual, corporation, general or limited partnership, limited liability company, joint venture, trust, association or any other entity. ICE also may pursue, in its capacity other than as directors of the Board, acquisition opportunities that may be complementary to our business and, as a result, those acquisition opportunities may not be available to us. In addition, ICE may have an interest in pursuing acquisitions, divestitures and other transactions that, in its judgment, could enhance its investment, even though such transactions might involve risks to our other stockholders. ICE will not be liable to us, our stockholders any of our affiliates for breach of any fiduciary duty solely by reason of the fact that they engage or have engaged in any such activities.</w:t>
      </w:r>
    </w:p>
    <w:p>
      <w:pPr>
        <w:spacing w:after="0" w:line="263" w:lineRule="exact"/>
        <w:rPr>
          <w:sz w:val="20"/>
          <w:szCs w:val="20"/>
          <w:color w:val="auto"/>
        </w:rPr>
      </w:pPr>
    </w:p>
    <w:p>
      <w:pPr>
        <w:ind w:left="620" w:right="14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Certain significant stockholders and members of management whose interests may differ from those of other stockholders have the ability to significantly influence our business and management.</w:t>
      </w:r>
    </w:p>
    <w:p>
      <w:pPr>
        <w:spacing w:after="0" w:line="39" w:lineRule="exact"/>
        <w:rPr>
          <w:sz w:val="20"/>
          <w:szCs w:val="20"/>
          <w:color w:val="auto"/>
        </w:rPr>
      </w:pPr>
    </w:p>
    <w:p>
      <w:pPr>
        <w:ind w:left="620" w:right="80" w:firstLine="400"/>
        <w:spacing w:after="0" w:line="261" w:lineRule="auto"/>
        <w:rPr>
          <w:sz w:val="20"/>
          <w:szCs w:val="20"/>
          <w:color w:val="auto"/>
        </w:rPr>
      </w:pPr>
      <w:r>
        <w:rPr>
          <w:rFonts w:ascii="Times New Roman" w:cs="Times New Roman" w:eastAsia="Times New Roman" w:hAnsi="Times New Roman"/>
          <w:sz w:val="16"/>
          <w:szCs w:val="16"/>
          <w:color w:val="auto"/>
        </w:rPr>
        <w:t>Pursuant to the Stockholders Agreement that the that we entered into with the Sponsor and the Opco Equity Holders, the Sponsor and the Opco Equity Holders agreed to designate one director nominated by the Sponsor, one director nominated by Opco, and the remaining three to six directors jointly nominated by the Sponsor and Opco. Our Board is divided into three classes of directors: Class I directors will initially serve for a term expiring at our 2022 annual meeting of stockholders, Class II directors will initially serve for a term expiring at our 2023 annual meeting of stockholders and Class III directors will initially serve for a term expiring at our 2024 annual meeting of stockholders following the effectiveness of the Certificate of Incorporation. At each succeeding annual meeting, successors to the class of directors whose term expires at that annual meeting shall be elected for a term expiring at the third succeeding annual meeting of stockholders.</w:t>
      </w:r>
    </w:p>
    <w:p>
      <w:pPr>
        <w:spacing w:after="0" w:line="168" w:lineRule="exact"/>
        <w:rPr>
          <w:sz w:val="20"/>
          <w:szCs w:val="20"/>
          <w:color w:val="auto"/>
        </w:rPr>
      </w:pPr>
    </w:p>
    <w:p>
      <w:pPr>
        <w:jc w:val="both"/>
        <w:ind w:left="620" w:right="220" w:firstLine="400"/>
        <w:spacing w:after="0" w:line="273" w:lineRule="auto"/>
        <w:rPr>
          <w:sz w:val="20"/>
          <w:szCs w:val="20"/>
          <w:color w:val="auto"/>
        </w:rPr>
      </w:pPr>
      <w:r>
        <w:rPr>
          <w:rFonts w:ascii="Times New Roman" w:cs="Times New Roman" w:eastAsia="Times New Roman" w:hAnsi="Times New Roman"/>
          <w:sz w:val="16"/>
          <w:szCs w:val="16"/>
          <w:color w:val="auto"/>
        </w:rPr>
        <w:t>Accordingly, the parties to the Stockholders Agreement will be able to designate all of the members of the Board. Such stockholders will retain such influence with respect to our management, business plans and policies, including the appointment and removal of our officers. In particular, the parties to the Stockholders Agreement could influence whether acquisitions, dispositions and other change of control transactions are approved.</w:t>
      </w:r>
    </w:p>
    <w:p>
      <w:pPr>
        <w:spacing w:after="0" w:line="2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ICE may exert significant influence over us and its interests may conflict with yours or those of other stockholders in the future.</w:t>
      </w:r>
    </w:p>
    <w:p>
      <w:pPr>
        <w:spacing w:after="0" w:line="114"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Each share of Class A Common Stock and Class V Common Stock entitles its holder to one vote on all matters presented to stockholders generally. Accordingly, ICE is able to exert significant influence over the election and removal of our directors and thereby significantly influence corporate and management policies, including potential mergers or acquisitions, payment of dividends, asset sales, amendment of our Certificate of Incorporation and By-Laws and other significant corporate transactions for so long as it retains significant ownership. This concentration of ownership may delay or deter possible changes in control, which may reduce the value of an investment in our securities. So long as ICE continues to own a significant amount of the combined voting power, even if such amount is less than 50%, ICE will continue to be able to strongly influence our decisions. While the Voting Agreement (as defined below) limits ICE to vote only an aggregate of 30% of its voting power, such amount may result in substantial influence in voting matters. The Voting Agreement provides that this limitation on ICE’s voting power will terminate at such time as its ownership is less than a majority of the outstanding voting power, at which time ICE will be entitled to vote all of its voting shares, which may result in an increase in its potential influence.</w:t>
      </w:r>
    </w:p>
    <w:p>
      <w:pPr>
        <w:spacing w:after="0" w:line="3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0600"/>
          </w:cols>
          <w:pgMar w:left="320" w:top="453" w:right="979" w:bottom="1440" w:gutter="0" w:footer="0" w:header="0"/>
        </w:sectPr>
      </w:pPr>
    </w:p>
    <w:bookmarkStart w:id="60" w:name="page61"/>
    <w:bookmarkEnd w:id="6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The price of our securities may be volatile.</w:t>
      </w:r>
    </w:p>
    <w:p>
      <w:pPr>
        <w:spacing w:after="0" w:line="1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The price of our securities may fluctuate due to a variety of factors, including:</w:t>
      </w:r>
    </w:p>
    <w:p>
      <w:pPr>
        <w:spacing w:after="0" w:line="122" w:lineRule="exact"/>
        <w:rPr>
          <w:sz w:val="20"/>
          <w:szCs w:val="20"/>
          <w:color w:val="auto"/>
        </w:rPr>
      </w:pPr>
    </w:p>
    <w:p>
      <w:pPr>
        <w:ind w:left="1500" w:hanging="387"/>
        <w:spacing w:after="0"/>
        <w:tabs>
          <w:tab w:leader="none" w:pos="1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industries in which we operate;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involving our competitors;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and regulations affecting our business;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operating performance and the performance of our competitors in general;</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quarterly or annual operating results;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publication of research reports by securities analysts about us or our competitors or our industry;</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public’s reaction to our press releases, our other public announcements and our filings with the SEC;</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by stockholders, including the sale by the PIPE Investors of any of their holdings;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and departures of key personnel;</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of, or involvement in, litigation involving the combined companies;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capital structure, such as future issuances of securities or the incurrence of debt;</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volume of our Class A Common Stock available for public sale; and</w:t>
      </w:r>
    </w:p>
    <w:p>
      <w:pPr>
        <w:spacing w:after="0" w:line="122" w:lineRule="exact"/>
        <w:rPr>
          <w:rFonts w:ascii="Times New Roman" w:cs="Times New Roman" w:eastAsia="Times New Roman" w:hAnsi="Times New Roman"/>
          <w:sz w:val="16"/>
          <w:szCs w:val="16"/>
          <w:color w:val="auto"/>
        </w:rPr>
      </w:pPr>
    </w:p>
    <w:p>
      <w:pPr>
        <w:ind w:left="1500" w:right="320" w:hanging="387"/>
        <w:spacing w:after="0" w:line="267" w:lineRule="auto"/>
        <w:tabs>
          <w:tab w:leader="none" w:pos="1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political conditions, such as the effects of the COVID-19 outbreak, recessions, volatility in the markets, interest rates, local and national elections, fuel prices, international currency fluctuations, corruption, political instability and acts of war or terrorism, such as the ongoing geopolitical tensions related to Russia’s actions in Ukraine, resulting sanctions imposed by the U.S. and other countries, and retaliatory actions taken by Russia in response to such sanctions.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These market and industry factors may materially reduce the market price of our securities regardless of our operating performance.</w:t>
      </w:r>
    </w:p>
    <w:p>
      <w:pPr>
        <w:spacing w:after="0" w:line="3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Recent market volatility could impact the stock price and trading volume of our securities.</w:t>
      </w:r>
    </w:p>
    <w:p>
      <w:pPr>
        <w:spacing w:after="0" w:line="114" w:lineRule="exact"/>
        <w:rPr>
          <w:sz w:val="20"/>
          <w:szCs w:val="20"/>
          <w:color w:val="auto"/>
        </w:rPr>
      </w:pPr>
    </w:p>
    <w:p>
      <w:pPr>
        <w:jc w:val="both"/>
        <w:ind w:left="620" w:right="20" w:firstLine="400"/>
        <w:spacing w:after="0" w:line="273" w:lineRule="auto"/>
        <w:rPr>
          <w:sz w:val="20"/>
          <w:szCs w:val="20"/>
          <w:color w:val="auto"/>
        </w:rPr>
      </w:pPr>
      <w:r>
        <w:rPr>
          <w:rFonts w:ascii="Times New Roman" w:cs="Times New Roman" w:eastAsia="Times New Roman" w:hAnsi="Times New Roman"/>
          <w:sz w:val="16"/>
          <w:szCs w:val="16"/>
          <w:color w:val="auto"/>
        </w:rPr>
        <w:t>The trading market for our securities could be impacted by recent market volatility. While we do not believe that it is more likely to be affected by market volatility than other public companies, recent stock run-ups, divergences in valuation ratios relative to those seen during traditional markets, high short interest or short squeezes, and strong and atypical retail investor interest in the markets may impact the demand for our securities.</w:t>
      </w:r>
    </w:p>
    <w:p>
      <w:pPr>
        <w:spacing w:after="0" w:line="157" w:lineRule="exact"/>
        <w:rPr>
          <w:sz w:val="20"/>
          <w:szCs w:val="20"/>
          <w:color w:val="auto"/>
        </w:rPr>
      </w:pPr>
    </w:p>
    <w:p>
      <w:pPr>
        <w:ind w:left="620" w:firstLine="400"/>
        <w:spacing w:after="0" w:line="262" w:lineRule="auto"/>
        <w:rPr>
          <w:sz w:val="20"/>
          <w:szCs w:val="20"/>
          <w:color w:val="auto"/>
        </w:rPr>
      </w:pPr>
      <w:r>
        <w:rPr>
          <w:rFonts w:ascii="Times New Roman" w:cs="Times New Roman" w:eastAsia="Times New Roman" w:hAnsi="Times New Roman"/>
          <w:sz w:val="16"/>
          <w:szCs w:val="16"/>
          <w:color w:val="auto"/>
        </w:rPr>
        <w:t>A possible “short squeeze” due to a sudden increase in demand of our securities that largely exceeds supply may lead to price volatility in our securities. Investors may purchase our securities to hedge existing exposure or to speculate on the price of our securities. Speculation on the price of our securities may involve both long and short exposures. To the extent aggregate short exposure exceeds the number of our securities available for purchase (for example, in the event that large redemption requests dramatically affect liquidity), investors with short exposure may have to pay a premium to repurchase our securities for delivery to lenders. Those repurchases may in turn, dramatically increase the price of our securities. This is often referred to as a “short squeeze.” A short squeeze could lead to volatile price movements in our securities that are not directly correlated to our operating performance.</w:t>
      </w:r>
    </w:p>
    <w:p>
      <w:pPr>
        <w:spacing w:after="0" w:line="200" w:lineRule="exact"/>
        <w:rPr>
          <w:sz w:val="20"/>
          <w:szCs w:val="20"/>
          <w:color w:val="auto"/>
        </w:rPr>
      </w:pPr>
    </w:p>
    <w:p>
      <w:pPr>
        <w:spacing w:after="0" w:line="258" w:lineRule="exact"/>
        <w:rPr>
          <w:sz w:val="20"/>
          <w:szCs w:val="20"/>
          <w:color w:val="auto"/>
        </w:rPr>
      </w:pPr>
    </w:p>
    <w:p>
      <w:pPr>
        <w:ind w:left="620" w:right="22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Because there are no current plans to pay cash dividends on the Class A Common Stock for the foreseeable future, you may not receive any return on investment unless you sell your Class A Common Stock at a price greater than what you paid for it.</w:t>
      </w:r>
    </w:p>
    <w:p>
      <w:pPr>
        <w:spacing w:after="0" w:line="39" w:lineRule="exact"/>
        <w:rPr>
          <w:sz w:val="20"/>
          <w:szCs w:val="20"/>
          <w:color w:val="auto"/>
        </w:rPr>
      </w:pPr>
    </w:p>
    <w:p>
      <w:pPr>
        <w:ind w:left="620" w:right="360" w:firstLine="400"/>
        <w:spacing w:after="0" w:line="291" w:lineRule="auto"/>
        <w:rPr>
          <w:sz w:val="20"/>
          <w:szCs w:val="20"/>
          <w:color w:val="auto"/>
        </w:rPr>
      </w:pPr>
      <w:r>
        <w:rPr>
          <w:rFonts w:ascii="Times New Roman" w:cs="Times New Roman" w:eastAsia="Times New Roman" w:hAnsi="Times New Roman"/>
          <w:sz w:val="16"/>
          <w:szCs w:val="16"/>
          <w:color w:val="auto"/>
        </w:rPr>
        <w:t>We intend to retain future earnings, if any, for future operations, expansion and debt repayment and there are no current plans to pay any cash dividends for the foreseeable future. The declaration, amount and payment</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0620"/>
          </w:cols>
          <w:pgMar w:left="320" w:top="452" w:right="959" w:bottom="1440" w:gutter="0" w:footer="0" w:header="0"/>
        </w:sectPr>
      </w:pPr>
    </w:p>
    <w:bookmarkStart w:id="61" w:name="page62"/>
    <w:bookmarkEnd w:id="6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00"/>
        <w:spacing w:after="0" w:line="264" w:lineRule="auto"/>
        <w:rPr>
          <w:sz w:val="20"/>
          <w:szCs w:val="20"/>
          <w:color w:val="auto"/>
        </w:rPr>
      </w:pPr>
      <w:r>
        <w:rPr>
          <w:rFonts w:ascii="Times New Roman" w:cs="Times New Roman" w:eastAsia="Times New Roman" w:hAnsi="Times New Roman"/>
          <w:sz w:val="16"/>
          <w:szCs w:val="16"/>
          <w:color w:val="auto"/>
        </w:rPr>
        <w:t>of any future dividends on shares of Class A Common Stock will be at the sole discretion of the Board. The Board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the Board may deem relevant. As a result, you may not receive any return on an investment in Class A Common Stock unless you sell your Class A Common Stock for a price greater than that which you paid for it.</w:t>
      </w:r>
    </w:p>
    <w:p>
      <w:pPr>
        <w:spacing w:after="0" w:line="259" w:lineRule="exact"/>
        <w:rPr>
          <w:sz w:val="20"/>
          <w:szCs w:val="20"/>
          <w:color w:val="auto"/>
        </w:rPr>
      </w:pPr>
    </w:p>
    <w:p>
      <w:pPr>
        <w:ind w:left="620" w:right="22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39" w:lineRule="exact"/>
        <w:rPr>
          <w:sz w:val="20"/>
          <w:szCs w:val="20"/>
          <w:color w:val="auto"/>
        </w:rPr>
      </w:pPr>
    </w:p>
    <w:p>
      <w:pPr>
        <w:ind w:left="620" w:firstLine="400"/>
        <w:spacing w:after="0" w:line="264" w:lineRule="auto"/>
        <w:rPr>
          <w:sz w:val="20"/>
          <w:szCs w:val="20"/>
          <w:color w:val="auto"/>
        </w:rPr>
      </w:pPr>
      <w:r>
        <w:rPr>
          <w:rFonts w:ascii="Times New Roman" w:cs="Times New Roman" w:eastAsia="Times New Roman" w:hAnsi="Times New Roman"/>
          <w:sz w:val="16"/>
          <w:szCs w:val="16"/>
          <w:color w:val="auto"/>
        </w:rPr>
        <w:t>Our securities are currently listed on NYSE. However, we cannot assure you that our securities will continue to be listed on the NYSE in the future. We are required to demonstrate compliance with the NYSE’s initial listing requirements, which are more rigorous than the NYSE’s continued listing requirements, in order to continue to maintain the listing of our securities on the NYSE. In addition to the listing requirements for common stock, the NYSE imposes listing standards on warrants. We cannot assure you that we will be able to meet those initial listing requirements or continued listing requirements in the future.</w:t>
      </w:r>
    </w:p>
    <w:p>
      <w:pPr>
        <w:spacing w:after="0" w:line="165" w:lineRule="exact"/>
        <w:rPr>
          <w:sz w:val="20"/>
          <w:szCs w:val="20"/>
          <w:color w:val="auto"/>
        </w:rPr>
      </w:pPr>
    </w:p>
    <w:p>
      <w:pPr>
        <w:ind w:left="620" w:firstLine="400"/>
        <w:spacing w:after="0" w:line="273" w:lineRule="auto"/>
        <w:rPr>
          <w:sz w:val="20"/>
          <w:szCs w:val="20"/>
          <w:color w:val="auto"/>
        </w:rPr>
      </w:pPr>
      <w:r>
        <w:rPr>
          <w:rFonts w:ascii="Times New Roman" w:cs="Times New Roman" w:eastAsia="Times New Roman" w:hAnsi="Times New Roman"/>
          <w:sz w:val="16"/>
          <w:szCs w:val="16"/>
          <w:color w:val="auto"/>
        </w:rPr>
        <w:t>If the NYSE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71" w:lineRule="exact"/>
        <w:rPr>
          <w:sz w:val="20"/>
          <w:szCs w:val="20"/>
          <w:color w:val="auto"/>
        </w:rPr>
      </w:pPr>
    </w:p>
    <w:p>
      <w:pPr>
        <w:ind w:left="1500" w:hanging="387"/>
        <w:spacing w:after="0"/>
        <w:tabs>
          <w:tab w:leader="none" w:pos="1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availability of market quotations for our securities;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liquidity for our securities;</w:t>
      </w:r>
    </w:p>
    <w:p>
      <w:pPr>
        <w:spacing w:after="0" w:line="122" w:lineRule="exact"/>
        <w:rPr>
          <w:rFonts w:ascii="Times New Roman" w:cs="Times New Roman" w:eastAsia="Times New Roman" w:hAnsi="Times New Roman"/>
          <w:sz w:val="16"/>
          <w:szCs w:val="16"/>
          <w:color w:val="auto"/>
        </w:rPr>
      </w:pPr>
    </w:p>
    <w:p>
      <w:pPr>
        <w:ind w:left="1500" w:right="260" w:hanging="387"/>
        <w:spacing w:after="0" w:line="291" w:lineRule="auto"/>
        <w:tabs>
          <w:tab w:leader="none" w:pos="1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that our Class A Common Stock is a “penny stock,” which will require brokers trading in the common stock to adhere to more stringent rules and possibly result in a reduced level of trading activity in the secondary trading market for our securities;</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amount of news and analyst coverage;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decreased ability to issue additional securities or obtain additional financing in the future.</w:t>
      </w:r>
    </w:p>
    <w:p>
      <w:pPr>
        <w:spacing w:after="0" w:line="1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0600"/>
          </w:cols>
          <w:pgMar w:left="320" w:top="453" w:right="979" w:bottom="1440" w:gutter="0" w:footer="0" w:header="0"/>
        </w:sectPr>
      </w:pPr>
    </w:p>
    <w:bookmarkStart w:id="62" w:name="page63"/>
    <w:bookmarkEnd w:id="6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212" w:lineRule="exact"/>
        <w:rPr>
          <w:sz w:val="20"/>
          <w:szCs w:val="20"/>
          <w:color w:val="auto"/>
        </w:rPr>
      </w:pPr>
    </w:p>
    <w:p>
      <w:pPr>
        <w:ind w:left="620" w:right="240"/>
        <w:spacing w:after="0" w:line="291" w:lineRule="auto"/>
        <w:rPr>
          <w:sz w:val="20"/>
          <w:szCs w:val="20"/>
          <w:color w:val="auto"/>
        </w:rPr>
      </w:pPr>
      <w:r>
        <w:rPr>
          <w:rFonts w:ascii="Times New Roman" w:cs="Times New Roman" w:eastAsia="Times New Roman" w:hAnsi="Times New Roman"/>
          <w:sz w:val="16"/>
          <w:szCs w:val="16"/>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42"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With respect to the registration of all shares of Class A Common Stock that may be offered for resale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would not receive any proceeds from the resale of such securities but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0560"/>
          </w:cols>
          <w:pgMar w:left="320" w:top="453" w:right="1019" w:bottom="1440" w:gutter="0" w:footer="0" w:header="0"/>
        </w:sectPr>
      </w:pPr>
    </w:p>
    <w:bookmarkStart w:id="63" w:name="page64"/>
    <w:bookmarkEnd w:id="6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MARKET PRICE OF AND DIVIDENDS ON THE REGISTRANT’S SECURITIES AND RELATED STOCKHOLDER MATTERS</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Market Information and Holders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Our Class A Common Stock and Warrants trade on NYSE under the trading symbols “BKKT” and “BKKT WS,” respectively.</w:t>
      </w:r>
    </w:p>
    <w:p>
      <w:pPr>
        <w:spacing w:after="0" w:line="208" w:lineRule="exact"/>
        <w:rPr>
          <w:sz w:val="20"/>
          <w:szCs w:val="20"/>
          <w:color w:val="auto"/>
        </w:rPr>
      </w:pPr>
    </w:p>
    <w:p>
      <w:pPr>
        <w:ind w:left="620" w:right="40"/>
        <w:spacing w:after="0" w:line="273" w:lineRule="auto"/>
        <w:rPr>
          <w:sz w:val="20"/>
          <w:szCs w:val="20"/>
          <w:color w:val="auto"/>
        </w:rPr>
      </w:pPr>
      <w:r>
        <w:rPr>
          <w:rFonts w:ascii="Times New Roman" w:cs="Times New Roman" w:eastAsia="Times New Roman" w:hAnsi="Times New Roman"/>
          <w:sz w:val="16"/>
          <w:szCs w:val="16"/>
          <w:color w:val="auto"/>
        </w:rPr>
        <w:t>As of March 25, 2022, we had 57,164,488 shares of Class A Common Stock issued and outstanding held of record by 18 holders, 206,003,270 shares of Class V Common Stock issued and outstanding held of record by 18 holders, and 7,140,929 Warrants issued and outstanding, each exercisable for one share of Class A Common Stock, held of record by 1 holder. There is no public market for our Class V Common Stock.</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Dividend Policy</w:t>
      </w:r>
    </w:p>
    <w:p>
      <w:pPr>
        <w:spacing w:after="0" w:line="114"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the Board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0600"/>
          </w:cols>
          <w:pgMar w:left="320" w:top="453" w:right="979" w:bottom="1440" w:gutter="0" w:footer="0" w:header="0"/>
        </w:sectPr>
      </w:pPr>
    </w:p>
    <w:bookmarkStart w:id="64" w:name="page65"/>
    <w:bookmarkEnd w:id="6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OPERATIONS OF BAKKT</w:t>
      </w:r>
    </w:p>
    <w:p>
      <w:pPr>
        <w:spacing w:after="0" w:line="210" w:lineRule="exact"/>
        <w:rPr>
          <w:sz w:val="20"/>
          <w:szCs w:val="20"/>
          <w:color w:val="auto"/>
        </w:rPr>
      </w:pPr>
    </w:p>
    <w:p>
      <w:pPr>
        <w:ind w:left="620"/>
        <w:spacing w:after="0" w:line="260"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financial condition and results of operations should be read together with our audited consolidated financial statements and the related notes included in this prospectus (the “audited consolidated financial statements”). References in this section to “we,” “us,” “our,” “Bakkt” or the “Company” and like terms refer to (i) Bakkt Opco Holdings, LLC and its subsidiaries (the “Predecessor”) for the year ended December 31, 2020 and the period from January 1, 2021 through October 14, 2021 (each referred to herein as a “Predecessor Period”) and (ii) Bakkt Holdings, Inc. and its subsidiaries (the “Successor”) for the period from October 15, 2021 through December 31, 2021 (the “Successor Period”), unless the context otherwise requires. Some of the information contained in this discussion and analysis or set forth elsewhere in this document,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as a result of certain factors detailed elsewhere in this prospectus.</w:t>
      </w:r>
    </w:p>
    <w:p>
      <w:pPr>
        <w:spacing w:after="0" w:line="2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14" w:lineRule="exact"/>
        <w:rPr>
          <w:sz w:val="20"/>
          <w:szCs w:val="20"/>
          <w:color w:val="auto"/>
        </w:rPr>
      </w:pPr>
    </w:p>
    <w:p>
      <w:pPr>
        <w:ind w:left="620" w:right="40"/>
        <w:spacing w:after="0" w:line="263" w:lineRule="auto"/>
        <w:rPr>
          <w:sz w:val="20"/>
          <w:szCs w:val="20"/>
          <w:color w:val="auto"/>
        </w:rPr>
      </w:pPr>
      <w:r>
        <w:rPr>
          <w:rFonts w:ascii="Times New Roman" w:cs="Times New Roman" w:eastAsia="Times New Roman" w:hAnsi="Times New Roman"/>
          <w:sz w:val="16"/>
          <w:szCs w:val="16"/>
          <w:color w:val="auto"/>
        </w:rPr>
        <w:t>Our mission is to power commerce by connecting the digital economy across asset classes for consumers, business and institutions. The digital asset ecosystem is broad, including cryptoassets, loyalty and rewards points, gift cards, in-game assets, and non-fungible tokens (“NFTs”). We are working to unlock new ways to participate in the growing digital economy by expanding access to, and improving liquidity for, digital assets. We believe we are opportunistically positioned at the center of this digital asset ecosystem, with approximately 2.6 million transacting accounts on our platform in 2021. We define “transacting accounts” as unique accounts that perform transactions on our platform each month, which is indicative of how users across our platform use our services.</w:t>
      </w:r>
    </w:p>
    <w:p>
      <w:pPr>
        <w:spacing w:after="0" w:line="163" w:lineRule="exact"/>
        <w:rPr>
          <w:sz w:val="20"/>
          <w:szCs w:val="20"/>
          <w:color w:val="auto"/>
        </w:rPr>
      </w:pPr>
    </w:p>
    <w:p>
      <w:pPr>
        <w:ind w:left="620" w:right="60"/>
        <w:spacing w:after="0" w:line="264" w:lineRule="auto"/>
        <w:rPr>
          <w:sz w:val="20"/>
          <w:szCs w:val="20"/>
          <w:color w:val="auto"/>
        </w:rPr>
      </w:pPr>
      <w:r>
        <w:rPr>
          <w:rFonts w:ascii="Times New Roman" w:cs="Times New Roman" w:eastAsia="Times New Roman" w:hAnsi="Times New Roman"/>
          <w:sz w:val="16"/>
          <w:szCs w:val="16"/>
          <w:color w:val="auto"/>
        </w:rPr>
        <w:t>Through our institutional-grade platform, we offer four key pillars to our partners and customers. These include: crypto services, through which we enabling crypto buy and sell capabilities for platform partners, banks and credit unions and other providers to provide to their customers, as well as crypto solutions for institutions; crypto rewards, for partners to enable their customers to earn rewards in or redeem existing rewards into crypto; digital asset payments for paying with or getting paid in assets like crypto; and a wide range of loyalty redemption services for large financial institutions, merchants such as apple and travel and entertainment providers.</w:t>
      </w:r>
    </w:p>
    <w:p>
      <w:pPr>
        <w:spacing w:after="0" w:line="165" w:lineRule="exact"/>
        <w:rPr>
          <w:sz w:val="20"/>
          <w:szCs w:val="20"/>
          <w:color w:val="auto"/>
        </w:rPr>
      </w:pPr>
    </w:p>
    <w:p>
      <w:pPr>
        <w:ind w:left="620" w:right="100"/>
        <w:spacing w:after="0" w:line="291" w:lineRule="auto"/>
        <w:rPr>
          <w:sz w:val="20"/>
          <w:szCs w:val="20"/>
          <w:color w:val="auto"/>
        </w:rPr>
      </w:pPr>
      <w:r>
        <w:rPr>
          <w:rFonts w:ascii="Times New Roman" w:cs="Times New Roman" w:eastAsia="Times New Roman" w:hAnsi="Times New Roman"/>
          <w:sz w:val="16"/>
          <w:szCs w:val="16"/>
          <w:color w:val="auto"/>
        </w:rPr>
        <w:t>We believe that our platform is uniquely positioned to offer each of these four pillars to our partners and institutions by utilizing a combination of three complementary aspects – a digital asset marketplace, a loyalty redemption service, and an alternative payment method.</w:t>
      </w:r>
    </w:p>
    <w:p>
      <w:pPr>
        <w:spacing w:after="0" w:line="52" w:lineRule="exact"/>
        <w:rPr>
          <w:sz w:val="20"/>
          <w:szCs w:val="20"/>
          <w:color w:val="auto"/>
        </w:rPr>
      </w:pPr>
    </w:p>
    <w:p>
      <w:pPr>
        <w:ind w:left="1500" w:right="20" w:hanging="387"/>
        <w:spacing w:after="0" w:line="260" w:lineRule="auto"/>
        <w:tabs>
          <w:tab w:leader="none" w:pos="1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Digital Asset Marketplace. </w:t>
      </w:r>
      <w:r>
        <w:rPr>
          <w:rFonts w:ascii="Times New Roman" w:cs="Times New Roman" w:eastAsia="Times New Roman" w:hAnsi="Times New Roman"/>
          <w:sz w:val="16"/>
          <w:szCs w:val="16"/>
          <w:color w:val="auto"/>
        </w:rPr>
        <w:t>Our digital asset marketplace is designed to enable participants to seamlessly transact in digital assets and has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applications for individual consumers, enterprises (whom we define as consumer-facing merchants, retailers, and financial institutions), and institutional investors. ICE, our controlling shareholder prior to the Business Combination, has decades of experience building institutional products and solutions. We leveraged that expertise to build an institutional-grade custodian for bitcoin, Bakkt Trust Company LLC (“Bakkt Trust” or, as it is marketed, the “Bakkt Warehouse”), which is regulated by the NYDFS. This custodian, marketed as the Bakkt Warehouse, provides custody services that anchor the first end-to-end regulated and physically-delivered bitcoin futures and options contracts (“PDF Contracts”), which are traded on IFUS and cleared on ICE Clear US, Inc. (“ICUS”), and also provides custody services to institutions and certain high net-worth individuals on a standalone basis as approved by the NYDFS. Our custodian also operates as the backbone of many of our consumer- and enterprise-focused offerings. For example, it enables consumers to use our app to transact in bitcoin in real-time. On November 2, 2021, in accordance with our coin listing policy (as approved by the NYDFS), we self-certified the addition of</w:t>
      </w: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0600"/>
          </w:cols>
          <w:pgMar w:left="320" w:top="453" w:right="979" w:bottom="1440" w:gutter="0" w:footer="0" w:header="0"/>
        </w:sectPr>
      </w:pPr>
    </w:p>
    <w:bookmarkStart w:id="65" w:name="page66"/>
    <w:bookmarkEnd w:id="6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520" w:right="20"/>
        <w:spacing w:after="0" w:line="260" w:lineRule="auto"/>
        <w:rPr>
          <w:sz w:val="20"/>
          <w:szCs w:val="20"/>
          <w:color w:val="auto"/>
        </w:rPr>
      </w:pPr>
      <w:r>
        <w:rPr>
          <w:rFonts w:ascii="Times New Roman" w:cs="Times New Roman" w:eastAsia="Times New Roman" w:hAnsi="Times New Roman"/>
          <w:sz w:val="16"/>
          <w:szCs w:val="16"/>
          <w:color w:val="auto"/>
        </w:rPr>
        <w:t>ether as a cryptoasset that we support for consumer transactions, as described further below. In addition, in the future, contingent upon achieving the necessary regulatory approvals and/or partnering with an existing licensed broker-dealer, we plan to add the ability to transact in securities such as derivatives, and ETFs. We believe that our institutional-grade infrastructure underpins our ability to expand and scale consumer solutions. We earn revenue in the digital asset marketplace by providing standalone custody services for cryptoassets assets for our institutional customers, which we recognize on a pro rata basis over the term of the custody contract. Our standalone custody revenue is currently immaterial. Separately, as a result of our Triparty Agreement with IFUS and ICUS (the “Triparty Agreement”), we earn the net revenues for providing stand-ready custody services to IFUS and ICUS in connection with the offering of PDF Contracts. For more information, see Note 2 to our audited consolidated financial statements.</w:t>
      </w:r>
    </w:p>
    <w:p>
      <w:pPr>
        <w:spacing w:after="0" w:line="81" w:lineRule="exact"/>
        <w:rPr>
          <w:sz w:val="20"/>
          <w:szCs w:val="20"/>
          <w:color w:val="auto"/>
        </w:rPr>
      </w:pPr>
    </w:p>
    <w:p>
      <w:pPr>
        <w:ind w:left="1500" w:right="60" w:hanging="387"/>
        <w:spacing w:after="0" w:line="258" w:lineRule="auto"/>
        <w:tabs>
          <w:tab w:leader="none" w:pos="1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Loyalty Redemption</w:t>
      </w:r>
      <w:r>
        <w:rPr>
          <w:rFonts w:ascii="Times New Roman" w:cs="Times New Roman" w:eastAsia="Times New Roman" w:hAnsi="Times New Roman"/>
          <w:sz w:val="16"/>
          <w:szCs w:val="16"/>
          <w:color w:val="auto"/>
        </w:rPr>
        <w:t>. Leveraging our acquisition of Bridge2 Solutions (as described below), our loyalty redemption capabilities support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enterprises with leading loyalty and rewards programs (which we call “loyalty partners”), such as Citibank, Delta Air Lines, United Airlines, Choice Hotels, Wells Fargo Bank, Bank of America and Mastercard. While many loyalty partners have very popular loyalty programs, the points that are outstanding to customers represent material liabilities on the loyalty partners’ balance sheets. Our redemption capabilities, particularly our exclusive arrangements with leading consumer brands, provide seamless and cost-effective alternatives for consumers to spend their loyalty points and enable loyalty partners to reduce these financial liabilities. We earn and recognize Loyalty Redemption revenue through a combination of: (i) platform subscription fees, which are fixed fees charged for access to our platform and customer support services, and which are recognized on a straight-line basis over the related contract term as the customer receives benefits evenly throughout the term of the contract; (ii) transaction fees for processing transactions on our platform, which are recognized in the period in which the related transaction occurs; (iii) revenue share fees, which are rebates from third-party commerce merchants, and which are recognized in the period in which the related transaction occurs; and (iv) service fees related to the implementation and customization of new services on our loyalty platform, which are recognized on a straight-line basis, beginning when the new service is operational, over the longer of the remaining anticipated customer life and the estimated useful life of our internally developed software. Our Loyalty Redemption revenue represents substantially all of our current revenue. For more information, see Note 2 to our audited consolidated financial statements.</w:t>
      </w:r>
    </w:p>
    <w:p>
      <w:pPr>
        <w:spacing w:after="0" w:line="85" w:lineRule="exact"/>
        <w:rPr>
          <w:rFonts w:ascii="Times New Roman" w:cs="Times New Roman" w:eastAsia="Times New Roman" w:hAnsi="Times New Roman"/>
          <w:sz w:val="16"/>
          <w:szCs w:val="16"/>
          <w:color w:val="auto"/>
        </w:rPr>
      </w:pPr>
    </w:p>
    <w:p>
      <w:pPr>
        <w:ind w:left="1500" w:hanging="387"/>
        <w:spacing w:after="0" w:line="262" w:lineRule="auto"/>
        <w:tabs>
          <w:tab w:leader="none" w:pos="1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Alternative Payment Method</w:t>
      </w:r>
      <w:r>
        <w:rPr>
          <w:rFonts w:ascii="Times New Roman" w:cs="Times New Roman" w:eastAsia="Times New Roman" w:hAnsi="Times New Roman"/>
          <w:sz w:val="16"/>
          <w:szCs w:val="16"/>
          <w:color w:val="auto"/>
        </w:rPr>
        <w:t>. Our platform delivers consumer choice and convenience with an alternative payment method that allows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consumers to spend the value of their digital assets with merchants in our ecosystem and also enables merchants to gain access to consumers’ increased spending power, tapping into the trend for alternative payment methods. Merchants, such as Starbucks, that accept our alternative payment method can displace transactions off existing payment card infrastructure, which results in significant reductions in payment fees and, over time, faster settlement. We earn and recognize alternative payment method revenue through a merchant discount rate (or percent of the transaction tender) at the time of each transaction and these transaction fees are reduced by consideration payable to a customer. For more information, see Note 2 to our audited consolidated financial statements.</w:t>
      </w: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Our Platform</w:t>
      </w:r>
    </w:p>
    <w:p>
      <w:pPr>
        <w:spacing w:after="0" w:line="114"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Our platform is built to operate at the intersection of cryptoassets, loyalty and payments, and offers partners the flexibility to choose some or all of our capabilities, and the manner in which these capabilities are enabled for consumers, based on their needs and objectives. Some partners may choose to enable our capabilities directly in their experience, while others may want a “ready-to-go” storefront and leverage capabilities such as our consumer app. Our core platform and infrastructure is built to provide integrations for crypto buy/sell trading, loyalty redemption, payments and exchange, and supports these use cases regardless of where the consumer</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0620"/>
          </w:cols>
          <w:pgMar w:left="320" w:top="453" w:right="959" w:bottom="1440" w:gutter="0" w:footer="0" w:header="0"/>
        </w:sectPr>
      </w:pPr>
    </w:p>
    <w:bookmarkStart w:id="66" w:name="page67"/>
    <w:bookmarkEnd w:id="6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40"/>
        <w:spacing w:after="0" w:line="291" w:lineRule="auto"/>
        <w:rPr>
          <w:sz w:val="20"/>
          <w:szCs w:val="20"/>
          <w:color w:val="auto"/>
        </w:rPr>
      </w:pPr>
      <w:r>
        <w:rPr>
          <w:rFonts w:ascii="Times New Roman" w:cs="Times New Roman" w:eastAsia="Times New Roman" w:hAnsi="Times New Roman"/>
          <w:sz w:val="16"/>
          <w:szCs w:val="16"/>
          <w:color w:val="auto"/>
        </w:rPr>
        <w:t>experience lives. Our institutional-grade platform, born out of ICE, supports “know your customer” (“KYC”), anti-money laundering (“AML”), and other anti-fraud measures to combat financial crime.</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Key Factors Affecting Our Performance</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Attractiveness of Platform</w:t>
      </w:r>
    </w:p>
    <w:p>
      <w:pPr>
        <w:spacing w:after="0" w:line="114" w:lineRule="exact"/>
        <w:rPr>
          <w:sz w:val="20"/>
          <w:szCs w:val="20"/>
          <w:color w:val="auto"/>
        </w:rPr>
      </w:pPr>
    </w:p>
    <w:p>
      <w:pPr>
        <w:ind w:left="620" w:right="40"/>
        <w:spacing w:after="0" w:line="267" w:lineRule="auto"/>
        <w:rPr>
          <w:sz w:val="20"/>
          <w:szCs w:val="20"/>
          <w:color w:val="auto"/>
        </w:rPr>
      </w:pPr>
      <w:r>
        <w:rPr>
          <w:rFonts w:ascii="Times New Roman" w:cs="Times New Roman" w:eastAsia="Times New Roman" w:hAnsi="Times New Roman"/>
          <w:sz w:val="16"/>
          <w:szCs w:val="16"/>
          <w:color w:val="auto"/>
        </w:rPr>
        <w:t>We primarily generate revenue when users of our platform buy, sell, convert, spend and send digital assets through the platform, and our success depends in part on transaction volume. Business growth will come from growing users and the transaction fees associated with users buying, selling, converting and spending with digital assets, and the margin earned in connection with consumer purchases and the sale of cryptoassets. We will look to grow our base of active and transacting users to grow these revenue streams.</w:t>
      </w:r>
    </w:p>
    <w:p>
      <w:pPr>
        <w:spacing w:after="0" w:line="162" w:lineRule="exact"/>
        <w:rPr>
          <w:sz w:val="20"/>
          <w:szCs w:val="20"/>
          <w:color w:val="auto"/>
        </w:rPr>
      </w:pPr>
    </w:p>
    <w:p>
      <w:pPr>
        <w:ind w:left="620"/>
        <w:spacing w:after="0" w:line="258" w:lineRule="auto"/>
        <w:rPr>
          <w:sz w:val="20"/>
          <w:szCs w:val="20"/>
          <w:color w:val="auto"/>
        </w:rPr>
      </w:pPr>
      <w:r>
        <w:rPr>
          <w:rFonts w:ascii="Times New Roman" w:cs="Times New Roman" w:eastAsia="Times New Roman" w:hAnsi="Times New Roman"/>
          <w:sz w:val="16"/>
          <w:szCs w:val="16"/>
          <w:color w:val="auto"/>
        </w:rPr>
        <w:t>In addition, growing partners on our platform increases our ability to grow revenue streams. To date, management has been focused on building through partners within a business-to-business-to-consumer (“B2B2C”) model. Our goal is to provide these partners opportunities to leverage our capabilities either through their existing environment or by leveraging our platform. Expanding the platform capabilities leveraged by our partner set, as well as expanding with new partners, will be key to our business and revenue growth. We expect that revenues related to loyalty redemption transactions, cryptoasset trades, subscriptions and services will be significant drivers of our business. The risks and uncertainties related to each such revenue generating activity are largely the same. Specifically, to the extent we are unable to grow our partner base and/or organically grow our active and transacting user base (who buy, sell, convert and spend with digital assets, and from whom we can earn the margin paid in connection with consumer purchases and sale of cryptoassets), or to the extent the cost of such growth (including our average customer acquisition cost) is greater than we anticipate, the corresponding growth of our business may occur more slowly than we expect, or may not occur at all. Our ability to execute on our business plan is dependent on successfully executing on several key components of our business, principally including: (i) the technological success of our platform; (ii) the integration of our platform with the platforms of our partners; (iii) growth in the number and diversity of the loyalty brands, associated merchants and retailers, and cryptocurrencies and other digital assets that we support; and (iv) our resulting ability to create a network effect with growth in active and transacting users.</w:t>
      </w:r>
    </w:p>
    <w:p>
      <w:pPr>
        <w:spacing w:after="0" w:line="2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Regulations in U.S. markets</w:t>
      </w:r>
    </w:p>
    <w:p>
      <w:pPr>
        <w:spacing w:after="0" w:line="114" w:lineRule="exact"/>
        <w:rPr>
          <w:sz w:val="20"/>
          <w:szCs w:val="20"/>
          <w:color w:val="auto"/>
        </w:rPr>
      </w:pPr>
    </w:p>
    <w:p>
      <w:pPr>
        <w:ind w:left="620" w:right="20"/>
        <w:spacing w:after="0" w:line="264" w:lineRule="auto"/>
        <w:rPr>
          <w:sz w:val="20"/>
          <w:szCs w:val="20"/>
          <w:color w:val="auto"/>
        </w:rPr>
      </w:pPr>
      <w:r>
        <w:rPr>
          <w:rFonts w:ascii="Times New Roman" w:cs="Times New Roman" w:eastAsia="Times New Roman" w:hAnsi="Times New Roman"/>
          <w:sz w:val="16"/>
          <w:szCs w:val="16"/>
          <w:color w:val="auto"/>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65" w:lineRule="exact"/>
        <w:rPr>
          <w:sz w:val="20"/>
          <w:szCs w:val="20"/>
          <w:color w:val="auto"/>
        </w:rPr>
      </w:pPr>
    </w:p>
    <w:p>
      <w:pPr>
        <w:ind w:left="620" w:right="120"/>
        <w:spacing w:after="0" w:line="273" w:lineRule="auto"/>
        <w:rPr>
          <w:sz w:val="20"/>
          <w:szCs w:val="20"/>
          <w:color w:val="auto"/>
        </w:rPr>
      </w:pPr>
      <w:r>
        <w:rPr>
          <w:rFonts w:ascii="Times New Roman" w:cs="Times New Roman" w:eastAsia="Times New Roman" w:hAnsi="Times New Roman"/>
          <w:sz w:val="16"/>
          <w:szCs w:val="16"/>
          <w:color w:val="auto"/>
        </w:rPr>
        <w:t>We are seeking to bring trust and transparency to digital assets.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57"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16"/>
          <w:szCs w:val="16"/>
          <w:color w:val="auto"/>
        </w:rPr>
        <w:t>We continue to work with regulators to address the emerging global landscape for digital assets. As investment continues, the intersection of technology and finance will require ongoing engagement as new applications emerge. Digital assets and distributed ledger technology have significant, positive potential with proper collaboration between industry and regulators.</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0560"/>
          </w:cols>
          <w:pgMar w:left="320" w:top="453" w:right="1019" w:bottom="1440" w:gutter="0" w:footer="0" w:header="0"/>
        </w:sectPr>
      </w:pPr>
    </w:p>
    <w:bookmarkStart w:id="67" w:name="page68"/>
    <w:bookmarkEnd w:id="6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COVID-19 Impacts</w:t>
      </w:r>
    </w:p>
    <w:p>
      <w:pPr>
        <w:spacing w:after="0" w:line="114" w:lineRule="exact"/>
        <w:rPr>
          <w:sz w:val="20"/>
          <w:szCs w:val="20"/>
          <w:color w:val="auto"/>
        </w:rPr>
      </w:pPr>
    </w:p>
    <w:p>
      <w:pPr>
        <w:ind w:left="620" w:right="20"/>
        <w:spacing w:after="0" w:line="262" w:lineRule="auto"/>
        <w:rPr>
          <w:sz w:val="20"/>
          <w:szCs w:val="20"/>
          <w:color w:val="auto"/>
        </w:rPr>
      </w:pPr>
      <w:r>
        <w:rPr>
          <w:rFonts w:ascii="Times New Roman" w:cs="Times New Roman" w:eastAsia="Times New Roman" w:hAnsi="Times New Roman"/>
          <w:sz w:val="16"/>
          <w:szCs w:val="16"/>
          <w:color w:val="auto"/>
        </w:rPr>
        <w:t>In March 2020, the World Health Organization declared the COVID-19 outbreak a global pandemic. The COVID-19 pandemic has adversely affected global economic activity and, in 2020, contributed to significant declines and volatility in financial markets. The COVID-19 pandemic had an impact on our business during the year ended December 31, 2020, primarily in that it (i) decreased revenue from our loyalty and travel businesses, and</w:t>
      </w:r>
    </w:p>
    <w:p>
      <w:pPr>
        <w:spacing w:after="0" w:line="1" w:lineRule="exact"/>
        <w:rPr>
          <w:sz w:val="20"/>
          <w:szCs w:val="20"/>
          <w:color w:val="auto"/>
        </w:rPr>
      </w:pPr>
    </w:p>
    <w:p>
      <w:pPr>
        <w:ind w:left="620" w:right="380" w:firstLine="3"/>
        <w:spacing w:after="0" w:line="263" w:lineRule="auto"/>
        <w:tabs>
          <w:tab w:leader="none" w:pos="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impacted our ability to expand our relationships with existing loyalty partners, and to conclude relationships with new loyalty partners, whose businesses similarly have been adversely affected by the pandemic. For the year ended December 31, 2021, our business operations have started to recover from the impacts of the pandemic, and revenue from the loyalty and travel business has also started to recover.</w:t>
      </w:r>
    </w:p>
    <w:p>
      <w:pPr>
        <w:spacing w:after="0" w:line="2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w:t>
      </w:r>
    </w:p>
    <w:p>
      <w:pPr>
        <w:spacing w:after="0" w:line="114" w:lineRule="exact"/>
        <w:rPr>
          <w:sz w:val="20"/>
          <w:szCs w:val="20"/>
          <w:color w:val="auto"/>
        </w:rPr>
      </w:pPr>
    </w:p>
    <w:p>
      <w:pPr>
        <w:ind w:left="620" w:right="40"/>
        <w:spacing w:after="0" w:line="264" w:lineRule="auto"/>
        <w:rPr>
          <w:sz w:val="20"/>
          <w:szCs w:val="20"/>
          <w:color w:val="auto"/>
        </w:rPr>
      </w:pPr>
      <w:r>
        <w:rPr>
          <w:rFonts w:ascii="Times New Roman" w:cs="Times New Roman" w:eastAsia="Times New Roman" w:hAnsi="Times New Roman"/>
          <w:sz w:val="16"/>
          <w:szCs w:val="16"/>
          <w:color w:val="auto"/>
        </w:rPr>
        <w:t>On October 15, 2021, Bakkt (f/k/a VPC Impact Acquisition Holdings, a Cayman Islands exempted company (“VIH”)) and VIH completed the Business Combination contemplated by the Merger Agreement. Pursuant to the Merger Agreement, VIH acquired a majority voting interest in Bakkt Opco Holdings, LLC (“Opco”) through a series of mergers, with Opco becoming a direct subsidiary of VIH. In connection with the completion of the Business Combination, VIH changed its jurisdiction of incorporation from the Cayman Islands to the State of Delaware and changed its name to “Bakkt Holdings, Inc.”</w:t>
      </w:r>
    </w:p>
    <w:p>
      <w:pPr>
        <w:spacing w:after="0" w:line="165" w:lineRule="exact"/>
        <w:rPr>
          <w:sz w:val="20"/>
          <w:szCs w:val="20"/>
          <w:color w:val="auto"/>
        </w:rPr>
      </w:pPr>
    </w:p>
    <w:p>
      <w:pPr>
        <w:jc w:val="both"/>
        <w:ind w:left="620" w:right="120"/>
        <w:spacing w:after="0" w:line="273" w:lineRule="auto"/>
        <w:rPr>
          <w:sz w:val="20"/>
          <w:szCs w:val="20"/>
          <w:color w:val="auto"/>
        </w:rPr>
      </w:pPr>
      <w:r>
        <w:rPr>
          <w:rFonts w:ascii="Times New Roman" w:cs="Times New Roman" w:eastAsia="Times New Roman" w:hAnsi="Times New Roman"/>
          <w:sz w:val="16"/>
          <w:szCs w:val="16"/>
          <w:color w:val="auto"/>
        </w:rPr>
        <w:t>The Business Combination resulted in Bakkt continuing as the surviving entity and being organized as an umbrella partnership corporation, or “up-C,” structure in which substantially all our assets and business are held by Opco and its subsidiaries, with the existing owners of Opco being considered as noncontrolling interests in the audited consolidated financial statements.</w:t>
      </w:r>
    </w:p>
    <w:p>
      <w:pPr>
        <w:spacing w:after="0" w:line="157" w:lineRule="exact"/>
        <w:rPr>
          <w:sz w:val="20"/>
          <w:szCs w:val="20"/>
          <w:color w:val="auto"/>
        </w:rPr>
      </w:pPr>
    </w:p>
    <w:p>
      <w:pPr>
        <w:ind w:left="620"/>
        <w:spacing w:after="0" w:line="259" w:lineRule="auto"/>
        <w:rPr>
          <w:sz w:val="20"/>
          <w:szCs w:val="20"/>
          <w:color w:val="auto"/>
        </w:rPr>
      </w:pPr>
      <w:r>
        <w:rPr>
          <w:rFonts w:ascii="Times New Roman" w:cs="Times New Roman" w:eastAsia="Times New Roman" w:hAnsi="Times New Roman"/>
          <w:sz w:val="16"/>
          <w:szCs w:val="16"/>
          <w:color w:val="auto"/>
        </w:rPr>
        <w:t>Upon completion of the Business Combination, VIH was deemed the accounting acquirer and Opco the accounting acquiree. Under the acquisition method of accounting, VIH’s assets and liabilities retained their carrying values and the assets and liabilities associated with Opco were recorded at their fair values measured as of the acquisition date. The excess of the purchase price over the estimated fair values of the net assets acquired was recorded as goodwill. In connection with the Business Combination, all outstanding membership interests and rights to acquire membership interests in Opco were exchanged for an aggregate of 208,200,000 Opco Common Units and an equal number of newly issued shares of our Class V common stock, par value $0.0001 per share (“Class V common stock”), which are non-economic, voting shares of the Company, of which 207,406,648 are outstanding and 793,352 reserved for issuance upon the exercise of a warrant agreement.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Exchange Agreement between the Company and certain holders of Bakkt Common Units, dated as of October 15, 2021. Following the Closing, the Company owned approximately 20.3% of the Opco Common Units and with the remaining Opco Common Units being owned by the equity owners of Opco prior to the Merger.</w:t>
      </w:r>
    </w:p>
    <w:p>
      <w:pPr>
        <w:spacing w:after="0" w:line="169" w:lineRule="exact"/>
        <w:rPr>
          <w:sz w:val="20"/>
          <w:szCs w:val="20"/>
          <w:color w:val="auto"/>
        </w:rPr>
      </w:pPr>
    </w:p>
    <w:p>
      <w:pPr>
        <w:ind w:left="620" w:right="180"/>
        <w:spacing w:after="0" w:line="291" w:lineRule="auto"/>
        <w:rPr>
          <w:sz w:val="20"/>
          <w:szCs w:val="20"/>
          <w:color w:val="auto"/>
        </w:rPr>
      </w:pPr>
      <w:r>
        <w:rPr>
          <w:rFonts w:ascii="Times New Roman" w:cs="Times New Roman" w:eastAsia="Times New Roman" w:hAnsi="Times New Roman"/>
          <w:sz w:val="16"/>
          <w:szCs w:val="16"/>
          <w:color w:val="auto"/>
        </w:rPr>
        <w:t>As a result of the Business Combination, our financial results are broken out between the Predecessor periods (January 1, 2020 through December 31, 2020 and January 1, 2021 through October 14, 2021) and the Successor period (October 15, 2021 through December 31, 2021).</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Our Corporate Structure</w:t>
      </w:r>
    </w:p>
    <w:p>
      <w:pPr>
        <w:spacing w:after="0" w:line="114" w:lineRule="exact"/>
        <w:rPr>
          <w:sz w:val="20"/>
          <w:szCs w:val="20"/>
          <w:color w:val="auto"/>
        </w:rPr>
      </w:pPr>
    </w:p>
    <w:p>
      <w:pPr>
        <w:ind w:left="620" w:right="20"/>
        <w:spacing w:after="0" w:line="267" w:lineRule="auto"/>
        <w:rPr>
          <w:sz w:val="20"/>
          <w:szCs w:val="20"/>
          <w:color w:val="auto"/>
        </w:rPr>
      </w:pPr>
      <w:r>
        <w:rPr>
          <w:rFonts w:ascii="Times New Roman" w:cs="Times New Roman" w:eastAsia="Times New Roman" w:hAnsi="Times New Roman"/>
          <w:sz w:val="16"/>
          <w:szCs w:val="16"/>
          <w:color w:val="auto"/>
        </w:rPr>
        <w:t>We own and consolidate entities formed during the year ended December 31, 2019, including Bakkt Trust and Bakkt Marketplace. We also own and consolidate entities that were acquired during the year ended December 31, 2019, including DACC Technologies, Inc., Digital Asset Custody Company, Inc. (collectively with DACC Technologies, Inc., “DACC”), and Bakkt Clearing, LLC (“Bakkt Clearing”), formerly known as Rosenthal Collins Group, L.L.C. We continued to operate these entities through fiscal year 2021 and also acquired Bridge2 Solutions in February 2020.</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0600"/>
          </w:cols>
          <w:pgMar w:left="320" w:top="453" w:right="979" w:bottom="1440" w:gutter="0" w:footer="0" w:header="0"/>
        </w:sectPr>
      </w:pPr>
    </w:p>
    <w:bookmarkStart w:id="68" w:name="page69"/>
    <w:bookmarkEnd w:id="6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color w:val="auto"/>
        </w:rPr>
        <w:t>Bakkt Trust is a New York limited-purpose trust company that is chartered by and subject to the supervision and oversight of the NYDFS. In September 2019, Bakkt Trust, along with IFUS and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has been approved by the NYDFS to offer non-trading- related, standalone custody of bitcoin and ether to institutions and certain high net worth individuals in cryptoassets, subject to NYDFS regulatory oversight.</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below graphic illustrates the structure of the physically-delivered bitcoin futures and options and custody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158115</wp:posOffset>
            </wp:positionV>
            <wp:extent cx="4669790" cy="267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669790" cy="267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Bakkt Marketplace has created an integrated platform that enables consumers and enterprises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0560"/>
          </w:cols>
          <w:pgMar w:left="320" w:top="453" w:right="1019" w:bottom="1440" w:gutter="0" w:footer="0" w:header="0"/>
        </w:sectPr>
      </w:pPr>
    </w:p>
    <w:bookmarkStart w:id="69" w:name="page70"/>
    <w:bookmarkEnd w:id="6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60"/>
        <w:spacing w:after="0" w:line="291" w:lineRule="auto"/>
        <w:rPr>
          <w:sz w:val="20"/>
          <w:szCs w:val="20"/>
          <w:color w:val="auto"/>
        </w:rPr>
      </w:pPr>
      <w:r>
        <w:rPr>
          <w:rFonts w:ascii="Times New Roman" w:cs="Times New Roman" w:eastAsia="Times New Roman" w:hAnsi="Times New Roman"/>
          <w:sz w:val="16"/>
          <w:szCs w:val="16"/>
          <w:color w:val="auto"/>
        </w:rPr>
        <w:t>of the United States Department of the Treasury. Bakkt Trust’s custody solution provides support to Bakkt Marketplace with respect to bitcoin and ether functionality within the consumer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116205</wp:posOffset>
            </wp:positionV>
            <wp:extent cx="4669790" cy="24047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69790" cy="240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20" w:right="80"/>
        <w:spacing w:after="0" w:line="291" w:lineRule="auto"/>
        <w:rPr>
          <w:sz w:val="20"/>
          <w:szCs w:val="20"/>
          <w:color w:val="auto"/>
        </w:rPr>
      </w:pPr>
      <w:r>
        <w:rPr>
          <w:rFonts w:ascii="Times New Roman" w:cs="Times New Roman" w:eastAsia="Times New Roman" w:hAnsi="Times New Roman"/>
          <w:sz w:val="16"/>
          <w:szCs w:val="16"/>
          <w:color w:val="auto"/>
        </w:rPr>
        <w:t>Bakkt Clearing is registered as a futures commission merchant (“FCM”) with the Commodity Futures Trading Commission (“CFTC”) and a member of the National Futures Association (“NFA”).</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Bakkt’s white label loyalty redemption platform is largely carried on by its subsidiary, Bridge2 Solutions, LLC, which Bakkt acquired in February 2020.</w:t>
      </w:r>
    </w:p>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Our Relationship with ICE and the Triparty Agreement</w:t>
      </w:r>
    </w:p>
    <w:p>
      <w:pPr>
        <w:spacing w:after="0" w:line="114"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color w:val="auto"/>
        </w:rPr>
        <w:t>Prior to the consummation of the Business Combination, we were an indirect majority-owned subsidiary of ICE. ICE is a global market infrastructure provider with a history of developing and implementing leading technologies. ICE operates exchanges, clearinghouses, and listing venues for the financial markets alongside offering data-driven technology services to support the trading, lending, investment, risk management, and connectivity needs of customers. In building our platform, ICE and minority investors contributed capital and assets valued at approximately $483 million prior to the Business Combination, leveraging ICE’s leading competency of creating and operating market infrastructure. Upon our formation, ICE made a cash capital contribution and granted us the right to access ICE’s existing futures and clearing platforms.</w:t>
      </w:r>
    </w:p>
    <w:p>
      <w:pPr>
        <w:spacing w:after="0" w:line="163" w:lineRule="exact"/>
        <w:rPr>
          <w:sz w:val="20"/>
          <w:szCs w:val="20"/>
          <w:color w:val="auto"/>
        </w:rPr>
      </w:pPr>
    </w:p>
    <w:p>
      <w:pPr>
        <w:ind w:left="620" w:right="120"/>
        <w:spacing w:after="0" w:line="259" w:lineRule="auto"/>
        <w:rPr>
          <w:sz w:val="20"/>
          <w:szCs w:val="20"/>
          <w:color w:val="auto"/>
        </w:rPr>
      </w:pPr>
      <w:r>
        <w:rPr>
          <w:rFonts w:ascii="Times New Roman" w:cs="Times New Roman" w:eastAsia="Times New Roman" w:hAnsi="Times New Roman"/>
          <w:sz w:val="16"/>
          <w:szCs w:val="16"/>
          <w:color w:val="auto"/>
        </w:rPr>
        <w:t>ICE also partners with us with respect to certain institutional product offerings. For instance, the PDF Contracts that are traded on IFUS and cleared on ICUS pursuant to the Triparty Agreement. In this regard, Bakkt Trust provides a stand-ready custody function that supports the trading and clearing services as required for the parties that trade PDF Contracts (“PDF Contract Traders”) so that IFUS can execute its trading services and ICUS can clear and arrange for the settlement of the PDF Contracts. Bakkt Trust’s obligation to provide a stand-ready custody function includes related promises such as: (i) the initial onboarding of PDF Contract Traders to the custody warehouse, which represents the commencement of the custody services;</w:t>
      </w:r>
    </w:p>
    <w:p>
      <w:pPr>
        <w:spacing w:after="0" w:line="3" w:lineRule="exact"/>
        <w:rPr>
          <w:sz w:val="20"/>
          <w:szCs w:val="20"/>
          <w:color w:val="auto"/>
        </w:rPr>
      </w:pPr>
    </w:p>
    <w:p>
      <w:pPr>
        <w:jc w:val="both"/>
        <w:ind w:left="620" w:right="180" w:firstLine="3"/>
        <w:spacing w:after="0" w:line="261" w:lineRule="auto"/>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the execution and settlement of the PDF Contract; (iv) verifying account</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0620"/>
          </w:cols>
          <w:pgMar w:left="320" w:top="453" w:right="959" w:bottom="1440" w:gutter="0" w:footer="0" w:header="0"/>
        </w:sectPr>
      </w:pPr>
    </w:p>
    <w:bookmarkStart w:id="70" w:name="page71"/>
    <w:bookmarkEnd w:id="7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60"/>
        <w:spacing w:after="0" w:line="260" w:lineRule="auto"/>
        <w:rPr>
          <w:sz w:val="20"/>
          <w:szCs w:val="20"/>
          <w:color w:val="auto"/>
        </w:rPr>
      </w:pPr>
      <w:r>
        <w:rPr>
          <w:rFonts w:ascii="Times New Roman" w:cs="Times New Roman" w:eastAsia="Times New Roman" w:hAnsi="Times New Roman"/>
          <w:sz w:val="16"/>
          <w:szCs w:val="16"/>
          <w:color w:val="auto"/>
        </w:rPr>
        <w:t>balances of PDF Contract Traders as their PDF Contracts approach expiration; (v) making transfers between PDF Contract Traders as instructed by ICUS when the PDF Contracts reach expiration; and (vi) permitting withdrawals of bitcoin as directed by PDF Contract Traders. Under the Triparty Agreement, IFUS and ICUS pay to Bakkt Trust the trading and clearing fees collected by IFUS and ICUS with respect to those PDF Contracts net of incentives and rebates. As is typical of new trading products, IFUS and ICUS have instituted such incentives and rebates in an effort to incentivize the trading volume of PDF Contracts. In particular, IFUS offers rebates to support market liquidity and trading volume, which provides qualified PDF Contract Traders with a discount to the applicable transaction fee. Bakkt is responsible for paying for all rebates and incentives, even if these amounts exceed the gross revenues from the Triparty Agreement. These incentives and rebates have resulted in negative revenue to Bakkt under the Triparty Agreement.</w:t>
      </w:r>
    </w:p>
    <w:p>
      <w:pPr>
        <w:spacing w:after="0" w:line="170" w:lineRule="exact"/>
        <w:rPr>
          <w:sz w:val="20"/>
          <w:szCs w:val="20"/>
          <w:color w:val="auto"/>
        </w:rPr>
      </w:pPr>
    </w:p>
    <w:p>
      <w:pPr>
        <w:ind w:left="620" w:right="60"/>
        <w:spacing w:after="0" w:line="260" w:lineRule="auto"/>
        <w:rPr>
          <w:sz w:val="20"/>
          <w:szCs w:val="20"/>
          <w:color w:val="auto"/>
        </w:rPr>
      </w:pPr>
      <w:r>
        <w:rPr>
          <w:rFonts w:ascii="Times New Roman" w:cs="Times New Roman" w:eastAsia="Times New Roman" w:hAnsi="Times New Roman"/>
          <w:sz w:val="16"/>
          <w:szCs w:val="16"/>
          <w:color w:val="auto"/>
        </w:rPr>
        <w:t>The Bakkt Warehouse was built on the principle that a truly institutional-grade custody operation is a crucial first step in broadening institutional acceptance of cryptoassets. As illustrated above, several institutional trading products, such as the PDF Contracts, require custody as an integral part of their value proposition, not necessarily because most such contracts go to expiration and require physical delivery (as many such contracts do not), but rather because, in the eyes of many institutional investors, the possibility of physical delivery at maturity makes those contracts a superior method for price discovery of the underlying asset. In our view, much of the historical reluctance of institutional investors to embrace these products is attributable to the lack of well-regulated, highly secure custody operations similar to those typical of more traditional financial products. The Bakkt Warehouse was built to solve this issue, and features the sophisticated security, insurance and regulatory features that institutional trading participants generally expect. However, the institutional cryptoasset market must further mature in order for us to begin achieving positive net revenue from our activities under the Triparty Agreement.</w:t>
      </w:r>
    </w:p>
    <w:p>
      <w:pPr>
        <w:spacing w:after="0" w:line="167"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color w:val="auto"/>
        </w:rPr>
        <w:t>Our cash-settled futures contracts are offered in Singapore pursuant to a similar arrangement with ICE subsidiaries. Pursuant to a separate triparty agreement among ICE Futures Singapore (“IFS”), ICE Clear Singapore (“ICS”) and Bakkt, IFS and ICS provide trade execution and clearing services to customers that trade the cash-settled futures contracts. As these contracts are settled in cash (rather than by physical delivery of bitcoin), no custody function is necessary; as such, Bakkt provides to IFS and ICS pricing data from its PDF Contracts and also licenses its name to IFS and ICS for use in marketing the cash-settled futures. In return, ICS and IFS pay to Bakkt 35% of the net trading and clearing revenue that they earn with respect to these contracts.</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0600"/>
          </w:cols>
          <w:pgMar w:left="320" w:top="453" w:right="979" w:bottom="1440" w:gutter="0" w:footer="0" w:header="0"/>
        </w:sectPr>
      </w:pPr>
    </w:p>
    <w:bookmarkStart w:id="71" w:name="page72"/>
    <w:bookmarkEnd w:id="7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is our consolidated statements of operations for the Successor period and the Predecessor periods (in thousands):</w:t>
      </w:r>
    </w:p>
    <w:p>
      <w:pPr>
        <w:spacing w:after="0" w:line="227" w:lineRule="exact"/>
        <w:rPr>
          <w:sz w:val="20"/>
          <w:szCs w:val="20"/>
          <w:color w:val="auto"/>
        </w:rPr>
      </w:pPr>
    </w:p>
    <w:tbl>
      <w:tblPr>
        <w:tblLayout w:type="fixed"/>
        <w:tblInd w:w="142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restart"/>
          </w:tcPr>
          <w:p>
            <w:pPr>
              <w:jc w:val="center"/>
              <w:ind w:right="219"/>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3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60" w:type="dxa"/>
            <w:vAlign w:val="bottom"/>
          </w:tcPr>
          <w:p>
            <w:pPr>
              <w:spacing w:after="0"/>
              <w:rPr>
                <w:sz w:val="9"/>
                <w:szCs w:val="9"/>
                <w:color w:val="auto"/>
              </w:rPr>
            </w:pPr>
          </w:p>
        </w:tc>
        <w:tc>
          <w:tcPr>
            <w:tcW w:w="320" w:type="dxa"/>
            <w:vAlign w:val="bottom"/>
            <w:tcBorders>
              <w:left w:val="single" w:sz="8" w:color="auto"/>
            </w:tcBorders>
          </w:tcPr>
          <w:p>
            <w:pPr>
              <w:spacing w:after="0"/>
              <w:rPr>
                <w:sz w:val="9"/>
                <w:szCs w:val="9"/>
                <w:color w:val="auto"/>
              </w:rPr>
            </w:pPr>
          </w:p>
        </w:tc>
        <w:tc>
          <w:tcPr>
            <w:tcW w:w="920" w:type="dxa"/>
            <w:vAlign w:val="bottom"/>
            <w:tcBorders>
              <w:top w:val="single" w:sz="8" w:color="auto"/>
            </w:tcBorders>
            <w:gridSpan w:val="3"/>
          </w:tcPr>
          <w:p>
            <w:pPr>
              <w:jc w:val="center"/>
              <w:ind w:right="199"/>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2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2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Pr>
          <w:p>
            <w:pPr>
              <w:spacing w:after="0"/>
              <w:rPr>
                <w:sz w:val="11"/>
                <w:szCs w:val="11"/>
                <w:color w:val="auto"/>
              </w:rPr>
            </w:pPr>
          </w:p>
        </w:tc>
        <w:tc>
          <w:tcPr>
            <w:tcW w:w="3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vMerge w:val="restart"/>
          </w:tcPr>
          <w:p>
            <w:pPr>
              <w:jc w:val="center"/>
              <w:ind w:right="59"/>
              <w:spacing w:after="0"/>
              <w:rPr>
                <w:sz w:val="20"/>
                <w:szCs w:val="20"/>
                <w:color w:val="auto"/>
              </w:rPr>
            </w:pPr>
            <w:r>
              <w:rPr>
                <w:rFonts w:ascii="Times New Roman" w:cs="Times New Roman" w:eastAsia="Times New Roman" w:hAnsi="Times New Roman"/>
                <w:sz w:val="13"/>
                <w:szCs w:val="13"/>
                <w:b w:val="1"/>
                <w:bCs w:val="1"/>
                <w:color w:val="auto"/>
                <w:w w:val="96"/>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19"/>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3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79"/>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2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620" w:type="dxa"/>
            <w:vAlign w:val="bottom"/>
            <w:gridSpan w:val="4"/>
          </w:tcPr>
          <w:p>
            <w:pPr>
              <w:jc w:val="center"/>
              <w:ind w:left="464"/>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Borders>
              <w:left w:val="single" w:sz="8" w:color="auto"/>
            </w:tcBorders>
          </w:tcPr>
          <w:p>
            <w:pPr>
              <w:spacing w:after="0"/>
              <w:rPr>
                <w:sz w:val="11"/>
                <w:szCs w:val="11"/>
                <w:color w:val="auto"/>
              </w:rPr>
            </w:pPr>
          </w:p>
        </w:tc>
        <w:tc>
          <w:tcPr>
            <w:tcW w:w="920" w:type="dxa"/>
            <w:vAlign w:val="bottom"/>
            <w:gridSpan w:val="3"/>
          </w:tcPr>
          <w:p>
            <w:pPr>
              <w:jc w:val="center"/>
              <w:ind w:right="199"/>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1040" w:type="dxa"/>
            <w:vAlign w:val="bottom"/>
            <w:gridSpan w:val="4"/>
          </w:tcPr>
          <w:p>
            <w:pPr>
              <w:jc w:val="center"/>
              <w:ind w:left="6"/>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8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Borders>
              <w:bottom w:val="single" w:sz="8" w:color="CCEEFF"/>
            </w:tcBorders>
          </w:tcPr>
          <w:p>
            <w:pPr>
              <w:spacing w:after="0"/>
              <w:rPr>
                <w:sz w:val="13"/>
                <w:szCs w:val="13"/>
                <w:color w:val="auto"/>
              </w:rPr>
            </w:pPr>
          </w:p>
        </w:tc>
        <w:tc>
          <w:tcPr>
            <w:tcW w:w="320" w:type="dxa"/>
            <w:vAlign w:val="bottom"/>
            <w:tcBorders>
              <w:left w:val="single" w:sz="8" w:color="auto"/>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Revenues:</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Net revenues</w:t>
            </w:r>
            <w:r>
              <w:rPr>
                <w:rFonts w:ascii="Times New Roman" w:cs="Times New Roman" w:eastAsia="Times New Roman" w:hAnsi="Times New Roman"/>
                <w:sz w:val="22"/>
                <w:szCs w:val="22"/>
                <w:color w:val="auto"/>
                <w:vertAlign w:val="superscript"/>
              </w:rPr>
              <w:t>(1)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11,481</w:t>
            </w:r>
          </w:p>
        </w:tc>
        <w:tc>
          <w:tcPr>
            <w:tcW w:w="160" w:type="dxa"/>
            <w:vAlign w:val="bottom"/>
          </w:tcPr>
          <w:p>
            <w:pPr>
              <w:spacing w:after="0"/>
              <w:rPr>
                <w:sz w:val="17"/>
                <w:szCs w:val="17"/>
                <w:color w:val="auto"/>
              </w:rPr>
            </w:pPr>
          </w:p>
        </w:tc>
        <w:tc>
          <w:tcPr>
            <w:tcW w:w="40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27,956</w:t>
            </w:r>
          </w:p>
        </w:tc>
        <w:tc>
          <w:tcPr>
            <w:tcW w:w="240" w:type="dxa"/>
            <w:vAlign w:val="bottom"/>
          </w:tcPr>
          <w:p>
            <w:pPr>
              <w:spacing w:after="0"/>
              <w:rPr>
                <w:sz w:val="17"/>
                <w:szCs w:val="17"/>
                <w:color w:val="auto"/>
              </w:rPr>
            </w:pP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and benefits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62,180</w:t>
            </w: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91,275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services</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8,521</w:t>
            </w: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w:t>
            </w: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Related party expenses (affiliate in Predecessor periods)</w:t>
            </w:r>
            <w:r>
              <w:rPr>
                <w:rFonts w:ascii="Times New Roman" w:cs="Times New Roman" w:eastAsia="Times New Roman" w:hAnsi="Times New Roman"/>
                <w:sz w:val="22"/>
                <w:szCs w:val="22"/>
                <w:color w:val="auto"/>
                <w:vertAlign w:val="superscript"/>
              </w:rPr>
              <w:t>(2)</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7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86,027</w:t>
            </w: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168,017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107,614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(74,546)</w:t>
            </w: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98"/>
              </w:rPr>
              <w:t>(140,061)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(79,119)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(247)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Loss from change in fair value of warrant liability</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(79,373)</w:t>
            </w: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01"/>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7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(153,076)</w:t>
            </w: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(139,821)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(11,751)</w:t>
            </w: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05"/>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(164,827</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left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(139,219</w:t>
            </w:r>
          </w:p>
        </w:tc>
        <w:tc>
          <w:tcPr>
            <w:tcW w:w="24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(79,605</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(120,832)</w:t>
            </w: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attributable to Bakkt Holdings, Inc.</w:t>
            </w:r>
          </w:p>
        </w:tc>
        <w:tc>
          <w:tcPr>
            <w:tcW w:w="7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(43,995)</w:t>
            </w: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attributable to Bakkt Holdings, Inc.</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stockholders per share:</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(0.81)</w:t>
            </w: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color w:val="auto"/>
              </w:rPr>
              <w:t>(3 )</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1020" w:right="120" w:hanging="397"/>
        <w:spacing w:after="0" w:line="262" w:lineRule="auto"/>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for periods from October 15, 2021 through December 31, 2021 and January 1, 2021 through October 14, 2021, and the year ended December 31, 2020, includes net revenues from related party of $0.1 million, and net revenues from affiliate of $0.1 million and $(2.0) million, respectively.</w:t>
      </w:r>
    </w:p>
    <w:p>
      <w:pPr>
        <w:spacing w:after="0" w:line="1"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Business Combination, ICE and its affiliates are no longer our affiliates.</w:t>
      </w:r>
    </w:p>
    <w:p>
      <w:pPr>
        <w:spacing w:after="0" w:line="12"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Basic and diluted loss per share is not presented for the Predecessor periods due to lack of comparability with the Successor period.</w:t>
      </w:r>
    </w:p>
    <w:p>
      <w:pPr>
        <w:spacing w:after="0" w:line="193"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The comparability of our operating results for the periods from October 15, 2021 through December 31, 2021 and January 1, 2021 through October 14, 2021 as compared to the fiscal year ended December 31, 2020 was impacted by the Business Combination in October 2021. We have prepared our discussion of the results of operations by comparing the results of the combined year ended December 31, 2021, comprising the Successor period from October 15, 2021 through December 31, 2021 and the Predecessor period from January 1, 2021</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0500"/>
          </w:cols>
          <w:pgMar w:left="320" w:top="453" w:right="1079" w:bottom="1440" w:gutter="0" w:footer="0" w:header="0"/>
        </w:sectPr>
      </w:pPr>
    </w:p>
    <w:bookmarkStart w:id="72" w:name="page73"/>
    <w:bookmarkEnd w:id="7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40"/>
        <w:spacing w:after="0" w:line="264" w:lineRule="auto"/>
        <w:rPr>
          <w:sz w:val="20"/>
          <w:szCs w:val="20"/>
          <w:color w:val="auto"/>
        </w:rPr>
      </w:pPr>
      <w:r>
        <w:rPr>
          <w:rFonts w:ascii="Times New Roman" w:cs="Times New Roman" w:eastAsia="Times New Roman" w:hAnsi="Times New Roman"/>
          <w:sz w:val="16"/>
          <w:szCs w:val="16"/>
          <w:color w:val="auto"/>
        </w:rPr>
        <w:t>through October 14, 2021 (together, the “combined 2021 period”), and the year ended December 31, 2020. We believe this approach provides the most meaningful basis of comparison and is more useful than a separate analysis of the Predecessor and Successor periods of 2021 in identifying current business trends for the periods presented. The amounts relating to the combined 2021 period included in our discussion below are not considered to be prepared in accordance with U.S. GAAP and have not been prepared as pro forma results under applicable regulations. This should not be viewed as a substitute for the results of operations of the Predecessor and Successor periods presented in accordance with U.S. GAAP.</w:t>
      </w:r>
    </w:p>
    <w:p>
      <w:pPr>
        <w:spacing w:after="0" w:line="259" w:lineRule="exact"/>
        <w:rPr>
          <w:sz w:val="20"/>
          <w:szCs w:val="20"/>
          <w:color w:val="auto"/>
        </w:rPr>
      </w:pPr>
    </w:p>
    <w:p>
      <w:pPr>
        <w:ind w:left="620" w:right="22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October 15, 2021 through December 31, 2021 (Successor) and January 1, 2021 through October 14, 2021 (Predecessor) Compared to Year Ended December 31, 2020 (Predecessor)</w:t>
      </w:r>
    </w:p>
    <w:p>
      <w:pPr>
        <w:spacing w:after="0" w:line="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Financial Summary</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combined 2021 period included the following notable items:</w:t>
      </w:r>
    </w:p>
    <w:p>
      <w:pPr>
        <w:spacing w:after="0" w:line="122" w:lineRule="exact"/>
        <w:rPr>
          <w:sz w:val="20"/>
          <w:szCs w:val="20"/>
          <w:color w:val="auto"/>
        </w:rPr>
      </w:pPr>
    </w:p>
    <w:p>
      <w:pPr>
        <w:ind w:left="1500" w:right="440" w:hanging="387"/>
        <w:spacing w:after="0" w:line="291" w:lineRule="auto"/>
        <w:tabs>
          <w:tab w:leader="none" w:pos="1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increased 38%, primarily driven by higher transaction revenue in our Loyalty platform as COVID-19 impacts subsided and higher subscription and service revenue from expansion of services for an existing Loyalty customer;</w:t>
      </w:r>
    </w:p>
    <w:p>
      <w:pPr>
        <w:spacing w:after="0" w:line="56" w:lineRule="exact"/>
        <w:rPr>
          <w:rFonts w:ascii="Times New Roman" w:cs="Times New Roman" w:eastAsia="Times New Roman" w:hAnsi="Times New Roman"/>
          <w:sz w:val="16"/>
          <w:szCs w:val="16"/>
          <w:color w:val="auto"/>
        </w:rPr>
      </w:pPr>
    </w:p>
    <w:p>
      <w:pPr>
        <w:ind w:left="1500" w:right="100" w:hanging="387"/>
        <w:spacing w:after="0" w:line="273" w:lineRule="auto"/>
        <w:tabs>
          <w:tab w:leader="none" w:pos="1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increased 136%, primarily driven by expenses related to the closing of the Business Combination, increases in headcount to support the projected growth in our business and increased compliance and reporting requirements as a public company, and increased marketing expenses associated with the launch of our consumer platform; and</w:t>
      </w:r>
    </w:p>
    <w:p>
      <w:pPr>
        <w:spacing w:after="0" w:line="70"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was impacted by $79.4 million warrant mark-to-market loss in the Successor period, which had no impact on cash.</w:t>
      </w:r>
    </w:p>
    <w:p>
      <w:pPr>
        <w:spacing w:after="0" w:line="3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8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8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76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80" w:type="dxa"/>
            <w:vAlign w:val="bottom"/>
          </w:tcPr>
          <w:p>
            <w:pPr>
              <w:spacing w:after="0"/>
              <w:rPr>
                <w:sz w:val="9"/>
                <w:szCs w:val="9"/>
                <w:color w:val="auto"/>
              </w:rPr>
            </w:pPr>
          </w:p>
        </w:tc>
        <w:tc>
          <w:tcPr>
            <w:tcW w:w="420" w:type="dxa"/>
            <w:vAlign w:val="bottom"/>
            <w:tcBorders>
              <w:left w:val="single" w:sz="8" w:color="auto"/>
            </w:tcBorders>
          </w:tcPr>
          <w:p>
            <w:pPr>
              <w:spacing w:after="0"/>
              <w:rPr>
                <w:sz w:val="9"/>
                <w:szCs w:val="9"/>
                <w:color w:val="auto"/>
              </w:rPr>
            </w:pPr>
          </w:p>
        </w:tc>
        <w:tc>
          <w:tcPr>
            <w:tcW w:w="1120" w:type="dxa"/>
            <w:vAlign w:val="bottom"/>
            <w:gridSpan w:val="3"/>
          </w:tcPr>
          <w:p>
            <w:pPr>
              <w:jc w:val="center"/>
              <w:ind w:right="48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180" w:type="dxa"/>
            <w:vAlign w:val="bottom"/>
          </w:tcPr>
          <w:p>
            <w:pPr>
              <w:spacing w:after="0"/>
              <w:rPr>
                <w:sz w:val="9"/>
                <w:szCs w:val="9"/>
                <w:color w:val="auto"/>
              </w:rPr>
            </w:pPr>
          </w:p>
        </w:tc>
        <w:tc>
          <w:tcPr>
            <w:tcW w:w="10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4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5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180" w:type="dxa"/>
            <w:vAlign w:val="bottom"/>
          </w:tcPr>
          <w:p>
            <w:pPr>
              <w:spacing w:after="0"/>
              <w:rPr>
                <w:sz w:val="11"/>
                <w:szCs w:val="11"/>
                <w:color w:val="auto"/>
              </w:rPr>
            </w:pPr>
          </w:p>
        </w:tc>
        <w:tc>
          <w:tcPr>
            <w:tcW w:w="1040" w:type="dxa"/>
            <w:vAlign w:val="bottom"/>
            <w:gridSpan w:val="2"/>
          </w:tcPr>
          <w:p>
            <w:pPr>
              <w:jc w:val="center"/>
              <w:ind w:right="6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u w:val="single" w:color="auto"/>
                <w:color w:val="auto"/>
                <w:w w:val="99"/>
              </w:rPr>
              <w:t>(</w:t>
            </w:r>
            <w:r>
              <w:rPr>
                <w:rFonts w:ascii="Times New Roman" w:cs="Times New Roman" w:eastAsia="Times New Roman" w:hAnsi="Times New Roman"/>
                <w:sz w:val="13"/>
                <w:szCs w:val="13"/>
                <w:i w:val="1"/>
                <w:iCs w:val="1"/>
                <w:color w:val="auto"/>
                <w:w w:val="99"/>
              </w:rPr>
              <w:t>$ in thousands)</w:t>
            </w:r>
          </w:p>
        </w:tc>
        <w:tc>
          <w:tcPr>
            <w:tcW w:w="3440" w:type="dxa"/>
            <w:vAlign w:val="bottom"/>
          </w:tcPr>
          <w:p>
            <w:pPr>
              <w:spacing w:after="0"/>
              <w:rPr>
                <w:sz w:val="11"/>
                <w:szCs w:val="11"/>
                <w:color w:val="auto"/>
              </w:rPr>
            </w:pPr>
          </w:p>
        </w:tc>
        <w:tc>
          <w:tcPr>
            <w:tcW w:w="9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Borders>
              <w:left w:val="single" w:sz="8" w:color="auto"/>
            </w:tcBorders>
          </w:tcPr>
          <w:p>
            <w:pPr>
              <w:spacing w:after="0"/>
              <w:rPr>
                <w:sz w:val="11"/>
                <w:szCs w:val="11"/>
                <w:color w:val="auto"/>
              </w:rPr>
            </w:pPr>
          </w:p>
        </w:tc>
        <w:tc>
          <w:tcPr>
            <w:tcW w:w="1120" w:type="dxa"/>
            <w:vAlign w:val="bottom"/>
            <w:gridSpan w:val="3"/>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1220" w:type="dxa"/>
            <w:vAlign w:val="bottom"/>
            <w:gridSpan w:val="3"/>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7"/>
              </w:rPr>
              <w:t>Change</w:t>
            </w:r>
            <w:r>
              <w:rPr>
                <w:rFonts w:ascii="Times New Roman" w:cs="Times New Roman" w:eastAsia="Times New Roman" w:hAnsi="Times New Roman"/>
                <w:sz w:val="9"/>
                <w:szCs w:val="9"/>
                <w:b w:val="1"/>
                <w:bCs w:val="1"/>
                <w:color w:val="auto"/>
                <w:w w:val="97"/>
              </w:rPr>
              <w:t>(1)</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 Change</w:t>
            </w:r>
            <w:r>
              <w:rPr>
                <w:rFonts w:ascii="Times New Roman" w:cs="Times New Roman" w:eastAsia="Times New Roman" w:hAnsi="Times New Roman"/>
                <w:sz w:val="9"/>
                <w:szCs w:val="9"/>
                <w:b w:val="1"/>
                <w:bCs w:val="1"/>
                <w:color w:val="auto"/>
                <w:w w:val="97"/>
              </w:rPr>
              <w:t>(1)</w:t>
            </w:r>
          </w:p>
        </w:tc>
        <w:tc>
          <w:tcPr>
            <w:tcW w:w="0" w:type="dxa"/>
            <w:vAlign w:val="bottom"/>
          </w:tcPr>
          <w:p>
            <w:pPr>
              <w:spacing w:after="0"/>
              <w:rPr>
                <w:sz w:val="1"/>
                <w:szCs w:val="1"/>
                <w:color w:val="auto"/>
              </w:rPr>
            </w:pPr>
          </w:p>
        </w:tc>
      </w:tr>
      <w:tr>
        <w:trPr>
          <w:trHeight w:val="150"/>
        </w:trPr>
        <w:tc>
          <w:tcPr>
            <w:tcW w:w="860" w:type="dxa"/>
            <w:vAlign w:val="bottom"/>
            <w:tcBorders>
              <w:bottom w:val="single" w:sz="8" w:color="auto"/>
            </w:tcBorders>
            <w:vMerge w:val="continue"/>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1"/>
              <w:spacing w:after="0" w:line="14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2"/>
                <w:szCs w:val="12"/>
                <w:color w:val="auto"/>
              </w:rPr>
            </w:pPr>
          </w:p>
        </w:tc>
        <w:tc>
          <w:tcPr>
            <w:tcW w:w="4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1"/>
              <w:spacing w:after="0" w:line="14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91"/>
              <w:spacing w:after="0" w:line="145"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4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Net revenues</w:t>
            </w:r>
          </w:p>
        </w:tc>
        <w:tc>
          <w:tcPr>
            <w:tcW w:w="3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20" w:type="dxa"/>
            <w:vAlign w:val="bottom"/>
            <w:tcBorders>
              <w:left w:val="single" w:sz="8" w:color="auto"/>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0" w:type="dxa"/>
            <w:vAlign w:val="bottom"/>
            <w:vMerge w:val="continue"/>
            <w:shd w:val="clear" w:color="auto" w:fill="CCEEFF"/>
          </w:tcPr>
          <w:p>
            <w:pPr>
              <w:spacing w:after="0"/>
              <w:rPr>
                <w:sz w:val="15"/>
                <w:szCs w:val="15"/>
                <w:color w:val="auto"/>
              </w:rPr>
            </w:pPr>
          </w:p>
        </w:tc>
        <w:tc>
          <w:tcPr>
            <w:tcW w:w="3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11,481</w:t>
            </w:r>
          </w:p>
        </w:tc>
        <w:tc>
          <w:tcPr>
            <w:tcW w:w="180" w:type="dxa"/>
            <w:vAlign w:val="bottom"/>
            <w:vMerge w:val="continue"/>
            <w:shd w:val="clear" w:color="auto" w:fill="CCEEFF"/>
          </w:tcPr>
          <w:p>
            <w:pPr>
              <w:spacing w:after="0"/>
              <w:rPr>
                <w:sz w:val="15"/>
                <w:szCs w:val="15"/>
                <w:color w:val="auto"/>
              </w:rPr>
            </w:pPr>
          </w:p>
        </w:tc>
        <w:tc>
          <w:tcPr>
            <w:tcW w:w="420" w:type="dxa"/>
            <w:vAlign w:val="bottom"/>
            <w:tcBorders>
              <w:left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27,956</w:t>
            </w:r>
          </w:p>
        </w:tc>
        <w:tc>
          <w:tcPr>
            <w:tcW w:w="46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jc w:val="right"/>
              <w:ind w:right="2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28,495</w:t>
            </w:r>
          </w:p>
        </w:tc>
        <w:tc>
          <w:tcPr>
            <w:tcW w:w="4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10,942</w:t>
            </w:r>
          </w:p>
        </w:tc>
        <w:tc>
          <w:tcPr>
            <w:tcW w:w="480" w:type="dxa"/>
            <w:vAlign w:val="bottom"/>
            <w:vMerge w:val="continue"/>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hanging="397"/>
        <w:spacing w:after="0"/>
        <w:tabs>
          <w:tab w:leader="none" w:pos="1020" w:val="left"/>
        </w:tabs>
        <w:numPr>
          <w:ilvl w:val="0"/>
          <w:numId w:val="4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Change represents the combined 2021 period compared to the year ended December 31, 2020.</w:t>
      </w:r>
    </w:p>
    <w:p>
      <w:pPr>
        <w:spacing w:after="0" w:line="30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Net Revenues</w:t>
      </w:r>
    </w:p>
    <w:p>
      <w:pPr>
        <w:spacing w:after="0" w:line="114" w:lineRule="exact"/>
        <w:rPr>
          <w:sz w:val="20"/>
          <w:szCs w:val="20"/>
          <w:color w:val="auto"/>
        </w:rPr>
      </w:pPr>
    </w:p>
    <w:p>
      <w:pPr>
        <w:jc w:val="both"/>
        <w:ind w:left="620" w:right="40"/>
        <w:spacing w:after="0" w:line="273" w:lineRule="auto"/>
        <w:rPr>
          <w:sz w:val="20"/>
          <w:szCs w:val="20"/>
          <w:color w:val="auto"/>
        </w:rPr>
      </w:pPr>
      <w:r>
        <w:rPr>
          <w:rFonts w:ascii="Times New Roman" w:cs="Times New Roman" w:eastAsia="Times New Roman" w:hAnsi="Times New Roman"/>
          <w:sz w:val="16"/>
          <w:szCs w:val="16"/>
          <w:color w:val="auto"/>
        </w:rPr>
        <w:t>Net revenues consist of transaction revenue and subscription and service revenue. Transaction revenue is net of rebates and liquidity payments under the Triparty Agreement, reductions in connection with the contribution agreement entered into between Bakkt and ICE in connection with ICE’s formation of Bakkt (the “Contribution Agreement”), and consideration payable to a customer pursuant to the Strategic Alliance Agreement (as defined below).</w:t>
      </w:r>
    </w:p>
    <w:p>
      <w:pPr>
        <w:spacing w:after="0" w:line="157" w:lineRule="exact"/>
        <w:rPr>
          <w:sz w:val="20"/>
          <w:szCs w:val="20"/>
          <w:color w:val="auto"/>
        </w:rPr>
      </w:pPr>
    </w:p>
    <w:p>
      <w:pPr>
        <w:ind w:left="620" w:right="20"/>
        <w:spacing w:after="0" w:line="264" w:lineRule="auto"/>
        <w:rPr>
          <w:sz w:val="20"/>
          <w:szCs w:val="20"/>
          <w:color w:val="auto"/>
        </w:rPr>
      </w:pPr>
      <w:r>
        <w:rPr>
          <w:rFonts w:ascii="Times New Roman" w:cs="Times New Roman" w:eastAsia="Times New Roman" w:hAnsi="Times New Roman"/>
          <w:sz w:val="16"/>
          <w:szCs w:val="16"/>
          <w:color w:val="auto"/>
        </w:rPr>
        <w:t>Net revenues increased by $10.9 million, or 38.4%, for the combined 2021 period compared to the year ended December 31, 2020. The increase was comprised of $9.0 million of increased transaction revenue and $1.9 million of increased subscription and service revenue. The increase in transaction revenue was driven by $6.2 million from higher customer activity in our loyalty redemption services business and $3.2 million from reduction in rebates and incentive payments associated with our digital asset marketplace, partially offset by $1.2 million from lower volume under the Triparty Agreement. The increase in subscription and service revenue was primarily related to the addition of new services for an existing loyalty customer.</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0620"/>
          </w:cols>
          <w:pgMar w:left="320" w:top="453" w:right="959" w:bottom="1440" w:gutter="0" w:footer="0" w:header="0"/>
        </w:sectPr>
      </w:pPr>
    </w:p>
    <w:bookmarkStart w:id="73" w:name="page74"/>
    <w:bookmarkEnd w:id="7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14" w:lineRule="exact"/>
        <w:rPr>
          <w:sz w:val="20"/>
          <w:szCs w:val="20"/>
          <w:color w:val="auto"/>
        </w:rPr>
      </w:pPr>
    </w:p>
    <w:p>
      <w:pPr>
        <w:ind w:left="620" w:right="480"/>
        <w:spacing w:after="0" w:line="273" w:lineRule="auto"/>
        <w:rPr>
          <w:sz w:val="20"/>
          <w:szCs w:val="20"/>
          <w:color w:val="auto"/>
        </w:rPr>
      </w:pPr>
      <w:r>
        <w:rPr>
          <w:rFonts w:ascii="Times New Roman" w:cs="Times New Roman" w:eastAsia="Times New Roman" w:hAnsi="Times New Roman"/>
          <w:sz w:val="16"/>
          <w:szCs w:val="16"/>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Compensation and Benefits</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4260" w:type="dxa"/>
            <w:vAlign w:val="bottom"/>
          </w:tcPr>
          <w:p>
            <w:pPr>
              <w:spacing w:after="0" w:line="20" w:lineRule="exact"/>
              <w:rPr>
                <w:sz w:val="1"/>
                <w:szCs w:val="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6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260" w:type="dxa"/>
            <w:vAlign w:val="bottom"/>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40" w:type="dxa"/>
            <w:vAlign w:val="bottom"/>
            <w:tcBorders>
              <w:lef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260" w:type="dxa"/>
            <w:vAlign w:val="bottom"/>
          </w:tcPr>
          <w:p>
            <w:pPr>
              <w:spacing w:after="0"/>
              <w:rPr>
                <w:sz w:val="9"/>
                <w:szCs w:val="9"/>
                <w:color w:val="auto"/>
              </w:rPr>
            </w:pPr>
          </w:p>
        </w:tc>
        <w:tc>
          <w:tcPr>
            <w:tcW w:w="76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60" w:type="dxa"/>
            <w:vAlign w:val="bottom"/>
          </w:tcPr>
          <w:p>
            <w:pPr>
              <w:spacing w:after="0"/>
              <w:rPr>
                <w:sz w:val="9"/>
                <w:szCs w:val="9"/>
                <w:color w:val="auto"/>
              </w:rPr>
            </w:pPr>
          </w:p>
        </w:tc>
        <w:tc>
          <w:tcPr>
            <w:tcW w:w="440" w:type="dxa"/>
            <w:vAlign w:val="bottom"/>
            <w:tcBorders>
              <w:left w:val="single" w:sz="8" w:color="auto"/>
            </w:tcBorders>
          </w:tcPr>
          <w:p>
            <w:pPr>
              <w:spacing w:after="0"/>
              <w:rPr>
                <w:sz w:val="9"/>
                <w:szCs w:val="9"/>
                <w:color w:val="auto"/>
              </w:rPr>
            </w:pPr>
          </w:p>
        </w:tc>
        <w:tc>
          <w:tcPr>
            <w:tcW w:w="1140" w:type="dxa"/>
            <w:vAlign w:val="bottom"/>
            <w:gridSpan w:val="3"/>
          </w:tcPr>
          <w:p>
            <w:pPr>
              <w:jc w:val="center"/>
              <w:ind w:right="48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180" w:type="dxa"/>
            <w:vAlign w:val="bottom"/>
          </w:tcPr>
          <w:p>
            <w:pPr>
              <w:spacing w:after="0"/>
              <w:rPr>
                <w:sz w:val="9"/>
                <w:szCs w:val="9"/>
                <w:color w:val="auto"/>
              </w:rPr>
            </w:pPr>
          </w:p>
        </w:tc>
        <w:tc>
          <w:tcPr>
            <w:tcW w:w="8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Pr>
          <w:p>
            <w:pPr>
              <w:spacing w:after="0"/>
              <w:rPr>
                <w:sz w:val="11"/>
                <w:szCs w:val="11"/>
                <w:color w:val="auto"/>
              </w:rPr>
            </w:pPr>
          </w:p>
        </w:tc>
        <w:tc>
          <w:tcPr>
            <w:tcW w:w="4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9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4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580"/>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180" w:type="dxa"/>
            <w:vAlign w:val="bottom"/>
          </w:tcPr>
          <w:p>
            <w:pPr>
              <w:spacing w:after="0"/>
              <w:rPr>
                <w:sz w:val="11"/>
                <w:szCs w:val="11"/>
                <w:color w:val="auto"/>
              </w:rPr>
            </w:pPr>
          </w:p>
        </w:tc>
        <w:tc>
          <w:tcPr>
            <w:tcW w:w="82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rPr>
              <w:t>ended</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 in thousands)</w:t>
            </w:r>
          </w:p>
        </w:tc>
        <w:tc>
          <w:tcPr>
            <w:tcW w:w="9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40" w:type="dxa"/>
            <w:vAlign w:val="bottom"/>
            <w:tcBorders>
              <w:left w:val="single" w:sz="8" w:color="auto"/>
            </w:tcBorders>
          </w:tcPr>
          <w:p>
            <w:pPr>
              <w:spacing w:after="0"/>
              <w:rPr>
                <w:sz w:val="11"/>
                <w:szCs w:val="11"/>
                <w:color w:val="auto"/>
              </w:rPr>
            </w:pPr>
          </w:p>
        </w:tc>
        <w:tc>
          <w:tcPr>
            <w:tcW w:w="1140" w:type="dxa"/>
            <w:vAlign w:val="bottom"/>
            <w:gridSpan w:val="3"/>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October 14,</w:t>
            </w:r>
          </w:p>
        </w:tc>
        <w:tc>
          <w:tcPr>
            <w:tcW w:w="100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 Change</w:t>
            </w:r>
            <w:r>
              <w:rPr>
                <w:rFonts w:ascii="Times New Roman" w:cs="Times New Roman" w:eastAsia="Times New Roman" w:hAnsi="Times New Roman"/>
                <w:sz w:val="9"/>
                <w:szCs w:val="9"/>
                <w:b w:val="1"/>
                <w:bCs w:val="1"/>
                <w:color w:val="auto"/>
                <w:w w:val="98"/>
              </w:rPr>
              <w:t>(1)</w:t>
            </w:r>
          </w:p>
        </w:tc>
        <w:tc>
          <w:tcPr>
            <w:tcW w:w="480" w:type="dxa"/>
            <w:vAlign w:val="bottom"/>
            <w:vMerge w:val="restart"/>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7"/>
              </w:rPr>
              <w:t>% Change</w:t>
            </w:r>
            <w:r>
              <w:rPr>
                <w:rFonts w:ascii="Times New Roman" w:cs="Times New Roman" w:eastAsia="Times New Roman" w:hAnsi="Times New Roman"/>
                <w:sz w:val="9"/>
                <w:szCs w:val="9"/>
                <w:b w:val="1"/>
                <w:bCs w:val="1"/>
                <w:color w:val="auto"/>
                <w:w w:val="97"/>
              </w:rPr>
              <w:t>(1)</w:t>
            </w:r>
          </w:p>
        </w:tc>
        <w:tc>
          <w:tcPr>
            <w:tcW w:w="1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26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Borders>
              <w:bottom w:val="single" w:sz="8" w:color="CCEEFF"/>
            </w:tcBorders>
          </w:tcPr>
          <w:p>
            <w:pPr>
              <w:spacing w:after="0"/>
              <w:rPr>
                <w:sz w:val="13"/>
                <w:szCs w:val="13"/>
                <w:color w:val="auto"/>
              </w:rPr>
            </w:pPr>
          </w:p>
        </w:tc>
        <w:tc>
          <w:tcPr>
            <w:tcW w:w="440" w:type="dxa"/>
            <w:vAlign w:val="bottom"/>
            <w:tcBorders>
              <w:left w:val="single" w:sz="8" w:color="auto"/>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CCEEFF"/>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and Benefits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62,180</w:t>
            </w:r>
          </w:p>
        </w:tc>
        <w:tc>
          <w:tcPr>
            <w:tcW w:w="160" w:type="dxa"/>
            <w:vAlign w:val="bottom"/>
            <w:shd w:val="clear" w:color="auto" w:fill="CCEEFF"/>
          </w:tcPr>
          <w:p>
            <w:pPr>
              <w:spacing w:after="0"/>
              <w:rPr>
                <w:sz w:val="16"/>
                <w:szCs w:val="16"/>
                <w:color w:val="auto"/>
              </w:rPr>
            </w:pPr>
          </w:p>
        </w:tc>
        <w:tc>
          <w:tcPr>
            <w:tcW w:w="44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91,275</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$ 110,314</w:t>
            </w:r>
          </w:p>
        </w:tc>
        <w:tc>
          <w:tcPr>
            <w:tcW w:w="4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hanging="397"/>
        <w:spacing w:after="0"/>
        <w:tabs>
          <w:tab w:leader="none" w:pos="1020" w:val="left"/>
        </w:tabs>
        <w:numPr>
          <w:ilvl w:val="0"/>
          <w:numId w:val="4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Change represents the combined 2021 period compared to the year ended December 31, 2020.</w:t>
      </w:r>
    </w:p>
    <w:p>
      <w:pPr>
        <w:spacing w:after="0" w:line="210" w:lineRule="exact"/>
        <w:rPr>
          <w:sz w:val="20"/>
          <w:szCs w:val="20"/>
          <w:color w:val="auto"/>
        </w:rPr>
      </w:pPr>
    </w:p>
    <w:p>
      <w:pPr>
        <w:ind w:left="620"/>
        <w:spacing w:after="0" w:line="260" w:lineRule="auto"/>
        <w:rPr>
          <w:sz w:val="20"/>
          <w:szCs w:val="20"/>
          <w:color w:val="auto"/>
        </w:rPr>
      </w:pPr>
      <w:r>
        <w:rPr>
          <w:rFonts w:ascii="Times New Roman" w:cs="Times New Roman" w:eastAsia="Times New Roman" w:hAnsi="Times New Roman"/>
          <w:sz w:val="16"/>
          <w:szCs w:val="16"/>
          <w:color w:val="auto"/>
        </w:rPr>
        <w:t>Compensation and benefits expense include all salaries and benefits, compensation for contract labor, incentive programs for employees, payroll taxes, unit-based compensation and other employee related costs. Compensation and benefits expense is the most significant component of our operating expenses, and we expect that our compensation and benefits expense will continue to increase in absolute dollars as we continue to expand our business, as described below. Upon the consummation of the Business Combination on October 15, 2021, one-third of the awards in the Equity Plan vested, which resulted in recognition of $77.8 million of incremental unit-based compensation expense in the combined 2021 period ($30.6 million in the Predecessor period and $47.2 million in the Successor period). The second and third tranches will vest on the one-year and two-year anniversary date of the transaction close, respectively. Going forward, we expect to recognize less compensation expense related to vesting of units issued prior to the Business Combination because a significant portion of the awards achieved vesting in connection with the closing of the Business Combination.</w:t>
      </w:r>
    </w:p>
    <w:p>
      <w:pPr>
        <w:spacing w:after="0" w:line="170" w:lineRule="exact"/>
        <w:rPr>
          <w:sz w:val="20"/>
          <w:szCs w:val="20"/>
          <w:color w:val="auto"/>
        </w:rPr>
      </w:pPr>
    </w:p>
    <w:p>
      <w:pPr>
        <w:ind w:left="620" w:right="100"/>
        <w:spacing w:after="0" w:line="260" w:lineRule="auto"/>
        <w:rPr>
          <w:sz w:val="20"/>
          <w:szCs w:val="20"/>
          <w:color w:val="auto"/>
        </w:rPr>
      </w:pPr>
      <w:r>
        <w:rPr>
          <w:rFonts w:ascii="Times New Roman" w:cs="Times New Roman" w:eastAsia="Times New Roman" w:hAnsi="Times New Roman"/>
          <w:sz w:val="16"/>
          <w:szCs w:val="16"/>
          <w:color w:val="auto"/>
        </w:rPr>
        <w:t>Headcount has increased, and will continue to increase, across functions to further strengthen our service offerings and enhance our systems, processes, and controls. We intend to grant equity awards as part of the compensation package for new employees. We expect that our compensation and expenses will decrease as a percentage of our revenue over time. Compensation and benefits increased by $110.3 million, or 255.7%, for the combined 2021 period compared to the year ended December 31, 2020. The increase was primarily due to increases of $16.7 million in additional salaries, wages and benefits, $4.9 million in contract labor for software development, and $84.4 million in non-cash compensation and incentive bonuses, which includes $77.8 million of incremental unit-based compensation expense resulting from the Business Combination. The majority of the increase in these costs, excluding the amounts related to the Business Combination, resulted from increases in headcount to support the projected growth in our business and increased compliance and reporting requirements as a public company.</w:t>
      </w:r>
    </w:p>
    <w:p>
      <w:pPr>
        <w:spacing w:after="0" w:line="2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Professional Services</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46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08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80" w:type="dxa"/>
            <w:vAlign w:val="bottom"/>
          </w:tcPr>
          <w:p>
            <w:pPr>
              <w:spacing w:after="0"/>
              <w:rPr>
                <w:sz w:val="9"/>
                <w:szCs w:val="9"/>
                <w:color w:val="auto"/>
              </w:rPr>
            </w:pPr>
          </w:p>
        </w:tc>
        <w:tc>
          <w:tcPr>
            <w:tcW w:w="460" w:type="dxa"/>
            <w:vAlign w:val="bottom"/>
            <w:tcBorders>
              <w:left w:val="single" w:sz="8" w:color="auto"/>
            </w:tcBorders>
          </w:tcPr>
          <w:p>
            <w:pPr>
              <w:spacing w:after="0"/>
              <w:rPr>
                <w:sz w:val="9"/>
                <w:szCs w:val="9"/>
                <w:color w:val="auto"/>
              </w:rPr>
            </w:pPr>
          </w:p>
        </w:tc>
        <w:tc>
          <w:tcPr>
            <w:tcW w:w="1180" w:type="dxa"/>
            <w:vAlign w:val="bottom"/>
            <w:tcBorders>
              <w:top w:val="single" w:sz="8" w:color="auto"/>
            </w:tcBorders>
            <w:gridSpan w:val="3"/>
          </w:tcPr>
          <w:p>
            <w:pPr>
              <w:jc w:val="center"/>
              <w:ind w:right="50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vMerge w:val="restart"/>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1"/>
                <w:szCs w:val="11"/>
                <w:color w:val="auto"/>
              </w:rPr>
            </w:pPr>
          </w:p>
        </w:tc>
        <w:tc>
          <w:tcPr>
            <w:tcW w:w="46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46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620"/>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160" w:type="dxa"/>
            <w:vAlign w:val="bottom"/>
          </w:tcPr>
          <w:p>
            <w:pPr>
              <w:spacing w:after="0"/>
              <w:rPr>
                <w:sz w:val="11"/>
                <w:szCs w:val="11"/>
                <w:color w:val="auto"/>
              </w:rPr>
            </w:pPr>
          </w:p>
        </w:tc>
        <w:tc>
          <w:tcPr>
            <w:tcW w:w="60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 in thousands)</w:t>
            </w:r>
          </w:p>
        </w:tc>
        <w:tc>
          <w:tcPr>
            <w:tcW w:w="9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60" w:type="dxa"/>
            <w:vAlign w:val="bottom"/>
            <w:tcBorders>
              <w:left w:val="single" w:sz="8" w:color="auto"/>
            </w:tcBorders>
          </w:tcPr>
          <w:p>
            <w:pPr>
              <w:spacing w:after="0"/>
              <w:rPr>
                <w:sz w:val="11"/>
                <w:szCs w:val="11"/>
                <w:color w:val="auto"/>
              </w:rPr>
            </w:pPr>
          </w:p>
        </w:tc>
        <w:tc>
          <w:tcPr>
            <w:tcW w:w="1180" w:type="dxa"/>
            <w:vAlign w:val="bottom"/>
            <w:gridSpan w:val="3"/>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rPr>
              <w:t>October 14,</w:t>
            </w: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20" w:type="dxa"/>
            <w:vAlign w:val="bottom"/>
            <w:vMerge w:val="restart"/>
          </w:tcPr>
          <w:p>
            <w:pPr>
              <w:spacing w:after="0"/>
              <w:rPr>
                <w:sz w:val="11"/>
                <w:szCs w:val="1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w w:val="97"/>
              </w:rPr>
              <w:t>Change</w:t>
            </w:r>
            <w:r>
              <w:rPr>
                <w:rFonts w:ascii="Times New Roman" w:cs="Times New Roman" w:eastAsia="Times New Roman" w:hAnsi="Times New Roman"/>
                <w:sz w:val="9"/>
                <w:szCs w:val="9"/>
                <w:b w:val="1"/>
                <w:bCs w:val="1"/>
                <w:color w:val="auto"/>
                <w:w w:val="97"/>
              </w:rPr>
              <w:t>(1)</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 Change</w:t>
            </w:r>
            <w:r>
              <w:rPr>
                <w:rFonts w:ascii="Times New Roman" w:cs="Times New Roman" w:eastAsia="Times New Roman" w:hAnsi="Times New Roman"/>
                <w:sz w:val="9"/>
                <w:szCs w:val="9"/>
                <w:b w:val="1"/>
                <w:bCs w:val="1"/>
                <w:color w:val="auto"/>
                <w:w w:val="97"/>
              </w:rPr>
              <w:t>(1)</w:t>
            </w:r>
          </w:p>
        </w:tc>
        <w:tc>
          <w:tcPr>
            <w:tcW w:w="0" w:type="dxa"/>
            <w:vAlign w:val="bottom"/>
          </w:tcPr>
          <w:p>
            <w:pPr>
              <w:spacing w:after="0"/>
              <w:rPr>
                <w:sz w:val="1"/>
                <w:szCs w:val="1"/>
                <w:color w:val="auto"/>
              </w:rPr>
            </w:pPr>
          </w:p>
        </w:tc>
      </w:tr>
      <w:tr>
        <w:trPr>
          <w:trHeight w:val="157"/>
        </w:trPr>
        <w:tc>
          <w:tcPr>
            <w:tcW w:w="4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3"/>
                <w:szCs w:val="13"/>
                <w:color w:val="auto"/>
              </w:rPr>
            </w:pPr>
          </w:p>
        </w:tc>
        <w:tc>
          <w:tcPr>
            <w:tcW w:w="46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5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Services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60" w:type="dxa"/>
            <w:vAlign w:val="bottom"/>
            <w:tcBorders>
              <w:left w:val="single" w:sz="8" w:color="auto"/>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80" w:type="dxa"/>
            <w:vAlign w:val="bottom"/>
            <w:vMerge w:val="continue"/>
            <w:shd w:val="clear" w:color="auto" w:fill="CCEEFF"/>
          </w:tcPr>
          <w:p>
            <w:pPr>
              <w:spacing w:after="0"/>
              <w:rPr>
                <w:sz w:val="16"/>
                <w:szCs w:val="16"/>
                <w:color w:val="auto"/>
              </w:rPr>
            </w:pPr>
          </w:p>
        </w:tc>
        <w:tc>
          <w:tcPr>
            <w:tcW w:w="460" w:type="dxa"/>
            <w:vAlign w:val="bottom"/>
            <w:tcBorders>
              <w:left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5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5,751</w:t>
            </w: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540" w:type="dxa"/>
            <w:vAlign w:val="bottom"/>
            <w:vMerge w:val="continue"/>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40" w:right="3420" w:hanging="4917"/>
        <w:spacing w:after="0" w:line="470" w:lineRule="auto"/>
        <w:tabs>
          <w:tab w:leader="none" w:pos="1013" w:val="left"/>
        </w:tabs>
        <w:numPr>
          <w:ilvl w:val="0"/>
          <w:numId w:val="4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Change represents the combined 2021 period compared to the year ended December 31, 2020. </w:t>
      </w:r>
      <w:r>
        <w:rPr>
          <w:rFonts w:ascii="Times New Roman" w:cs="Times New Roman" w:eastAsia="Times New Roman" w:hAnsi="Times New Roman"/>
          <w:sz w:val="16"/>
          <w:szCs w:val="16"/>
          <w:color w:val="auto"/>
        </w:rPr>
        <w:t>70</w:t>
      </w:r>
    </w:p>
    <w:p>
      <w:pPr>
        <w:sectPr>
          <w:pgSz w:w="11900" w:h="16838" w:orient="portrait"/>
          <w:cols w:equalWidth="0" w:num="1">
            <w:col w:w="10620"/>
          </w:cols>
          <w:pgMar w:left="320" w:top="453" w:right="959" w:bottom="1440" w:gutter="0" w:footer="0" w:header="0"/>
        </w:sectPr>
      </w:pPr>
    </w:p>
    <w:bookmarkStart w:id="74" w:name="page75"/>
    <w:bookmarkEnd w:id="7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jc w:val="both"/>
        <w:ind w:left="620" w:right="120"/>
        <w:spacing w:after="0" w:line="273" w:lineRule="auto"/>
        <w:rPr>
          <w:sz w:val="20"/>
          <w:szCs w:val="20"/>
          <w:color w:val="auto"/>
        </w:rPr>
      </w:pPr>
      <w:r>
        <w:rPr>
          <w:rFonts w:ascii="Times New Roman" w:cs="Times New Roman" w:eastAsia="Times New Roman" w:hAnsi="Times New Roman"/>
          <w:sz w:val="16"/>
          <w:szCs w:val="16"/>
          <w:color w:val="auto"/>
        </w:rPr>
        <w:t>Professional services expense includes fees for accounting, legal and regulatory fees. Professional services increased by $2.5 million, or 42.7%, for the combined 2021 period compared to the year ended December 31, 2020. The increase was primarily due to increases of $2.0 million in professional and other fees and $0.8 million in audit and tax fees, which was partially offset by a decrease in legal fees by $0.3 million.</w:t>
      </w:r>
    </w:p>
    <w:p>
      <w:pPr>
        <w:spacing w:after="0" w:line="2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Technology and Communication</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3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6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tcBorders>
              <w:top w:val="single" w:sz="8" w:color="auto"/>
            </w:tcBorders>
            <w:gridSpan w:val="3"/>
          </w:tcPr>
          <w:p>
            <w:pPr>
              <w:jc w:val="center"/>
              <w:ind w:right="52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vMerge w:val="restart"/>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6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160" w:type="dxa"/>
            <w:vAlign w:val="bottom"/>
          </w:tcPr>
          <w:p>
            <w:pPr>
              <w:spacing w:after="0"/>
              <w:rPr>
                <w:sz w:val="11"/>
                <w:szCs w:val="11"/>
                <w:color w:val="auto"/>
              </w:rPr>
            </w:pPr>
          </w:p>
        </w:tc>
        <w:tc>
          <w:tcPr>
            <w:tcW w:w="60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 in thousands)</w:t>
            </w:r>
          </w:p>
        </w:tc>
        <w:tc>
          <w:tcPr>
            <w:tcW w:w="980" w:type="dxa"/>
            <w:vAlign w:val="bottom"/>
          </w:tcPr>
          <w:p>
            <w:pPr>
              <w:spacing w:after="0"/>
              <w:rPr>
                <w:sz w:val="11"/>
                <w:szCs w:val="11"/>
                <w:color w:val="auto"/>
              </w:rPr>
            </w:pPr>
          </w:p>
        </w:tc>
        <w:tc>
          <w:tcPr>
            <w:tcW w:w="9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3"/>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20" w:type="dxa"/>
            <w:vAlign w:val="bottom"/>
            <w:vMerge w:val="restart"/>
          </w:tcPr>
          <w:p>
            <w:pPr>
              <w:spacing w:after="0"/>
              <w:rPr>
                <w:sz w:val="11"/>
                <w:szCs w:val="1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w w:val="97"/>
              </w:rPr>
              <w:t>Change</w:t>
            </w:r>
            <w:r>
              <w:rPr>
                <w:rFonts w:ascii="Times New Roman" w:cs="Times New Roman" w:eastAsia="Times New Roman" w:hAnsi="Times New Roman"/>
                <w:sz w:val="9"/>
                <w:szCs w:val="9"/>
                <w:b w:val="1"/>
                <w:bCs w:val="1"/>
                <w:color w:val="auto"/>
                <w:w w:val="97"/>
              </w:rPr>
              <w:t>(1)</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 Change</w:t>
            </w:r>
            <w:r>
              <w:rPr>
                <w:rFonts w:ascii="Times New Roman" w:cs="Times New Roman" w:eastAsia="Times New Roman" w:hAnsi="Times New Roman"/>
                <w:sz w:val="9"/>
                <w:szCs w:val="9"/>
                <w:b w:val="1"/>
                <w:bCs w:val="1"/>
                <w:color w:val="auto"/>
                <w:w w:val="97"/>
              </w:rPr>
              <w:t>(1)</w:t>
            </w:r>
          </w:p>
        </w:tc>
        <w:tc>
          <w:tcPr>
            <w:tcW w:w="0" w:type="dxa"/>
            <w:vAlign w:val="bottom"/>
          </w:tcPr>
          <w:p>
            <w:pPr>
              <w:spacing w:after="0"/>
              <w:rPr>
                <w:sz w:val="1"/>
                <w:szCs w:val="1"/>
                <w:color w:val="auto"/>
              </w:rPr>
            </w:pPr>
          </w:p>
        </w:tc>
      </w:tr>
      <w:tr>
        <w:trPr>
          <w:trHeight w:val="157"/>
        </w:trPr>
        <w:tc>
          <w:tcPr>
            <w:tcW w:w="31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5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9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60" w:type="dxa"/>
            <w:vAlign w:val="bottom"/>
            <w:vMerge w:val="continue"/>
            <w:shd w:val="clear" w:color="auto" w:fill="CCEEFF"/>
          </w:tcPr>
          <w:p>
            <w:pPr>
              <w:spacing w:after="0"/>
              <w:rPr>
                <w:sz w:val="16"/>
                <w:szCs w:val="16"/>
                <w:color w:val="auto"/>
              </w:rPr>
            </w:pPr>
          </w:p>
        </w:tc>
        <w:tc>
          <w:tcPr>
            <w:tcW w:w="20" w:type="dxa"/>
            <w:vAlign w:val="bottom"/>
            <w:vMerge w:val="continue"/>
            <w:shd w:val="clear" w:color="auto" w:fill="000000"/>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10,384</w:t>
            </w:r>
          </w:p>
        </w:tc>
        <w:tc>
          <w:tcPr>
            <w:tcW w:w="5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9,741</w:t>
            </w: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540" w:type="dxa"/>
            <w:vAlign w:val="bottom"/>
            <w:vMerge w:val="continue"/>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hanging="397"/>
        <w:spacing w:after="0"/>
        <w:tabs>
          <w:tab w:leader="none" w:pos="1020" w:val="left"/>
        </w:tabs>
        <w:numPr>
          <w:ilvl w:val="0"/>
          <w:numId w:val="4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Change represents the combined 2021 period compared to the year ended December 31, 2020.</w:t>
      </w:r>
    </w:p>
    <w:p>
      <w:pPr>
        <w:spacing w:after="0" w:line="210" w:lineRule="exact"/>
        <w:rPr>
          <w:sz w:val="20"/>
          <w:szCs w:val="20"/>
          <w:color w:val="auto"/>
        </w:rPr>
      </w:pPr>
    </w:p>
    <w:p>
      <w:pPr>
        <w:ind w:left="620" w:right="40"/>
        <w:spacing w:after="0" w:line="264" w:lineRule="auto"/>
        <w:rPr>
          <w:sz w:val="20"/>
          <w:szCs w:val="20"/>
          <w:color w:val="auto"/>
        </w:rPr>
      </w:pPr>
      <w:r>
        <w:rPr>
          <w:rFonts w:ascii="Times New Roman" w:cs="Times New Roman" w:eastAsia="Times New Roman" w:hAnsi="Times New Roman"/>
          <w:sz w:val="16"/>
          <w:szCs w:val="16"/>
          <w:color w:val="auto"/>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customer requirements, system capacity, functionality and redundancy requirements.</w:t>
      </w:r>
    </w:p>
    <w:p>
      <w:pPr>
        <w:spacing w:after="0" w:line="165" w:lineRule="exact"/>
        <w:rPr>
          <w:sz w:val="20"/>
          <w:szCs w:val="20"/>
          <w:color w:val="auto"/>
        </w:rPr>
      </w:pPr>
    </w:p>
    <w:p>
      <w:pPr>
        <w:ind w:left="620" w:right="60"/>
        <w:spacing w:after="0" w:line="266" w:lineRule="auto"/>
        <w:rPr>
          <w:sz w:val="20"/>
          <w:szCs w:val="20"/>
          <w:color w:val="auto"/>
        </w:rPr>
      </w:pPr>
      <w:r>
        <w:rPr>
          <w:rFonts w:ascii="Times New Roman" w:cs="Times New Roman" w:eastAsia="Times New Roman" w:hAnsi="Times New Roman"/>
          <w:sz w:val="16"/>
          <w:szCs w:val="16"/>
          <w:color w:val="auto"/>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increased by $3.7 million, or 38.0%, for the combined 2021 period compared to the year ended December 31, 2020. The increase was primarily due to an increase of $2.6 million in hardware and software license fees.</w:t>
      </w:r>
    </w:p>
    <w:p>
      <w:pPr>
        <w:spacing w:after="0" w:line="200" w:lineRule="exact"/>
        <w:rPr>
          <w:sz w:val="20"/>
          <w:szCs w:val="20"/>
          <w:color w:val="auto"/>
        </w:rPr>
      </w:pPr>
    </w:p>
    <w:p>
      <w:pPr>
        <w:spacing w:after="0" w:line="2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3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8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0" w:type="dxa"/>
            <w:vAlign w:val="bottom"/>
            <w:tcBorders>
              <w:lef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80" w:type="dxa"/>
            <w:vAlign w:val="bottom"/>
          </w:tcPr>
          <w:p>
            <w:pPr>
              <w:spacing w:after="0"/>
              <w:rPr>
                <w:sz w:val="9"/>
                <w:szCs w:val="9"/>
                <w:color w:val="auto"/>
              </w:rPr>
            </w:pPr>
          </w:p>
        </w:tc>
        <w:tc>
          <w:tcPr>
            <w:tcW w:w="400" w:type="dxa"/>
            <w:vAlign w:val="bottom"/>
            <w:tcBorders>
              <w:left w:val="single" w:sz="8" w:color="auto"/>
            </w:tcBorders>
          </w:tcPr>
          <w:p>
            <w:pPr>
              <w:spacing w:after="0"/>
              <w:rPr>
                <w:sz w:val="9"/>
                <w:szCs w:val="9"/>
                <w:color w:val="auto"/>
              </w:rPr>
            </w:pPr>
          </w:p>
        </w:tc>
        <w:tc>
          <w:tcPr>
            <w:tcW w:w="1120" w:type="dxa"/>
            <w:vAlign w:val="bottom"/>
            <w:gridSpan w:val="3"/>
          </w:tcPr>
          <w:p>
            <w:pPr>
              <w:jc w:val="center"/>
              <w:ind w:right="44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180" w:type="dxa"/>
            <w:vAlign w:val="bottom"/>
          </w:tcPr>
          <w:p>
            <w:pPr>
              <w:spacing w:after="0"/>
              <w:rPr>
                <w:sz w:val="9"/>
                <w:szCs w:val="9"/>
                <w:color w:val="auto"/>
              </w:rPr>
            </w:pPr>
          </w:p>
        </w:tc>
        <w:tc>
          <w:tcPr>
            <w:tcW w:w="10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1"/>
                <w:szCs w:val="11"/>
                <w:color w:val="auto"/>
              </w:rPr>
            </w:pPr>
          </w:p>
        </w:tc>
        <w:tc>
          <w:tcPr>
            <w:tcW w:w="4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4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180" w:type="dxa"/>
            <w:vAlign w:val="bottom"/>
          </w:tcPr>
          <w:p>
            <w:pPr>
              <w:spacing w:after="0"/>
              <w:rPr>
                <w:sz w:val="11"/>
                <w:szCs w:val="11"/>
                <w:color w:val="auto"/>
              </w:rPr>
            </w:pPr>
          </w:p>
        </w:tc>
        <w:tc>
          <w:tcPr>
            <w:tcW w:w="1040" w:type="dxa"/>
            <w:vAlign w:val="bottom"/>
            <w:gridSpan w:val="2"/>
          </w:tcPr>
          <w:p>
            <w:pPr>
              <w:jc w:val="center"/>
              <w:ind w:right="6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 in thousands)</w:t>
            </w:r>
          </w:p>
        </w:tc>
        <w:tc>
          <w:tcPr>
            <w:tcW w:w="980" w:type="dxa"/>
            <w:vAlign w:val="bottom"/>
          </w:tcPr>
          <w:p>
            <w:pPr>
              <w:spacing w:after="0"/>
              <w:rPr>
                <w:sz w:val="11"/>
                <w:szCs w:val="11"/>
                <w:color w:val="auto"/>
              </w:rPr>
            </w:pPr>
          </w:p>
        </w:tc>
        <w:tc>
          <w:tcPr>
            <w:tcW w:w="9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400" w:type="dxa"/>
            <w:vAlign w:val="bottom"/>
            <w:tcBorders>
              <w:left w:val="single" w:sz="8" w:color="auto"/>
            </w:tcBorders>
          </w:tcPr>
          <w:p>
            <w:pPr>
              <w:spacing w:after="0"/>
              <w:rPr>
                <w:sz w:val="11"/>
                <w:szCs w:val="11"/>
                <w:color w:val="auto"/>
              </w:rPr>
            </w:pPr>
          </w:p>
        </w:tc>
        <w:tc>
          <w:tcPr>
            <w:tcW w:w="1120" w:type="dxa"/>
            <w:vAlign w:val="bottom"/>
            <w:gridSpan w:val="3"/>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1220" w:type="dxa"/>
            <w:vAlign w:val="bottom"/>
            <w:gridSpan w:val="3"/>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7"/>
              </w:rPr>
              <w:t>Change</w:t>
            </w:r>
            <w:r>
              <w:rPr>
                <w:rFonts w:ascii="Times New Roman" w:cs="Times New Roman" w:eastAsia="Times New Roman" w:hAnsi="Times New Roman"/>
                <w:sz w:val="9"/>
                <w:szCs w:val="9"/>
                <w:b w:val="1"/>
                <w:bCs w:val="1"/>
                <w:color w:val="auto"/>
                <w:w w:val="97"/>
              </w:rPr>
              <w:t>(1)</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 Change</w:t>
            </w:r>
            <w:r>
              <w:rPr>
                <w:rFonts w:ascii="Times New Roman" w:cs="Times New Roman" w:eastAsia="Times New Roman" w:hAnsi="Times New Roman"/>
                <w:sz w:val="9"/>
                <w:szCs w:val="9"/>
                <w:b w:val="1"/>
                <w:bCs w:val="1"/>
                <w:color w:val="auto"/>
                <w:w w:val="97"/>
              </w:rPr>
              <w:t>(1)</w:t>
            </w:r>
          </w:p>
        </w:tc>
        <w:tc>
          <w:tcPr>
            <w:tcW w:w="0" w:type="dxa"/>
            <w:vAlign w:val="bottom"/>
          </w:tcPr>
          <w:p>
            <w:pPr>
              <w:spacing w:after="0"/>
              <w:rPr>
                <w:sz w:val="1"/>
                <w:szCs w:val="1"/>
                <w:color w:val="auto"/>
              </w:rPr>
            </w:pPr>
          </w:p>
        </w:tc>
      </w:tr>
      <w:tr>
        <w:trPr>
          <w:trHeight w:val="157"/>
        </w:trPr>
        <w:tc>
          <w:tcPr>
            <w:tcW w:w="334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3"/>
                <w:szCs w:val="13"/>
                <w:color w:val="auto"/>
              </w:rPr>
            </w:pPr>
          </w:p>
        </w:tc>
        <w:tc>
          <w:tcPr>
            <w:tcW w:w="40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4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00" w:type="dxa"/>
            <w:vAlign w:val="bottom"/>
            <w:tcBorders>
              <w:left w:val="single" w:sz="8" w:color="auto"/>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3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8,521</w:t>
            </w:r>
          </w:p>
        </w:tc>
        <w:tc>
          <w:tcPr>
            <w:tcW w:w="180" w:type="dxa"/>
            <w:vAlign w:val="bottom"/>
            <w:vMerge w:val="continue"/>
            <w:shd w:val="clear" w:color="auto" w:fill="CCEEFF"/>
          </w:tcPr>
          <w:p>
            <w:pPr>
              <w:spacing w:after="0"/>
              <w:rPr>
                <w:sz w:val="16"/>
                <w:szCs w:val="16"/>
                <w:color w:val="auto"/>
              </w:rPr>
            </w:pPr>
          </w:p>
        </w:tc>
        <w:tc>
          <w:tcPr>
            <w:tcW w:w="400" w:type="dxa"/>
            <w:vAlign w:val="bottom"/>
            <w:tcBorders>
              <w:left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20,309</w:t>
            </w:r>
          </w:p>
        </w:tc>
        <w:tc>
          <w:tcPr>
            <w:tcW w:w="4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8,219</w:t>
            </w: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20,611</w:t>
            </w:r>
          </w:p>
        </w:tc>
        <w:tc>
          <w:tcPr>
            <w:tcW w:w="480" w:type="dxa"/>
            <w:vAlign w:val="bottom"/>
            <w:vMerge w:val="continue"/>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hanging="397"/>
        <w:spacing w:after="0"/>
        <w:tabs>
          <w:tab w:leader="none" w:pos="1020" w:val="left"/>
        </w:tabs>
        <w:numPr>
          <w:ilvl w:val="0"/>
          <w:numId w:val="4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Change represents the combined 2021 period compared to the year ended December 31, 2020.</w:t>
      </w:r>
    </w:p>
    <w:p>
      <w:pPr>
        <w:spacing w:after="0" w:line="210" w:lineRule="exact"/>
        <w:rPr>
          <w:sz w:val="20"/>
          <w:szCs w:val="20"/>
          <w:color w:val="auto"/>
        </w:rPr>
      </w:pPr>
    </w:p>
    <w:p>
      <w:pPr>
        <w:ind w:left="620" w:right="60"/>
        <w:spacing w:after="0" w:line="261" w:lineRule="auto"/>
        <w:rPr>
          <w:sz w:val="20"/>
          <w:szCs w:val="20"/>
          <w:color w:val="auto"/>
        </w:rPr>
      </w:pPr>
      <w:r>
        <w:rPr>
          <w:rFonts w:ascii="Times New Roman" w:cs="Times New Roman" w:eastAsia="Times New Roman" w:hAnsi="Times New Roman"/>
          <w:sz w:val="16"/>
          <w:szCs w:val="16"/>
          <w:color w:val="auto"/>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partners, 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and requirements of being a public company, including increased insurance premiums and disclosure processes. However, we expect these costs will decrease as a percentage of our revenue in future years as we gain improved operating leverage from our projected revenue growth.</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10620"/>
          </w:cols>
          <w:pgMar w:left="320" w:top="453" w:right="959" w:bottom="1440" w:gutter="0" w:footer="0" w:header="0"/>
        </w:sectPr>
      </w:pPr>
    </w:p>
    <w:bookmarkStart w:id="75" w:name="page76"/>
    <w:bookmarkEnd w:id="7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Selling, general and administrative costs increased by $20.6 million, or 250.8%, for the combined 2021 period compared to the year ended</w:t>
      </w:r>
    </w:p>
    <w:p>
      <w:pPr>
        <w:spacing w:after="0" w:line="28" w:lineRule="exact"/>
        <w:rPr>
          <w:sz w:val="20"/>
          <w:szCs w:val="20"/>
          <w:color w:val="auto"/>
        </w:rPr>
      </w:pPr>
    </w:p>
    <w:p>
      <w:pPr>
        <w:ind w:left="620" w:right="40"/>
        <w:spacing w:after="0" w:line="261" w:lineRule="auto"/>
        <w:rPr>
          <w:sz w:val="20"/>
          <w:szCs w:val="20"/>
          <w:color w:val="auto"/>
        </w:rPr>
      </w:pPr>
      <w:r>
        <w:rPr>
          <w:rFonts w:ascii="Times New Roman" w:cs="Times New Roman" w:eastAsia="Times New Roman" w:hAnsi="Times New Roman"/>
          <w:sz w:val="16"/>
          <w:szCs w:val="16"/>
          <w:color w:val="auto"/>
        </w:rPr>
        <w:t>December 31, 2020. The increase was primarily due to increases of $14.6 million in marketing expenses related to the launch of our consumer platform, $3.4 million in insurance expense, and $0.7 million in registration fees. The majority of marketing expenses are web-based promotional campaigns. With the closing of the Business Combination, we expect to increase marketing efforts as part of our broader growth initiatives, which is expected to result in increased selling, general and administrative expenses in future periods.</w:t>
      </w:r>
    </w:p>
    <w:p>
      <w:pPr>
        <w:spacing w:after="0" w:line="2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Acquisition-related Expenses</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3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60" w:type="dxa"/>
            <w:vAlign w:val="bottom"/>
          </w:tcPr>
          <w:p>
            <w:pPr>
              <w:spacing w:after="0"/>
              <w:rPr>
                <w:sz w:val="9"/>
                <w:szCs w:val="9"/>
                <w:color w:val="auto"/>
              </w:rPr>
            </w:pPr>
          </w:p>
        </w:tc>
        <w:tc>
          <w:tcPr>
            <w:tcW w:w="420" w:type="dxa"/>
            <w:vAlign w:val="bottom"/>
            <w:tcBorders>
              <w:left w:val="single" w:sz="8" w:color="auto"/>
            </w:tcBorders>
          </w:tcPr>
          <w:p>
            <w:pPr>
              <w:spacing w:after="0"/>
              <w:rPr>
                <w:sz w:val="9"/>
                <w:szCs w:val="9"/>
                <w:color w:val="auto"/>
              </w:rPr>
            </w:pPr>
          </w:p>
        </w:tc>
        <w:tc>
          <w:tcPr>
            <w:tcW w:w="1120" w:type="dxa"/>
            <w:vAlign w:val="bottom"/>
            <w:gridSpan w:val="3"/>
          </w:tcPr>
          <w:p>
            <w:pPr>
              <w:jc w:val="center"/>
              <w:ind w:right="48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180" w:type="dxa"/>
            <w:vAlign w:val="bottom"/>
          </w:tcPr>
          <w:p>
            <w:pPr>
              <w:spacing w:after="0"/>
              <w:rPr>
                <w:sz w:val="9"/>
                <w:szCs w:val="9"/>
                <w:color w:val="auto"/>
              </w:rPr>
            </w:pPr>
          </w:p>
        </w:tc>
        <w:tc>
          <w:tcPr>
            <w:tcW w:w="10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4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5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180" w:type="dxa"/>
            <w:vAlign w:val="bottom"/>
          </w:tcPr>
          <w:p>
            <w:pPr>
              <w:spacing w:after="0"/>
              <w:rPr>
                <w:sz w:val="11"/>
                <w:szCs w:val="11"/>
                <w:color w:val="auto"/>
              </w:rPr>
            </w:pPr>
          </w:p>
        </w:tc>
        <w:tc>
          <w:tcPr>
            <w:tcW w:w="1040" w:type="dxa"/>
            <w:vAlign w:val="bottom"/>
            <w:gridSpan w:val="2"/>
          </w:tcPr>
          <w:p>
            <w:pPr>
              <w:jc w:val="center"/>
              <w:ind w:right="6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 in thousands)</w:t>
            </w:r>
          </w:p>
        </w:tc>
        <w:tc>
          <w:tcPr>
            <w:tcW w:w="1220" w:type="dxa"/>
            <w:vAlign w:val="bottom"/>
          </w:tcPr>
          <w:p>
            <w:pPr>
              <w:spacing w:after="0"/>
              <w:rPr>
                <w:sz w:val="11"/>
                <w:szCs w:val="11"/>
                <w:color w:val="auto"/>
              </w:rPr>
            </w:pPr>
          </w:p>
        </w:tc>
        <w:tc>
          <w:tcPr>
            <w:tcW w:w="9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Borders>
              <w:left w:val="single" w:sz="8" w:color="auto"/>
            </w:tcBorders>
          </w:tcPr>
          <w:p>
            <w:pPr>
              <w:spacing w:after="0"/>
              <w:rPr>
                <w:sz w:val="11"/>
                <w:szCs w:val="11"/>
                <w:color w:val="auto"/>
              </w:rPr>
            </w:pPr>
          </w:p>
        </w:tc>
        <w:tc>
          <w:tcPr>
            <w:tcW w:w="1120" w:type="dxa"/>
            <w:vAlign w:val="bottom"/>
            <w:gridSpan w:val="3"/>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1220" w:type="dxa"/>
            <w:vAlign w:val="bottom"/>
            <w:gridSpan w:val="3"/>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7"/>
              </w:rPr>
              <w:t>Change</w:t>
            </w:r>
            <w:r>
              <w:rPr>
                <w:rFonts w:ascii="Times New Roman" w:cs="Times New Roman" w:eastAsia="Times New Roman" w:hAnsi="Times New Roman"/>
                <w:sz w:val="9"/>
                <w:szCs w:val="9"/>
                <w:b w:val="1"/>
                <w:bCs w:val="1"/>
                <w:color w:val="auto"/>
                <w:w w:val="97"/>
              </w:rPr>
              <w:t>(1)</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 Change</w:t>
            </w:r>
            <w:r>
              <w:rPr>
                <w:rFonts w:ascii="Times New Roman" w:cs="Times New Roman" w:eastAsia="Times New Roman" w:hAnsi="Times New Roman"/>
                <w:sz w:val="9"/>
                <w:szCs w:val="9"/>
                <w:b w:val="1"/>
                <w:bCs w:val="1"/>
                <w:color w:val="auto"/>
                <w:w w:val="97"/>
              </w:rPr>
              <w:t>(1)</w:t>
            </w:r>
          </w:p>
        </w:tc>
        <w:tc>
          <w:tcPr>
            <w:tcW w:w="0" w:type="dxa"/>
            <w:vAlign w:val="bottom"/>
          </w:tcPr>
          <w:p>
            <w:pPr>
              <w:spacing w:after="0"/>
              <w:rPr>
                <w:sz w:val="1"/>
                <w:szCs w:val="1"/>
                <w:color w:val="auto"/>
              </w:rPr>
            </w:pPr>
          </w:p>
        </w:tc>
      </w:tr>
      <w:tr>
        <w:trPr>
          <w:trHeight w:val="157"/>
        </w:trPr>
        <w:tc>
          <w:tcPr>
            <w:tcW w:w="310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Pr>
          <w:p>
            <w:pPr>
              <w:spacing w:after="0"/>
              <w:rPr>
                <w:sz w:val="13"/>
                <w:szCs w:val="13"/>
                <w:color w:val="auto"/>
              </w:rPr>
            </w:pPr>
          </w:p>
        </w:tc>
        <w:tc>
          <w:tcPr>
            <w:tcW w:w="42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4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1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tcBorders>
              <w:left w:val="single" w:sz="8" w:color="auto"/>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0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160" w:type="dxa"/>
            <w:vAlign w:val="bottom"/>
            <w:vMerge w:val="continue"/>
            <w:shd w:val="clear" w:color="auto" w:fill="CCEEFF"/>
          </w:tcPr>
          <w:p>
            <w:pPr>
              <w:spacing w:after="0"/>
              <w:rPr>
                <w:sz w:val="16"/>
                <w:szCs w:val="16"/>
                <w:color w:val="auto"/>
              </w:rPr>
            </w:pPr>
          </w:p>
        </w:tc>
        <w:tc>
          <w:tcPr>
            <w:tcW w:w="420" w:type="dxa"/>
            <w:vAlign w:val="bottom"/>
            <w:tcBorders>
              <w:left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24,793</w:t>
            </w:r>
          </w:p>
        </w:tc>
        <w:tc>
          <w:tcPr>
            <w:tcW w:w="4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13,372</w:t>
            </w: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13,024</w:t>
            </w:r>
          </w:p>
        </w:tc>
        <w:tc>
          <w:tcPr>
            <w:tcW w:w="480" w:type="dxa"/>
            <w:vAlign w:val="bottom"/>
            <w:vMerge w:val="continue"/>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hanging="397"/>
        <w:spacing w:after="0"/>
        <w:tabs>
          <w:tab w:leader="none" w:pos="1020" w:val="left"/>
        </w:tabs>
        <w:numPr>
          <w:ilvl w:val="0"/>
          <w:numId w:val="4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Change represents the combined 2021 period compared to the year ended December 31, 2020.</w:t>
      </w:r>
    </w:p>
    <w:p>
      <w:pPr>
        <w:spacing w:after="0" w:line="210" w:lineRule="exact"/>
        <w:rPr>
          <w:sz w:val="20"/>
          <w:szCs w:val="20"/>
          <w:color w:val="auto"/>
        </w:rPr>
      </w:pPr>
    </w:p>
    <w:p>
      <w:pPr>
        <w:ind w:left="620" w:right="20"/>
        <w:spacing w:after="0" w:line="263" w:lineRule="auto"/>
        <w:rPr>
          <w:sz w:val="20"/>
          <w:szCs w:val="20"/>
          <w:color w:val="auto"/>
        </w:rPr>
      </w:pPr>
      <w:r>
        <w:rPr>
          <w:rFonts w:ascii="Times New Roman" w:cs="Times New Roman" w:eastAsia="Times New Roman" w:hAnsi="Times New Roman"/>
          <w:sz w:val="16"/>
          <w:szCs w:val="16"/>
          <w:color w:val="auto"/>
        </w:rPr>
        <w:t>Acquisition-related expenses increased by $13.0 million, or 97.4%, for the combined 2021 period compared to the year ended December 31, 2020. Acquisition-related expenses for the combined 2021 period consist of fees for investment banking advisors, lawyers, accountants, tax advisors and public relations firms directly related to the Business Combination. Acquisition-related expenses for the year ended December 31, 2020 consist entirely of costs incurred in our acquisition of Bridge2 Solutions in February 2020, including approximately $9.6 million of accelerated expense for our incentive and participation units resulting from the issuance of Class C voting units in connection with the acquisition of Bridge2 Solutions. The amount and timing of acquisition-related expenses is expected to vary across periods based on potential transaction activities.</w:t>
      </w:r>
    </w:p>
    <w:p>
      <w:pPr>
        <w:spacing w:after="0" w:line="2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6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80" w:type="dxa"/>
            <w:vAlign w:val="bottom"/>
            <w:tcBorders>
              <w:lef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100" w:type="dxa"/>
            <w:vAlign w:val="bottom"/>
          </w:tcPr>
          <w:p>
            <w:pPr>
              <w:spacing w:after="0"/>
              <w:rPr>
                <w:sz w:val="9"/>
                <w:szCs w:val="9"/>
                <w:color w:val="auto"/>
              </w:rPr>
            </w:pPr>
          </w:p>
        </w:tc>
        <w:tc>
          <w:tcPr>
            <w:tcW w:w="76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60" w:type="dxa"/>
            <w:vAlign w:val="bottom"/>
          </w:tcPr>
          <w:p>
            <w:pPr>
              <w:spacing w:after="0"/>
              <w:rPr>
                <w:sz w:val="9"/>
                <w:szCs w:val="9"/>
                <w:color w:val="auto"/>
              </w:rPr>
            </w:pPr>
          </w:p>
        </w:tc>
        <w:tc>
          <w:tcPr>
            <w:tcW w:w="480" w:type="dxa"/>
            <w:vAlign w:val="bottom"/>
            <w:tcBorders>
              <w:left w:val="single" w:sz="8" w:color="auto"/>
            </w:tcBorders>
          </w:tcPr>
          <w:p>
            <w:pPr>
              <w:spacing w:after="0"/>
              <w:rPr>
                <w:sz w:val="9"/>
                <w:szCs w:val="9"/>
                <w:color w:val="auto"/>
              </w:rPr>
            </w:pPr>
          </w:p>
        </w:tc>
        <w:tc>
          <w:tcPr>
            <w:tcW w:w="1180" w:type="dxa"/>
            <w:vAlign w:val="bottom"/>
            <w:gridSpan w:val="3"/>
          </w:tcPr>
          <w:p>
            <w:pPr>
              <w:jc w:val="center"/>
              <w:ind w:right="54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160" w:type="dxa"/>
            <w:vAlign w:val="bottom"/>
          </w:tcPr>
          <w:p>
            <w:pPr>
              <w:spacing w:after="0"/>
              <w:rPr>
                <w:sz w:val="9"/>
                <w:szCs w:val="9"/>
                <w:color w:val="auto"/>
              </w:rPr>
            </w:pPr>
          </w:p>
        </w:tc>
        <w:tc>
          <w:tcPr>
            <w:tcW w:w="8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Pr>
          <w:p>
            <w:pPr>
              <w:spacing w:after="0"/>
              <w:rPr>
                <w:sz w:val="11"/>
                <w:szCs w:val="11"/>
                <w:color w:val="auto"/>
              </w:rPr>
            </w:pPr>
          </w:p>
        </w:tc>
        <w:tc>
          <w:tcPr>
            <w:tcW w:w="48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48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6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160" w:type="dxa"/>
            <w:vAlign w:val="bottom"/>
          </w:tcPr>
          <w:p>
            <w:pPr>
              <w:spacing w:after="0"/>
              <w:rPr>
                <w:sz w:val="11"/>
                <w:szCs w:val="11"/>
                <w:color w:val="auto"/>
              </w:rPr>
            </w:pPr>
          </w:p>
        </w:tc>
        <w:tc>
          <w:tcPr>
            <w:tcW w:w="84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ended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 in thousands)</w:t>
            </w:r>
          </w:p>
        </w:tc>
        <w:tc>
          <w:tcPr>
            <w:tcW w:w="9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80" w:type="dxa"/>
            <w:vAlign w:val="bottom"/>
            <w:tcBorders>
              <w:left w:val="single" w:sz="8" w:color="auto"/>
            </w:tcBorders>
          </w:tcPr>
          <w:p>
            <w:pPr>
              <w:spacing w:after="0"/>
              <w:rPr>
                <w:sz w:val="11"/>
                <w:szCs w:val="11"/>
                <w:color w:val="auto"/>
              </w:rPr>
            </w:pPr>
          </w:p>
        </w:tc>
        <w:tc>
          <w:tcPr>
            <w:tcW w:w="1180" w:type="dxa"/>
            <w:vAlign w:val="bottom"/>
            <w:gridSpan w:val="3"/>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rPr>
              <w:t>October 14,</w:t>
            </w:r>
          </w:p>
        </w:tc>
        <w:tc>
          <w:tcPr>
            <w:tcW w:w="100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vMerge w:val="restart"/>
          </w:tcPr>
          <w:p>
            <w:pPr>
              <w:spacing w:after="0"/>
              <w:rPr>
                <w:sz w:val="11"/>
                <w:szCs w:val="1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w w:val="97"/>
              </w:rPr>
              <w:t>Change</w:t>
            </w:r>
            <w:r>
              <w:rPr>
                <w:rFonts w:ascii="Times New Roman" w:cs="Times New Roman" w:eastAsia="Times New Roman" w:hAnsi="Times New Roman"/>
                <w:sz w:val="9"/>
                <w:szCs w:val="9"/>
                <w:b w:val="1"/>
                <w:bCs w:val="1"/>
                <w:color w:val="auto"/>
                <w:w w:val="97"/>
              </w:rPr>
              <w:t>(1)</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 Change</w:t>
            </w:r>
            <w:r>
              <w:rPr>
                <w:rFonts w:ascii="Times New Roman" w:cs="Times New Roman" w:eastAsia="Times New Roman" w:hAnsi="Times New Roman"/>
                <w:sz w:val="9"/>
                <w:szCs w:val="9"/>
                <w:b w:val="1"/>
                <w:bCs w:val="1"/>
                <w:color w:val="auto"/>
                <w:w w:val="97"/>
              </w:rPr>
              <w:t>(1)</w:t>
            </w:r>
          </w:p>
        </w:tc>
        <w:tc>
          <w:tcPr>
            <w:tcW w:w="0" w:type="dxa"/>
            <w:vAlign w:val="bottom"/>
          </w:tcPr>
          <w:p>
            <w:pPr>
              <w:spacing w:after="0"/>
              <w:rPr>
                <w:sz w:val="1"/>
                <w:szCs w:val="1"/>
                <w:color w:val="auto"/>
              </w:rPr>
            </w:pPr>
          </w:p>
        </w:tc>
      </w:tr>
      <w:tr>
        <w:trPr>
          <w:trHeight w:val="157"/>
        </w:trPr>
        <w:tc>
          <w:tcPr>
            <w:tcW w:w="4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Pr>
          <w:p>
            <w:pPr>
              <w:spacing w:after="0"/>
              <w:rPr>
                <w:sz w:val="13"/>
                <w:szCs w:val="13"/>
                <w:color w:val="auto"/>
              </w:rPr>
            </w:pPr>
          </w:p>
        </w:tc>
        <w:tc>
          <w:tcPr>
            <w:tcW w:w="48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24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80" w:type="dxa"/>
            <w:vAlign w:val="bottom"/>
            <w:tcBorders>
              <w:left w:val="single" w:sz="8" w:color="auto"/>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w:t>
            </w:r>
          </w:p>
        </w:tc>
        <w:tc>
          <w:tcPr>
            <w:tcW w:w="160" w:type="dxa"/>
            <w:vAlign w:val="bottom"/>
            <w:vMerge w:val="continue"/>
            <w:shd w:val="clear" w:color="auto" w:fill="CCEEFF"/>
          </w:tcPr>
          <w:p>
            <w:pPr>
              <w:spacing w:after="0"/>
              <w:rPr>
                <w:sz w:val="16"/>
                <w:szCs w:val="16"/>
                <w:color w:val="auto"/>
              </w:rPr>
            </w:pPr>
          </w:p>
        </w:tc>
        <w:tc>
          <w:tcPr>
            <w:tcW w:w="480" w:type="dxa"/>
            <w:vAlign w:val="bottom"/>
            <w:tcBorders>
              <w:left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9,620</w:t>
            </w:r>
          </w:p>
        </w:tc>
        <w:tc>
          <w:tcPr>
            <w:tcW w:w="5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8,159</w:t>
            </w:r>
          </w:p>
        </w:tc>
        <w:tc>
          <w:tcPr>
            <w:tcW w:w="24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540" w:type="dxa"/>
            <w:vAlign w:val="bottom"/>
            <w:vMerge w:val="continue"/>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hanging="397"/>
        <w:spacing w:after="0"/>
        <w:tabs>
          <w:tab w:leader="none" w:pos="1020" w:val="left"/>
        </w:tabs>
        <w:numPr>
          <w:ilvl w:val="0"/>
          <w:numId w:val="4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Change represents the combined 2021 period compared to the year ended December 31, 2020.</w:t>
      </w:r>
    </w:p>
    <w:p>
      <w:pPr>
        <w:spacing w:after="0" w:line="210" w:lineRule="exact"/>
        <w:rPr>
          <w:sz w:val="20"/>
          <w:szCs w:val="20"/>
          <w:color w:val="auto"/>
        </w:rPr>
      </w:pPr>
    </w:p>
    <w:p>
      <w:pPr>
        <w:ind w:left="620" w:right="20"/>
        <w:spacing w:after="0" w:line="263" w:lineRule="auto"/>
        <w:rPr>
          <w:sz w:val="20"/>
          <w:szCs w:val="20"/>
          <w:color w:val="auto"/>
        </w:rPr>
      </w:pPr>
      <w:r>
        <w:rPr>
          <w:rFonts w:ascii="Times New Roman" w:cs="Times New Roman" w:eastAsia="Times New Roman" w:hAnsi="Times New Roman"/>
          <w:sz w:val="16"/>
          <w:szCs w:val="16"/>
          <w:color w:val="auto"/>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customer relationships from the Business Combination and the Bridge2 Solutions acquisition. Depreciation and amortization increased by $6.9 million, or 84.4%, for the combined 2021 period compared to the year ended December 31, 2020. The increase was primarily due to increases of $4.0 million related to the step-up in basis of the technology and customer relationships acquired in connection with the Business Combination and $2.8 million related to additional capitalized software development cost amortization.</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0620"/>
          </w:cols>
          <w:pgMar w:left="320" w:top="453" w:right="959" w:bottom="1440" w:gutter="0" w:footer="0" w:header="0"/>
        </w:sectPr>
      </w:pPr>
    </w:p>
    <w:bookmarkStart w:id="76" w:name="page77"/>
    <w:bookmarkEnd w:id="7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260" w:type="dxa"/>
            <w:vAlign w:val="bottom"/>
          </w:tcPr>
          <w:p>
            <w:pPr>
              <w:spacing w:after="0"/>
              <w:rPr>
                <w:sz w:val="9"/>
                <w:szCs w:val="9"/>
                <w:color w:val="auto"/>
              </w:rPr>
            </w:pPr>
          </w:p>
        </w:tc>
        <w:tc>
          <w:tcPr>
            <w:tcW w:w="76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3"/>
          </w:tcPr>
          <w:p>
            <w:pPr>
              <w:jc w:val="center"/>
              <w:ind w:right="46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200" w:type="dxa"/>
            <w:vAlign w:val="bottom"/>
          </w:tcPr>
          <w:p>
            <w:pPr>
              <w:spacing w:after="0"/>
              <w:rPr>
                <w:sz w:val="9"/>
                <w:szCs w:val="9"/>
                <w:color w:val="auto"/>
              </w:rPr>
            </w:pPr>
          </w:p>
        </w:tc>
        <w:tc>
          <w:tcPr>
            <w:tcW w:w="102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20" w:type="dxa"/>
            <w:vAlign w:val="bottom"/>
            <w:shd w:val="clear" w:color="auto" w:fill="000000"/>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200" w:type="dxa"/>
            <w:vAlign w:val="bottom"/>
          </w:tcPr>
          <w:p>
            <w:pPr>
              <w:spacing w:after="0"/>
              <w:rPr>
                <w:sz w:val="11"/>
                <w:szCs w:val="11"/>
                <w:color w:val="auto"/>
              </w:rPr>
            </w:pPr>
          </w:p>
        </w:tc>
        <w:tc>
          <w:tcPr>
            <w:tcW w:w="1020" w:type="dxa"/>
            <w:vAlign w:val="bottom"/>
            <w:gridSpan w:val="2"/>
          </w:tcPr>
          <w:p>
            <w:pPr>
              <w:jc w:val="center"/>
              <w:ind w:right="640"/>
              <w:spacing w:after="0" w:line="135" w:lineRule="exact"/>
              <w:rPr>
                <w:sz w:val="20"/>
                <w:szCs w:val="20"/>
                <w:color w:val="auto"/>
              </w:rPr>
            </w:pPr>
            <w:r>
              <w:rPr>
                <w:rFonts w:ascii="Times New Roman" w:cs="Times New Roman" w:eastAsia="Times New Roman" w:hAnsi="Times New Roman"/>
                <w:sz w:val="13"/>
                <w:szCs w:val="13"/>
                <w:b w:val="1"/>
                <w:bCs w:val="1"/>
                <w:color w:val="auto"/>
              </w:rPr>
              <w:t>ended</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 in thousands)</w:t>
            </w:r>
          </w:p>
        </w:tc>
        <w:tc>
          <w:tcPr>
            <w:tcW w:w="9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shd w:val="clear" w:color="auto" w:fill="000000"/>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1220" w:type="dxa"/>
            <w:vAlign w:val="bottom"/>
            <w:gridSpan w:val="3"/>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 Change</w:t>
            </w:r>
            <w:r>
              <w:rPr>
                <w:rFonts w:ascii="Times New Roman" w:cs="Times New Roman" w:eastAsia="Times New Roman" w:hAnsi="Times New Roman"/>
                <w:sz w:val="9"/>
                <w:szCs w:val="9"/>
                <w:b w:val="1"/>
                <w:bCs w:val="1"/>
                <w:color w:val="auto"/>
                <w:w w:val="98"/>
              </w:rPr>
              <w:t>(1)</w:t>
            </w:r>
          </w:p>
        </w:tc>
        <w:tc>
          <w:tcPr>
            <w:tcW w:w="500" w:type="dxa"/>
            <w:vAlign w:val="bottom"/>
            <w:vMerge w:val="restart"/>
          </w:tcPr>
          <w:p>
            <w:pPr>
              <w:spacing w:after="0"/>
              <w:rPr>
                <w:sz w:val="11"/>
                <w:szCs w:val="11"/>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 Change</w:t>
            </w:r>
            <w:r>
              <w:rPr>
                <w:rFonts w:ascii="Times New Roman" w:cs="Times New Roman" w:eastAsia="Times New Roman" w:hAnsi="Times New Roman"/>
                <w:sz w:val="9"/>
                <w:szCs w:val="9"/>
                <w:b w:val="1"/>
                <w:bCs w:val="1"/>
                <w:color w:val="auto"/>
              </w:rPr>
              <w:t>(1)</w:t>
            </w:r>
          </w:p>
        </w:tc>
        <w:tc>
          <w:tcPr>
            <w:tcW w:w="2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26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4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CCEEFF"/>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15,292</w:t>
            </w: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2"/>
              </w:rPr>
              <w:t>$ (10,498)</w:t>
            </w:r>
          </w:p>
        </w:tc>
        <w:tc>
          <w:tcPr>
            <w:tcW w:w="5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hanging="397"/>
        <w:spacing w:after="0"/>
        <w:tabs>
          <w:tab w:leader="none" w:pos="1020" w:val="left"/>
        </w:tabs>
        <w:numPr>
          <w:ilvl w:val="0"/>
          <w:numId w:val="4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Change represents the combined 2021 period compared to the year ended December 31, 2020.</w:t>
      </w:r>
    </w:p>
    <w:p>
      <w:pPr>
        <w:spacing w:after="0" w:line="210" w:lineRule="exact"/>
        <w:rPr>
          <w:sz w:val="20"/>
          <w:szCs w:val="20"/>
          <w:color w:val="auto"/>
        </w:rPr>
      </w:pPr>
    </w:p>
    <w:p>
      <w:pPr>
        <w:ind w:left="620" w:right="100"/>
        <w:spacing w:after="0" w:line="267" w:lineRule="auto"/>
        <w:rPr>
          <w:sz w:val="20"/>
          <w:szCs w:val="20"/>
          <w:color w:val="auto"/>
        </w:rPr>
      </w:pPr>
      <w:r>
        <w:rPr>
          <w:rFonts w:ascii="Times New Roman" w:cs="Times New Roman" w:eastAsia="Times New Roman" w:hAnsi="Times New Roman"/>
          <w:sz w:val="16"/>
          <w:szCs w:val="16"/>
          <w:color w:val="auto"/>
        </w:rPr>
        <w:t>Impairment expense decreased by $10.5 million, or 68.7%, for the combined 2021 period compared to the year ended December 31, 2020. During the combined 2021 period, we recorded impairment charges of $3.6 million in the Predecessor period to measure the fair value of a customer consideration asset at $0 after reassessing the future consideration expected to be received less cost of services from our relationship with a strategic partner and $1.2 million related to the termination of a software license agreement in the Successor period.</w:t>
      </w:r>
    </w:p>
    <w:p>
      <w:pPr>
        <w:spacing w:after="0" w:line="2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Loss from Change in Fair Value of Warrant Liability</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8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5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vMerge w:val="restart"/>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180" w:type="dxa"/>
            <w:vAlign w:val="bottom"/>
            <w:gridSpan w:val="2"/>
          </w:tcPr>
          <w:p>
            <w:pPr>
              <w:jc w:val="center"/>
              <w:ind w:left="375"/>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20" w:type="dxa"/>
            <w:vAlign w:val="bottom"/>
            <w:shd w:val="clear" w:color="auto" w:fill="000000"/>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center"/>
              <w:ind w:right="111"/>
              <w:spacing w:after="0" w:line="135" w:lineRule="exact"/>
              <w:rPr>
                <w:sz w:val="20"/>
                <w:szCs w:val="20"/>
                <w:color w:val="auto"/>
              </w:rPr>
            </w:pPr>
            <w:r>
              <w:rPr>
                <w:rFonts w:ascii="Times New Roman" w:cs="Times New Roman" w:eastAsia="Times New Roman" w:hAnsi="Times New Roman"/>
                <w:sz w:val="13"/>
                <w:szCs w:val="13"/>
                <w:b w:val="1"/>
                <w:bCs w:val="1"/>
                <w:color w:val="auto"/>
              </w:rPr>
              <w:t>ended</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 in thousands)</w:t>
            </w:r>
          </w:p>
        </w:tc>
        <w:tc>
          <w:tcPr>
            <w:tcW w:w="42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shd w:val="clear" w:color="auto" w:fill="000000"/>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October 14,</w:t>
            </w:r>
          </w:p>
        </w:tc>
        <w:tc>
          <w:tcPr>
            <w:tcW w:w="54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 Change</w:t>
            </w:r>
            <w:r>
              <w:rPr>
                <w:rFonts w:ascii="Times New Roman" w:cs="Times New Roman" w:eastAsia="Times New Roman" w:hAnsi="Times New Roman"/>
                <w:sz w:val="9"/>
                <w:szCs w:val="9"/>
                <w:b w:val="1"/>
                <w:bCs w:val="1"/>
                <w:color w:val="auto"/>
              </w:rPr>
              <w:t>(1)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7"/>
              </w:rPr>
              <w:t>% Change</w:t>
            </w:r>
            <w:r>
              <w:rPr>
                <w:rFonts w:ascii="Times New Roman" w:cs="Times New Roman" w:eastAsia="Times New Roman" w:hAnsi="Times New Roman"/>
                <w:sz w:val="9"/>
                <w:szCs w:val="9"/>
                <w:b w:val="1"/>
                <w:bCs w:val="1"/>
                <w:color w:val="auto"/>
                <w:w w:val="97"/>
              </w:rPr>
              <w:t>(1)</w:t>
            </w:r>
          </w:p>
        </w:tc>
        <w:tc>
          <w:tcPr>
            <w:tcW w:w="0" w:type="dxa"/>
            <w:vAlign w:val="bottom"/>
          </w:tcPr>
          <w:p>
            <w:pPr>
              <w:spacing w:after="0"/>
              <w:rPr>
                <w:sz w:val="1"/>
                <w:szCs w:val="1"/>
                <w:color w:val="auto"/>
              </w:rPr>
            </w:pPr>
          </w:p>
        </w:tc>
      </w:tr>
      <w:tr>
        <w:trPr>
          <w:trHeight w:val="157"/>
        </w:trPr>
        <w:tc>
          <w:tcPr>
            <w:tcW w:w="3700" w:type="dxa"/>
            <w:vAlign w:val="bottom"/>
            <w:vMerge w:val="continue"/>
          </w:tcPr>
          <w:p>
            <w:pPr>
              <w:spacing w:after="0"/>
              <w:rPr>
                <w:sz w:val="13"/>
                <w:szCs w:val="13"/>
                <w:color w:val="auto"/>
              </w:rPr>
            </w:pPr>
          </w:p>
        </w:tc>
        <w:tc>
          <w:tcPr>
            <w:tcW w:w="1180" w:type="dxa"/>
            <w:vAlign w:val="bottom"/>
            <w:gridSpan w:val="2"/>
          </w:tcPr>
          <w:p>
            <w:pPr>
              <w:jc w:val="center"/>
              <w:ind w:left="375"/>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5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change in fair value of warrant liability</w:t>
            </w:r>
          </w:p>
        </w:tc>
        <w:tc>
          <w:tcPr>
            <w:tcW w:w="4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(79,373)</w:t>
            </w: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89"/>
              </w:rPr>
              <w:t>$ (79,373)</w:t>
            </w:r>
          </w:p>
        </w:tc>
        <w:tc>
          <w:tcPr>
            <w:tcW w:w="5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hanging="397"/>
        <w:spacing w:after="0"/>
        <w:tabs>
          <w:tab w:leader="none" w:pos="1020" w:val="left"/>
        </w:tabs>
        <w:numPr>
          <w:ilvl w:val="0"/>
          <w:numId w:val="4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Change represents the combined 2021 period compared to the year ended December 31, 2020.</w:t>
      </w:r>
    </w:p>
    <w:p>
      <w:pPr>
        <w:spacing w:after="0" w:line="210" w:lineRule="exact"/>
        <w:rPr>
          <w:sz w:val="20"/>
          <w:szCs w:val="20"/>
          <w:color w:val="auto"/>
        </w:rPr>
      </w:pPr>
    </w:p>
    <w:p>
      <w:pPr>
        <w:jc w:val="both"/>
        <w:ind w:left="620" w:right="60"/>
        <w:spacing w:after="0" w:line="273" w:lineRule="auto"/>
        <w:rPr>
          <w:sz w:val="20"/>
          <w:szCs w:val="20"/>
          <w:color w:val="auto"/>
        </w:rPr>
      </w:pPr>
      <w:r>
        <w:rPr>
          <w:rFonts w:ascii="Times New Roman" w:cs="Times New Roman" w:eastAsia="Times New Roman" w:hAnsi="Times New Roman"/>
          <w:sz w:val="16"/>
          <w:szCs w:val="16"/>
          <w:color w:val="auto"/>
        </w:rPr>
        <w:t>We recorded a loss of $79.4 million during the period from October 15, 2021 through December 31, 2021 for the change in fair value on the revaluation of our warrant liability associated with our public and private placement warrants. This is a non-cash charge and is driven by fluctuations in the market price of our warrants.</w:t>
      </w:r>
    </w:p>
    <w:p>
      <w:pPr>
        <w:spacing w:after="0" w:line="2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24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Predecessor</w:t>
            </w: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20" w:type="dxa"/>
            <w:vAlign w:val="bottom"/>
            <w:tcBorders>
              <w:lef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240" w:type="dxa"/>
            <w:vAlign w:val="bottom"/>
          </w:tcPr>
          <w:p>
            <w:pPr>
              <w:spacing w:after="0"/>
              <w:rPr>
                <w:sz w:val="9"/>
                <w:szCs w:val="9"/>
                <w:color w:val="auto"/>
              </w:rPr>
            </w:pPr>
          </w:p>
        </w:tc>
        <w:tc>
          <w:tcPr>
            <w:tcW w:w="520" w:type="dxa"/>
            <w:vAlign w:val="bottom"/>
            <w:tcBorders>
              <w:left w:val="single" w:sz="8" w:color="auto"/>
            </w:tcBorders>
          </w:tcPr>
          <w:p>
            <w:pPr>
              <w:spacing w:after="0"/>
              <w:rPr>
                <w:sz w:val="9"/>
                <w:szCs w:val="9"/>
                <w:color w:val="auto"/>
              </w:rPr>
            </w:pPr>
          </w:p>
        </w:tc>
        <w:tc>
          <w:tcPr>
            <w:tcW w:w="68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240" w:type="dxa"/>
            <w:vAlign w:val="bottom"/>
          </w:tcPr>
          <w:p>
            <w:pPr>
              <w:spacing w:after="0"/>
              <w:rPr>
                <w:sz w:val="11"/>
                <w:szCs w:val="11"/>
                <w:color w:val="auto"/>
              </w:rPr>
            </w:pPr>
          </w:p>
        </w:tc>
        <w:tc>
          <w:tcPr>
            <w:tcW w:w="52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rPr>
              <w:t>2021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52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ended</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 in thousands)</w:t>
            </w:r>
          </w:p>
        </w:tc>
        <w:tc>
          <w:tcPr>
            <w:tcW w:w="1000" w:type="dxa"/>
            <w:vAlign w:val="bottom"/>
          </w:tcPr>
          <w:p>
            <w:pPr>
              <w:spacing w:after="0"/>
              <w:rPr>
                <w:sz w:val="11"/>
                <w:szCs w:val="11"/>
                <w:color w:val="auto"/>
              </w:rPr>
            </w:pPr>
          </w:p>
        </w:tc>
        <w:tc>
          <w:tcPr>
            <w:tcW w:w="100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20" w:type="dxa"/>
            <w:vAlign w:val="bottom"/>
            <w:tcBorders>
              <w:left w:val="single" w:sz="8" w:color="auto"/>
            </w:tcBorders>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560" w:type="dxa"/>
            <w:vAlign w:val="bottom"/>
          </w:tcPr>
          <w:p>
            <w:pPr>
              <w:spacing w:after="0"/>
              <w:rPr>
                <w:sz w:val="11"/>
                <w:szCs w:val="11"/>
                <w:color w:val="auto"/>
              </w:rPr>
            </w:pPr>
          </w:p>
        </w:tc>
        <w:tc>
          <w:tcPr>
            <w:tcW w:w="110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w w:val="97"/>
              </w:rPr>
              <w:t>Change</w:t>
            </w:r>
            <w:r>
              <w:rPr>
                <w:rFonts w:ascii="Times New Roman" w:cs="Times New Roman" w:eastAsia="Times New Roman" w:hAnsi="Times New Roman"/>
                <w:sz w:val="9"/>
                <w:szCs w:val="9"/>
                <w:b w:val="1"/>
                <w:bCs w:val="1"/>
                <w:color w:val="auto"/>
                <w:w w:val="97"/>
              </w:rPr>
              <w:t>(1)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7"/>
              </w:rPr>
              <w:t>% Change</w:t>
            </w:r>
            <w:r>
              <w:rPr>
                <w:rFonts w:ascii="Times New Roman" w:cs="Times New Roman" w:eastAsia="Times New Roman" w:hAnsi="Times New Roman"/>
                <w:sz w:val="9"/>
                <w:szCs w:val="9"/>
                <w:b w:val="1"/>
                <w:bCs w:val="1"/>
                <w:color w:val="auto"/>
                <w:w w:val="97"/>
              </w:rPr>
              <w:t>(1)</w:t>
            </w:r>
          </w:p>
        </w:tc>
        <w:tc>
          <w:tcPr>
            <w:tcW w:w="0" w:type="dxa"/>
            <w:vAlign w:val="bottom"/>
          </w:tcPr>
          <w:p>
            <w:pPr>
              <w:spacing w:after="0"/>
              <w:rPr>
                <w:sz w:val="1"/>
                <w:szCs w:val="1"/>
                <w:color w:val="auto"/>
              </w:rPr>
            </w:pPr>
          </w:p>
        </w:tc>
      </w:tr>
      <w:tr>
        <w:trPr>
          <w:trHeight w:val="157"/>
        </w:trPr>
        <w:tc>
          <w:tcPr>
            <w:tcW w:w="2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40" w:type="dxa"/>
            <w:vAlign w:val="bottom"/>
          </w:tcPr>
          <w:p>
            <w:pPr>
              <w:spacing w:after="0"/>
              <w:rPr>
                <w:sz w:val="13"/>
                <w:szCs w:val="13"/>
                <w:color w:val="auto"/>
              </w:rPr>
            </w:pPr>
          </w:p>
        </w:tc>
        <w:tc>
          <w:tcPr>
            <w:tcW w:w="5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2021</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3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2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left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5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5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hanging="397"/>
        <w:spacing w:after="0"/>
        <w:tabs>
          <w:tab w:leader="none" w:pos="1020" w:val="left"/>
        </w:tabs>
        <w:numPr>
          <w:ilvl w:val="0"/>
          <w:numId w:val="4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Change represents the combined 2021 period compared to the year ended December 31, 2020.</w:t>
      </w:r>
    </w:p>
    <w:p>
      <w:pPr>
        <w:spacing w:after="0" w:line="210" w:lineRule="exact"/>
        <w:rPr>
          <w:sz w:val="20"/>
          <w:szCs w:val="20"/>
          <w:color w:val="auto"/>
        </w:rPr>
      </w:pPr>
    </w:p>
    <w:p>
      <w:pPr>
        <w:ind w:left="620" w:right="220"/>
        <w:spacing w:after="0" w:line="264" w:lineRule="auto"/>
        <w:rPr>
          <w:sz w:val="20"/>
          <w:szCs w:val="20"/>
          <w:color w:val="auto"/>
        </w:rPr>
      </w:pPr>
      <w:r>
        <w:rPr>
          <w:rFonts w:ascii="Times New Roman" w:cs="Times New Roman" w:eastAsia="Times New Roman" w:hAnsi="Times New Roman"/>
          <w:sz w:val="16"/>
          <w:szCs w:val="16"/>
          <w:color w:val="auto"/>
        </w:rPr>
        <w:t>Other income (expense), net primarily consists of non-operating gains and losses and income from the sale of bitcoin outside the normal course of business. During the combined 2021 period, we had other income of $1.3 million as compared to other expense of $0.2 million for the year ended December 31, 2020. During the combined 2021 period, we recorded income of $1.3 million for the extinguishment of the liability associated with the software license agreement in the Successor period and income of $1.0 million for the sale of cryptoassets outside of the normal course of business in the Predecessor. This income was partially offset by $0.6 million of foreign currency transaction losses.</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0620"/>
          </w:cols>
          <w:pgMar w:left="320" w:top="452" w:right="959" w:bottom="1440" w:gutter="0" w:footer="0" w:header="0"/>
        </w:sectPr>
      </w:pPr>
    </w:p>
    <w:bookmarkStart w:id="77" w:name="page78"/>
    <w:bookmarkEnd w:id="7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Income tax (expense) benefit</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2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8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80" w:type="dxa"/>
            <w:vAlign w:val="bottom"/>
            <w:tcBorders>
              <w:lef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80" w:type="dxa"/>
            <w:vAlign w:val="bottom"/>
          </w:tcPr>
          <w:p>
            <w:pPr>
              <w:spacing w:after="0"/>
              <w:rPr>
                <w:sz w:val="9"/>
                <w:szCs w:val="9"/>
                <w:color w:val="auto"/>
              </w:rPr>
            </w:pPr>
          </w:p>
        </w:tc>
        <w:tc>
          <w:tcPr>
            <w:tcW w:w="480" w:type="dxa"/>
            <w:vAlign w:val="bottom"/>
            <w:tcBorders>
              <w:left w:val="single" w:sz="8" w:color="auto"/>
            </w:tcBorders>
          </w:tcPr>
          <w:p>
            <w:pPr>
              <w:spacing w:after="0"/>
              <w:rPr>
                <w:sz w:val="9"/>
                <w:szCs w:val="9"/>
                <w:color w:val="auto"/>
              </w:rPr>
            </w:pPr>
          </w:p>
        </w:tc>
        <w:tc>
          <w:tcPr>
            <w:tcW w:w="1200" w:type="dxa"/>
            <w:vAlign w:val="bottom"/>
            <w:gridSpan w:val="3"/>
          </w:tcPr>
          <w:p>
            <w:pPr>
              <w:jc w:val="center"/>
              <w:ind w:right="56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160" w:type="dxa"/>
            <w:vAlign w:val="bottom"/>
          </w:tcPr>
          <w:p>
            <w:pPr>
              <w:spacing w:after="0"/>
              <w:rPr>
                <w:sz w:val="9"/>
                <w:szCs w:val="9"/>
                <w:color w:val="auto"/>
              </w:rPr>
            </w:pPr>
          </w:p>
        </w:tc>
        <w:tc>
          <w:tcPr>
            <w:tcW w:w="9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860" w:type="dxa"/>
            <w:vAlign w:val="bottom"/>
            <w:gridSpan w:val="2"/>
          </w:tcPr>
          <w:p>
            <w:pPr>
              <w:jc w:val="center"/>
              <w:ind w:left="1015"/>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1"/>
                <w:szCs w:val="11"/>
                <w:color w:val="auto"/>
              </w:rPr>
            </w:pPr>
          </w:p>
        </w:tc>
        <w:tc>
          <w:tcPr>
            <w:tcW w:w="48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48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6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160" w:type="dxa"/>
            <w:vAlign w:val="bottom"/>
          </w:tcPr>
          <w:p>
            <w:pPr>
              <w:spacing w:after="0"/>
              <w:rPr>
                <w:sz w:val="11"/>
                <w:szCs w:val="11"/>
                <w:color w:val="auto"/>
              </w:rPr>
            </w:pPr>
          </w:p>
        </w:tc>
        <w:tc>
          <w:tcPr>
            <w:tcW w:w="920" w:type="dxa"/>
            <w:vAlign w:val="bottom"/>
            <w:gridSpan w:val="2"/>
          </w:tcPr>
          <w:p>
            <w:pPr>
              <w:jc w:val="center"/>
              <w:ind w:right="500"/>
              <w:spacing w:after="0" w:line="135" w:lineRule="exact"/>
              <w:rPr>
                <w:sz w:val="20"/>
                <w:szCs w:val="20"/>
                <w:color w:val="auto"/>
              </w:rPr>
            </w:pPr>
            <w:r>
              <w:rPr>
                <w:rFonts w:ascii="Times New Roman" w:cs="Times New Roman" w:eastAsia="Times New Roman" w:hAnsi="Times New Roman"/>
                <w:sz w:val="13"/>
                <w:szCs w:val="13"/>
                <w:b w:val="1"/>
                <w:bCs w:val="1"/>
                <w:color w:val="auto"/>
              </w:rPr>
              <w:t>ended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 in thousands)</w:t>
            </w:r>
          </w:p>
        </w:tc>
        <w:tc>
          <w:tcPr>
            <w:tcW w:w="1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80" w:type="dxa"/>
            <w:vAlign w:val="bottom"/>
            <w:tcBorders>
              <w:left w:val="single" w:sz="8" w:color="auto"/>
            </w:tcBorders>
          </w:tcPr>
          <w:p>
            <w:pPr>
              <w:spacing w:after="0"/>
              <w:rPr>
                <w:sz w:val="11"/>
                <w:szCs w:val="11"/>
                <w:color w:val="auto"/>
              </w:rPr>
            </w:pPr>
          </w:p>
        </w:tc>
        <w:tc>
          <w:tcPr>
            <w:tcW w:w="1200" w:type="dxa"/>
            <w:vAlign w:val="bottom"/>
            <w:gridSpan w:val="3"/>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rPr>
              <w:t>October 14,</w:t>
            </w:r>
          </w:p>
        </w:tc>
        <w:tc>
          <w:tcPr>
            <w:tcW w:w="108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 Change</w:t>
            </w:r>
            <w:r>
              <w:rPr>
                <w:rFonts w:ascii="Times New Roman" w:cs="Times New Roman" w:eastAsia="Times New Roman" w:hAnsi="Times New Roman"/>
                <w:sz w:val="9"/>
                <w:szCs w:val="9"/>
                <w:b w:val="1"/>
                <w:bCs w:val="1"/>
                <w:color w:val="auto"/>
              </w:rPr>
              <w:t>(1)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7"/>
              </w:rPr>
              <w:t>% Change</w:t>
            </w:r>
            <w:r>
              <w:rPr>
                <w:rFonts w:ascii="Times New Roman" w:cs="Times New Roman" w:eastAsia="Times New Roman" w:hAnsi="Times New Roman"/>
                <w:sz w:val="9"/>
                <w:szCs w:val="9"/>
                <w:b w:val="1"/>
                <w:bCs w:val="1"/>
                <w:color w:val="auto"/>
                <w:w w:val="97"/>
              </w:rPr>
              <w:t>(1)</w:t>
            </w:r>
          </w:p>
        </w:tc>
        <w:tc>
          <w:tcPr>
            <w:tcW w:w="0" w:type="dxa"/>
            <w:vAlign w:val="bottom"/>
          </w:tcPr>
          <w:p>
            <w:pPr>
              <w:spacing w:after="0"/>
              <w:rPr>
                <w:sz w:val="1"/>
                <w:szCs w:val="1"/>
                <w:color w:val="auto"/>
              </w:rPr>
            </w:pPr>
          </w:p>
        </w:tc>
      </w:tr>
      <w:tr>
        <w:trPr>
          <w:trHeight w:val="157"/>
        </w:trPr>
        <w:tc>
          <w:tcPr>
            <w:tcW w:w="2980" w:type="dxa"/>
            <w:vAlign w:val="bottom"/>
            <w:vMerge w:val="continue"/>
          </w:tcPr>
          <w:p>
            <w:pPr>
              <w:spacing w:after="0"/>
              <w:rPr>
                <w:sz w:val="13"/>
                <w:szCs w:val="13"/>
                <w:color w:val="auto"/>
              </w:rPr>
            </w:pPr>
          </w:p>
        </w:tc>
        <w:tc>
          <w:tcPr>
            <w:tcW w:w="1860" w:type="dxa"/>
            <w:vAlign w:val="bottom"/>
            <w:gridSpan w:val="2"/>
          </w:tcPr>
          <w:p>
            <w:pPr>
              <w:jc w:val="center"/>
              <w:ind w:left="1015"/>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3"/>
                <w:szCs w:val="13"/>
                <w:color w:val="auto"/>
              </w:rPr>
            </w:pPr>
          </w:p>
        </w:tc>
        <w:tc>
          <w:tcPr>
            <w:tcW w:w="48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(11,751)</w:t>
            </w:r>
          </w:p>
        </w:tc>
        <w:tc>
          <w:tcPr>
            <w:tcW w:w="1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left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89"/>
              </w:rPr>
              <w:t>$ (10,758)</w:t>
            </w:r>
          </w:p>
        </w:tc>
        <w:tc>
          <w:tcPr>
            <w:tcW w:w="5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hanging="397"/>
        <w:spacing w:after="0"/>
        <w:tabs>
          <w:tab w:leader="none" w:pos="1020" w:val="left"/>
        </w:tabs>
        <w:numPr>
          <w:ilvl w:val="0"/>
          <w:numId w:val="5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Change represents the combined 2021 period compared to the year ended December 31, 2020.</w:t>
      </w:r>
    </w:p>
    <w:p>
      <w:pPr>
        <w:spacing w:after="0" w:line="210" w:lineRule="exact"/>
        <w:rPr>
          <w:sz w:val="20"/>
          <w:szCs w:val="20"/>
          <w:color w:val="auto"/>
        </w:rPr>
      </w:pPr>
    </w:p>
    <w:p>
      <w:pPr>
        <w:ind w:left="620" w:right="40"/>
        <w:spacing w:after="0" w:line="263" w:lineRule="auto"/>
        <w:rPr>
          <w:sz w:val="20"/>
          <w:szCs w:val="20"/>
          <w:color w:val="auto"/>
        </w:rPr>
      </w:pPr>
      <w:r>
        <w:rPr>
          <w:rFonts w:ascii="Times New Roman" w:cs="Times New Roman" w:eastAsia="Times New Roman" w:hAnsi="Times New Roman"/>
          <w:sz w:val="16"/>
          <w:szCs w:val="16"/>
          <w:color w:val="auto"/>
        </w:rPr>
        <w:t>Income tax expense in the successor period primarily consists of $11.7 million of deferred tax expense resulting from book-tax differences stemming from investments in Opco and its subsidiaries. Those future tax liabilities will change prospectively due to ongoing book-tax differences, which include, but are not limited to, (i) differences between book and tax loss allocation from Opco to the Company, (ii) market-to-market activity related to warrants to purchase the Company’s stock, and (iii) exchanges of Opco common units (and the corresponding shares of the Company’s Class V common stock) for shares of the Company’s Class A common stock or cash in lieu of Class A common stock. In the predecessor periods, Opco and its subsidiaries were classified as partnerships for U.S. federal income tax purposes or other pass through entities resulting in minimal impacts from income tax.</w:t>
      </w:r>
    </w:p>
    <w:p>
      <w:pPr>
        <w:spacing w:after="0" w:line="2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Supplemental Unaudited Pro Forma Financial operations</w:t>
      </w:r>
    </w:p>
    <w:p>
      <w:pPr>
        <w:spacing w:after="0" w:line="212" w:lineRule="exact"/>
        <w:rPr>
          <w:sz w:val="20"/>
          <w:szCs w:val="20"/>
          <w:color w:val="auto"/>
        </w:rPr>
      </w:pPr>
    </w:p>
    <w:p>
      <w:pPr>
        <w:ind w:left="620" w:right="120"/>
        <w:spacing w:after="0" w:line="291" w:lineRule="auto"/>
        <w:rPr>
          <w:sz w:val="20"/>
          <w:szCs w:val="20"/>
          <w:color w:val="auto"/>
        </w:rPr>
      </w:pPr>
      <w:r>
        <w:rPr>
          <w:rFonts w:ascii="Times New Roman" w:cs="Times New Roman" w:eastAsia="Times New Roman" w:hAnsi="Times New Roman"/>
          <w:sz w:val="16"/>
          <w:szCs w:val="16"/>
          <w:color w:val="auto"/>
        </w:rPr>
        <w:t>The following supplemental unaudited pro forma financial information for the years ended December 31, 2021 and 2020 presents the combined results of operations as if the VIH Business Combination and the acquisition of Bridge2 Solutions had occurred as of January 1, 2020.</w:t>
      </w:r>
    </w:p>
    <w:p>
      <w:pPr>
        <w:spacing w:after="0" w:line="142"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Management believes the supplemental unaudited pro forma information presented below provides a meaningful comparison of operating results; however, it should not be viewed as a substitute for the historical financial results of Bakkt, VIH and Bridge2 Solutions. The supplemental unaudited pro forma financial information presented below should be read in conjunction with our historical audited consolidated financial statements for the periods from October 15, 2021 through December 31, 2021 and January 1, 2021 through October 14, 2021 and the year ended December 31, 2020 included in this prospectus.</w:t>
      </w:r>
    </w:p>
    <w:p>
      <w:pPr>
        <w:spacing w:after="0" w:line="165" w:lineRule="exact"/>
        <w:rPr>
          <w:sz w:val="20"/>
          <w:szCs w:val="20"/>
          <w:color w:val="auto"/>
        </w:rPr>
      </w:pPr>
    </w:p>
    <w:p>
      <w:pPr>
        <w:ind w:left="620" w:right="40"/>
        <w:spacing w:after="0" w:line="260" w:lineRule="auto"/>
        <w:rPr>
          <w:sz w:val="20"/>
          <w:szCs w:val="20"/>
          <w:color w:val="auto"/>
        </w:rPr>
      </w:pPr>
      <w:r>
        <w:rPr>
          <w:rFonts w:ascii="Times New Roman" w:cs="Times New Roman" w:eastAsia="Times New Roman" w:hAnsi="Times New Roman"/>
          <w:sz w:val="16"/>
          <w:szCs w:val="16"/>
          <w:color w:val="auto"/>
        </w:rPr>
        <w:t>The supplemental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 In addition, future results may vary significantly from those reflected in the supplemental unaudited pro forma financial information in the table below and should not be relied upon as an indication of any of our future results of operations. The unaudited pro forma results reflect the step-up amortization adjustments for the fair value of intangible assets acquired, acquisition-related expenses, nonrecurring post-combination compensation expense, unit-based compensation expense under the new capital structure and the related adjustment to the income tax provision. The pro forma information does not reflect any operating efficiencies, post-acquisition synergies or cost savings that we may achieve with respect to the combined companies.</w:t>
      </w:r>
    </w:p>
    <w:p>
      <w:pPr>
        <w:spacing w:after="0" w:line="189" w:lineRule="exact"/>
        <w:rPr>
          <w:sz w:val="20"/>
          <w:szCs w:val="20"/>
          <w:color w:val="auto"/>
        </w:rPr>
      </w:pPr>
    </w:p>
    <w:tbl>
      <w:tblPr>
        <w:tblLayout w:type="fixed"/>
        <w:tblInd w:w="10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61"/>
              <w:spacing w:after="0" w:line="128" w:lineRule="exact"/>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1"/>
                <w:szCs w:val="11"/>
                <w:color w:val="auto"/>
              </w:rPr>
            </w:pPr>
          </w:p>
        </w:tc>
        <w:tc>
          <w:tcPr>
            <w:tcW w:w="940" w:type="dxa"/>
            <w:vAlign w:val="bottom"/>
            <w:gridSpan w:val="2"/>
          </w:tcPr>
          <w:p>
            <w:pPr>
              <w:jc w:val="right"/>
              <w:ind w:right="66"/>
              <w:spacing w:after="0" w:line="128" w:lineRule="exact"/>
              <w:rPr>
                <w:sz w:val="20"/>
                <w:szCs w:val="20"/>
                <w:color w:val="auto"/>
              </w:rPr>
            </w:pPr>
            <w:r>
              <w:rPr>
                <w:rFonts w:ascii="Times New Roman" w:cs="Times New Roman" w:eastAsia="Times New Roman" w:hAnsi="Times New Roman"/>
                <w:sz w:val="13"/>
                <w:szCs w:val="13"/>
                <w:b w:val="1"/>
                <w:bCs w:val="1"/>
                <w:color w:val="auto"/>
              </w:rPr>
              <w:t>2020</w:t>
            </w:r>
          </w:p>
        </w:tc>
        <w:tc>
          <w:tcPr>
            <w:tcW w:w="520" w:type="dxa"/>
            <w:vAlign w:val="bottom"/>
          </w:tcPr>
          <w:p>
            <w:pPr>
              <w:spacing w:after="0"/>
              <w:rPr>
                <w:sz w:val="11"/>
                <w:szCs w:val="11"/>
                <w:color w:val="auto"/>
              </w:rPr>
            </w:pPr>
          </w:p>
        </w:tc>
        <w:tc>
          <w:tcPr>
            <w:tcW w:w="8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gridSpan w:val="2"/>
          </w:tcPr>
          <w:p>
            <w:pPr>
              <w:jc w:val="right"/>
              <w:ind w:right="5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Change</w:t>
            </w:r>
          </w:p>
        </w:tc>
        <w:tc>
          <w:tcPr>
            <w:tcW w:w="6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w w:val="95"/>
              </w:rPr>
              <w:t>% Change</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tcPr>
          <w:p>
            <w:pPr>
              <w:jc w:val="right"/>
              <w:ind w:right="200"/>
              <w:spacing w:after="0" w:line="12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Bakkt gross revenue</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1,029</w:t>
            </w:r>
          </w:p>
        </w:tc>
        <w:tc>
          <w:tcPr>
            <w:tcW w:w="14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$ 2,198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(1,169)</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Bakkt contra-revenue</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(2,085)</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(4,477)</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5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VIH revenue</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Bridge2 Solutions revenue</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5"/>
              </w:rPr>
              <w:t>40,493</w:t>
            </w: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36,433</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w:t>
            </w:r>
          </w:p>
        </w:tc>
        <w:tc>
          <w:tcPr>
            <w:tcW w:w="5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revenue</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5"/>
              </w:rPr>
              <w:t>39,437</w:t>
            </w:r>
          </w:p>
        </w:tc>
        <w:tc>
          <w:tcPr>
            <w:tcW w:w="14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$34,154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5,283</w:t>
            </w:r>
          </w:p>
        </w:tc>
        <w:tc>
          <w:tcPr>
            <w:tcW w:w="5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453" w:right="959" w:bottom="1440" w:gutter="0" w:footer="0" w:header="0"/>
        </w:sectPr>
      </w:pPr>
    </w:p>
    <w:bookmarkStart w:id="78" w:name="page79"/>
    <w:bookmarkEnd w:id="7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40"/>
        <w:spacing w:after="0" w:line="264" w:lineRule="auto"/>
        <w:rPr>
          <w:sz w:val="20"/>
          <w:szCs w:val="20"/>
          <w:color w:val="auto"/>
        </w:rPr>
      </w:pPr>
      <w:r>
        <w:rPr>
          <w:rFonts w:ascii="Times New Roman" w:cs="Times New Roman" w:eastAsia="Times New Roman" w:hAnsi="Times New Roman"/>
          <w:sz w:val="16"/>
          <w:szCs w:val="16"/>
          <w:color w:val="auto"/>
        </w:rPr>
        <w:t>Pro forma revenue increased by $5.3 million, or 15.5%, for the year ended December 31, 2021 compared to the year ended December 31, 2020. The increase is primarily due to the $4.0 million increase in Bridge2 Solutions revenue resulting from an increase in travel and customers using more loyalty points as the economy recovered from the COVID-19 pandemic. The remaining increase is due to the $2.4 million reduction in Bakkt contra-revenue which was partially offset by a $1.2 million decrease in Bakkt gross revenue, both of which primarily resulted from a reduction in trading and clearing activity in the year ended December 31, 2021.</w:t>
      </w:r>
    </w:p>
    <w:p>
      <w:pPr>
        <w:spacing w:after="0" w:line="184"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4445</wp:posOffset>
            </wp:positionV>
            <wp:extent cx="245935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59355" cy="7620"/>
                    </a:xfrm>
                    <a:prstGeom prst="rect">
                      <a:avLst/>
                    </a:prstGeom>
                    <a:noFill/>
                  </pic:spPr>
                </pic:pic>
              </a:graphicData>
            </a:graphic>
          </wp:anchor>
        </w:drawing>
      </w:r>
    </w:p>
    <w:p>
      <w:pPr>
        <w:ind w:left="6360"/>
        <w:spacing w:after="0"/>
        <w:tabs>
          <w:tab w:leader="none" w:pos="7460" w:val="left"/>
          <w:tab w:leader="none" w:pos="8420" w:val="left"/>
          <w:tab w:leader="none" w:pos="9420" w:val="left"/>
        </w:tabs>
        <w:rPr>
          <w:sz w:val="20"/>
          <w:szCs w:val="20"/>
          <w:color w:val="auto"/>
        </w:rPr>
      </w:pPr>
      <w:r>
        <w:rPr>
          <w:rFonts w:ascii="Times New Roman" w:cs="Times New Roman" w:eastAsia="Times New Roman" w:hAnsi="Times New Roman"/>
          <w:sz w:val="13"/>
          <w:szCs w:val="13"/>
          <w:b w:val="1"/>
          <w:bCs w:val="1"/>
          <w:color w:val="auto"/>
        </w:rPr>
        <w:t>2021</w:t>
      </w:r>
      <w:r>
        <w:rPr>
          <w:sz w:val="20"/>
          <w:szCs w:val="20"/>
          <w:color w:val="auto"/>
        </w:rPr>
        <w:tab/>
      </w:r>
      <w:r>
        <w:rPr>
          <w:rFonts w:ascii="Times New Roman" w:cs="Times New Roman" w:eastAsia="Times New Roman" w:hAnsi="Times New Roman"/>
          <w:sz w:val="13"/>
          <w:szCs w:val="13"/>
          <w:b w:val="1"/>
          <w:bCs w:val="1"/>
          <w:color w:val="auto"/>
        </w:rPr>
        <w:t>2020</w:t>
      </w:r>
      <w:r>
        <w:rPr>
          <w:sz w:val="20"/>
          <w:szCs w:val="20"/>
          <w:color w:val="auto"/>
        </w:rPr>
        <w:tab/>
      </w:r>
      <w:r>
        <w:rPr>
          <w:rFonts w:ascii="Times New Roman" w:cs="Times New Roman" w:eastAsia="Times New Roman" w:hAnsi="Times New Roman"/>
          <w:sz w:val="13"/>
          <w:szCs w:val="13"/>
          <w:b w:val="1"/>
          <w:bCs w:val="1"/>
          <w:color w:val="auto"/>
        </w:rPr>
        <w:t>$ Change</w:t>
      </w:r>
      <w:r>
        <w:rPr>
          <w:sz w:val="20"/>
          <w:szCs w:val="20"/>
          <w:color w:val="auto"/>
        </w:rPr>
        <w:tab/>
      </w:r>
      <w:r>
        <w:rPr>
          <w:rFonts w:ascii="Times New Roman" w:cs="Times New Roman" w:eastAsia="Times New Roman" w:hAnsi="Times New Roman"/>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-3175</wp:posOffset>
            </wp:positionV>
            <wp:extent cx="179768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97685" cy="7620"/>
                    </a:xfrm>
                    <a:prstGeom prst="rect">
                      <a:avLst/>
                    </a:prstGeom>
                    <a:noFill/>
                  </pic:spPr>
                </pic:pic>
              </a:graphicData>
            </a:graphic>
          </wp:anchor>
        </w:drawing>
      </w:r>
    </w:p>
    <w:p>
      <w:pPr>
        <w:ind w:left="6980"/>
        <w:spacing w:after="0" w:line="226" w:lineRule="auto"/>
        <w:rPr>
          <w:sz w:val="20"/>
          <w:szCs w:val="20"/>
          <w:color w:val="auto"/>
        </w:rPr>
      </w:pPr>
      <w:r>
        <w:rPr>
          <w:rFonts w:ascii="Times New Roman" w:cs="Times New Roman" w:eastAsia="Times New Roman" w:hAnsi="Times New Roman"/>
          <w:sz w:val="13"/>
          <w:szCs w:val="13"/>
          <w:b w:val="1"/>
          <w:bCs w:val="1"/>
          <w:color w:val="auto"/>
        </w:rPr>
        <w:t>(dollars in thousands)</w:t>
      </w:r>
    </w:p>
    <w:p>
      <w:pPr>
        <w:spacing w:after="0" w:line="12"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(198,467)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8"/>
              </w:rPr>
              <w:t>(168,751)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8"/>
              </w:rPr>
              <w:t>(29,716)</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Less: pro forma loss attributable to noncontrolling interest</w:t>
            </w: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(165,136)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8"/>
              </w:rPr>
              <w:t>(140,376)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w w:val="98"/>
              </w:rPr>
              <w:t>(24,760)</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net loss attributable to Bakkt Holdings,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(33,331)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(28,375)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(4,956)</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20" w:right="160"/>
        <w:spacing w:after="0" w:line="267" w:lineRule="auto"/>
        <w:rPr>
          <w:sz w:val="20"/>
          <w:szCs w:val="20"/>
          <w:color w:val="auto"/>
        </w:rPr>
      </w:pPr>
      <w:r>
        <w:rPr>
          <w:rFonts w:ascii="Times New Roman" w:cs="Times New Roman" w:eastAsia="Times New Roman" w:hAnsi="Times New Roman"/>
          <w:sz w:val="16"/>
          <w:szCs w:val="16"/>
          <w:color w:val="auto"/>
        </w:rPr>
        <w:t>Pro forma net loss increased by $29.6 million, or 17.5%, for the year ended December 31, 2021 compared to the year ended December 31, 2020. The increase is primarily due to an $84.8 million increase in pro forma loss from change in fair value of warrant liability, partially offset by a $55.6 million decrease in pro forma acquisition-related expenses which resulted from a pro forma adjustment to recognize all VIH and Bakkt transaction expenses associated with the Business Combination in the year ended December 31, 2020.</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14" w:lineRule="exact"/>
        <w:rPr>
          <w:sz w:val="20"/>
          <w:szCs w:val="20"/>
          <w:color w:val="auto"/>
        </w:rPr>
      </w:pPr>
    </w:p>
    <w:p>
      <w:pPr>
        <w:ind w:left="620"/>
        <w:spacing w:after="0" w:line="258" w:lineRule="auto"/>
        <w:rPr>
          <w:sz w:val="20"/>
          <w:szCs w:val="20"/>
          <w:color w:val="auto"/>
        </w:rPr>
      </w:pPr>
      <w:r>
        <w:rPr>
          <w:rFonts w:ascii="Times New Roman" w:cs="Times New Roman" w:eastAsia="Times New Roman" w:hAnsi="Times New Roman"/>
          <w:sz w:val="16"/>
          <w:szCs w:val="16"/>
          <w:color w:val="auto"/>
        </w:rPr>
        <w:t>Since our inception, we have principally financed our operations through equity financings in the form of capital contributions from our members, and to a lesser degree, from customer revenues. On September 25, 2020, VIH consummated the Initial Public Offering of 20,000,000 Units, generating gross proceeds of $200.0 million. Simultaneously with the closing of the Initial Public Offering, VIH consummated the sale of 6,000,000 Private Placement Warrants at a price of $1.00 per Private Placement Warrant in a private placement to the Sponsor, generating gross proceeds of $6.0 million. On September 29, 2020, the underwriters notified VIH of their intention to partially exercise their over-allotment option on October 1, 2020. As such, on October 1, 2020, VIH consummated the sale of an additional 737,202 Units, at $10.00 per Unit, and the sale of an additional 147,440 private placement warrants, at $1.00 per Private Warrant, generating total gross proceeds of $7.5 million. Prior to the Business Combination, Bakkt had raised an aggregate of $482.5 million of capital, net of issuance costs, through the issuance of Class B and Class C voting units. In addition, in 2018, ICE contributed certain developed assets and rights to use exchange and clearing licenses enabling Bakkt to commence operations. As of December 31, 2021, we had</w:t>
      </w:r>
    </w:p>
    <w:p>
      <w:pPr>
        <w:ind w:left="620" w:right="160"/>
        <w:spacing w:after="0" w:line="261" w:lineRule="auto"/>
        <w:rPr>
          <w:sz w:val="20"/>
          <w:szCs w:val="20"/>
          <w:color w:val="auto"/>
        </w:rPr>
      </w:pPr>
      <w:r>
        <w:rPr>
          <w:rFonts w:ascii="Times New Roman" w:cs="Times New Roman" w:eastAsia="Times New Roman" w:hAnsi="Times New Roman"/>
          <w:sz w:val="16"/>
          <w:szCs w:val="16"/>
          <w:color w:val="auto"/>
        </w:rPr>
        <w:t>$391.4 million and $16.5 million of cash and cash equivalents and restricted cash, respectively, which amounts included the net proceeds raised in connection with the Business Combination, the amounts used to fund redemptions in connection with the Business Combination and the amounts received upon exercise of the public warrants through such date. Cash and cash equivalents consist of cash deposits at banks and money market funds. Restricted cash is held to satisfy certain minimum capital requirements pursuant to regulatory requirements.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intend to use our unrestricted cash to (i) increase our sales and marketing efforts, (ii) expand our research and product development efforts, and</w:t>
      </w:r>
    </w:p>
    <w:p>
      <w:pPr>
        <w:spacing w:after="0" w:line="28" w:lineRule="exact"/>
        <w:rPr>
          <w:sz w:val="20"/>
          <w:szCs w:val="20"/>
          <w:color w:val="auto"/>
        </w:rPr>
      </w:pPr>
    </w:p>
    <w:p>
      <w:pPr>
        <w:ind w:left="620" w:right="140" w:firstLine="3"/>
        <w:spacing w:after="0" w:line="263" w:lineRule="auto"/>
        <w:tabs>
          <w:tab w:leader="none" w:pos="90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and expand our technology infrastructure and operational support. In addition, we may in the future enter into arrangements to acquire or invest in complementary businesses, services, technologies or intellectual property rights. However, we have no agreements or commitments with respect to any such acquisitions or investments at this time.</w:t>
      </w:r>
    </w:p>
    <w:p>
      <w:pPr>
        <w:spacing w:after="0" w:line="164" w:lineRule="exact"/>
        <w:rPr>
          <w:sz w:val="20"/>
          <w:szCs w:val="20"/>
          <w:color w:val="auto"/>
        </w:rPr>
      </w:pPr>
    </w:p>
    <w:p>
      <w:pPr>
        <w:ind w:left="620" w:right="140"/>
        <w:spacing w:after="0" w:line="273" w:lineRule="auto"/>
        <w:rPr>
          <w:sz w:val="20"/>
          <w:szCs w:val="20"/>
          <w:color w:val="auto"/>
        </w:rPr>
      </w:pPr>
      <w:r>
        <w:rPr>
          <w:rFonts w:ascii="Times New Roman" w:cs="Times New Roman" w:eastAsia="Times New Roman" w:hAnsi="Times New Roman"/>
          <w:sz w:val="16"/>
          <w:szCs w:val="16"/>
          <w:color w:val="auto"/>
        </w:rPr>
        <w:t>Our expected uses of the available funds from the Business Combination are based upon our present plans, objectives and business condition. We have not determined all of the particular uses for the available funds, and management has not estimated the amount of funds, or the range of funds, to be used for any particular purpose. As a result, our management retain broad discretion over the available funds.</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0620"/>
          </w:cols>
          <w:pgMar w:left="320" w:top="452" w:right="959" w:bottom="1440" w:gutter="0" w:footer="0" w:header="0"/>
        </w:sectPr>
      </w:pPr>
    </w:p>
    <w:bookmarkStart w:id="79" w:name="page80"/>
    <w:bookmarkEnd w:id="7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In 2021, we accelerated our hiring plans and increased our marketing and promotional efforts, which we expect to continue in the near future. We may also enter into arrangements to acquire or invest in complementary businesses, services, and technologies which will likely require us to increase our cash consumption.</w:t>
      </w:r>
    </w:p>
    <w:p>
      <w:pPr>
        <w:spacing w:after="0" w:line="165" w:lineRule="exact"/>
        <w:rPr>
          <w:sz w:val="20"/>
          <w:szCs w:val="20"/>
          <w:color w:val="auto"/>
        </w:rPr>
      </w:pPr>
    </w:p>
    <w:p>
      <w:pPr>
        <w:ind w:left="620"/>
        <w:spacing w:after="0" w:line="291" w:lineRule="auto"/>
        <w:rPr>
          <w:sz w:val="20"/>
          <w:szCs w:val="20"/>
          <w:color w:val="auto"/>
        </w:rPr>
      </w:pPr>
      <w:r>
        <w:rPr>
          <w:rFonts w:ascii="Times New Roman" w:cs="Times New Roman" w:eastAsia="Times New Roman" w:hAnsi="Times New Roman"/>
          <w:sz w:val="16"/>
          <w:szCs w:val="16"/>
          <w:color w:val="auto"/>
        </w:rPr>
        <w:t>In addition, we have evaluated the impact of the COVID-19 pandemic on our liquidity and capital needs, and we anticipate that its effects will be largely neutral.</w:t>
      </w:r>
    </w:p>
    <w:p>
      <w:pPr>
        <w:spacing w:after="0" w:line="142" w:lineRule="exact"/>
        <w:rPr>
          <w:sz w:val="20"/>
          <w:szCs w:val="20"/>
          <w:color w:val="auto"/>
        </w:rPr>
      </w:pPr>
    </w:p>
    <w:p>
      <w:pPr>
        <w:ind w:left="620" w:right="60"/>
        <w:spacing w:after="0" w:line="273" w:lineRule="auto"/>
        <w:rPr>
          <w:sz w:val="20"/>
          <w:szCs w:val="20"/>
          <w:color w:val="auto"/>
        </w:rPr>
      </w:pPr>
      <w:r>
        <w:rPr>
          <w:rFonts w:ascii="Times New Roman" w:cs="Times New Roman" w:eastAsia="Times New Roman" w:hAnsi="Times New Roman"/>
          <w:sz w:val="16"/>
          <w:szCs w:val="16"/>
          <w:color w:val="auto"/>
        </w:rPr>
        <w:t>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summarizes our cash flows for the periods presented:</w:t>
      </w:r>
    </w:p>
    <w:p>
      <w:pPr>
        <w:spacing w:after="0" w:line="227" w:lineRule="exact"/>
        <w:rPr>
          <w:sz w:val="20"/>
          <w:szCs w:val="20"/>
          <w:color w:val="auto"/>
        </w:rPr>
      </w:pPr>
    </w:p>
    <w:tbl>
      <w:tblPr>
        <w:tblLayout w:type="fixed"/>
        <w:tblInd w:w="142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240" w:type="dxa"/>
            <w:vAlign w:val="bottom"/>
          </w:tcPr>
          <w:p>
            <w:pPr>
              <w:spacing w:after="0"/>
              <w:rPr>
                <w:sz w:val="9"/>
                <w:szCs w:val="9"/>
                <w:color w:val="auto"/>
              </w:rPr>
            </w:pPr>
          </w:p>
        </w:tc>
        <w:tc>
          <w:tcPr>
            <w:tcW w:w="420" w:type="dxa"/>
            <w:vAlign w:val="bottom"/>
            <w:tcBorders>
              <w:left w:val="single" w:sz="8" w:color="auto"/>
            </w:tcBorders>
          </w:tcPr>
          <w:p>
            <w:pPr>
              <w:spacing w:after="0"/>
              <w:rPr>
                <w:sz w:val="9"/>
                <w:szCs w:val="9"/>
                <w:color w:val="auto"/>
              </w:rPr>
            </w:pPr>
          </w:p>
        </w:tc>
        <w:tc>
          <w:tcPr>
            <w:tcW w:w="960" w:type="dxa"/>
            <w:vAlign w:val="bottom"/>
            <w:tcBorders>
              <w:top w:val="single" w:sz="8" w:color="auto"/>
            </w:tcBorders>
            <w:gridSpan w:val="3"/>
          </w:tcPr>
          <w:p>
            <w:pPr>
              <w:jc w:val="center"/>
              <w:ind w:right="32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2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240" w:type="dxa"/>
            <w:vAlign w:val="bottom"/>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4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2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600" w:type="dxa"/>
            <w:vAlign w:val="bottom"/>
            <w:gridSpan w:val="4"/>
          </w:tcPr>
          <w:p>
            <w:pPr>
              <w:ind w:left="60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380" w:type="dxa"/>
            <w:vAlign w:val="bottom"/>
            <w:tcBorders>
              <w:left w:val="single" w:sz="8" w:color="auto"/>
            </w:tcBorders>
            <w:gridSpan w:val="4"/>
          </w:tcPr>
          <w:p>
            <w:pPr>
              <w:jc w:val="center"/>
              <w:ind w:left="24"/>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1120" w:type="dxa"/>
            <w:vAlign w:val="bottom"/>
            <w:gridSpan w:val="4"/>
          </w:tcPr>
          <w:p>
            <w:pPr>
              <w:jc w:val="center"/>
              <w:ind w:left="84"/>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8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40" w:type="dxa"/>
            <w:vAlign w:val="bottom"/>
            <w:tcBorders>
              <w:bottom w:val="single" w:sz="8" w:color="CCEEFF"/>
            </w:tcBorders>
          </w:tcPr>
          <w:p>
            <w:pPr>
              <w:spacing w:after="0"/>
              <w:rPr>
                <w:sz w:val="13"/>
                <w:szCs w:val="13"/>
                <w:color w:val="auto"/>
              </w:rPr>
            </w:pPr>
          </w:p>
        </w:tc>
        <w:tc>
          <w:tcPr>
            <w:tcW w:w="420" w:type="dxa"/>
            <w:vAlign w:val="bottom"/>
            <w:tcBorders>
              <w:left w:val="single" w:sz="8" w:color="auto"/>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3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used in operating activities</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(83,387)</w:t>
            </w:r>
          </w:p>
        </w:tc>
        <w:tc>
          <w:tcPr>
            <w:tcW w:w="240" w:type="dxa"/>
            <w:vAlign w:val="bottom"/>
            <w:shd w:val="clear" w:color="auto" w:fill="CCEEFF"/>
          </w:tcPr>
          <w:p>
            <w:pPr>
              <w:spacing w:after="0"/>
              <w:rPr>
                <w:sz w:val="16"/>
                <w:szCs w:val="16"/>
                <w:color w:val="auto"/>
              </w:rPr>
            </w:pPr>
          </w:p>
        </w:tc>
        <w:tc>
          <w:tcPr>
            <w:tcW w:w="42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(50,915)</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Net cash flows provided by (used in) investing activities</w:t>
            </w: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27,259</w:t>
            </w:r>
          </w:p>
        </w:tc>
        <w:tc>
          <w:tcPr>
            <w:tcW w:w="240" w:type="dxa"/>
            <w:vAlign w:val="bottom"/>
          </w:tcPr>
          <w:p>
            <w:pPr>
              <w:spacing w:after="0"/>
              <w:rPr>
                <w:sz w:val="17"/>
                <w:szCs w:val="17"/>
                <w:color w:val="auto"/>
              </w:rPr>
            </w:pPr>
          </w:p>
        </w:tc>
        <w:tc>
          <w:tcPr>
            <w:tcW w:w="50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(10,342)</w:t>
            </w:r>
          </w:p>
        </w:tc>
        <w:tc>
          <w:tcPr>
            <w:tcW w:w="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256,925</w:t>
            </w:r>
          </w:p>
        </w:tc>
        <w:tc>
          <w:tcPr>
            <w:tcW w:w="240" w:type="dxa"/>
            <w:vAlign w:val="bottom"/>
            <w:shd w:val="clear" w:color="auto" w:fill="CCEEFF"/>
          </w:tcPr>
          <w:p>
            <w:pPr>
              <w:spacing w:after="0"/>
              <w:rPr>
                <w:sz w:val="17"/>
                <w:szCs w:val="17"/>
                <w:color w:val="auto"/>
              </w:rPr>
            </w:pPr>
          </w:p>
        </w:tc>
        <w:tc>
          <w:tcPr>
            <w:tcW w:w="50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(97)</w:t>
            </w:r>
          </w:p>
        </w:tc>
        <w:tc>
          <w:tcPr>
            <w:tcW w:w="4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14" w:lineRule="exact"/>
        <w:rPr>
          <w:sz w:val="20"/>
          <w:szCs w:val="20"/>
          <w:color w:val="auto"/>
        </w:rPr>
      </w:pPr>
    </w:p>
    <w:p>
      <w:pPr>
        <w:ind w:left="620" w:right="260"/>
        <w:spacing w:after="0" w:line="273" w:lineRule="auto"/>
        <w:rPr>
          <w:sz w:val="20"/>
          <w:szCs w:val="20"/>
          <w:color w:val="auto"/>
        </w:rPr>
      </w:pPr>
      <w:r>
        <w:rPr>
          <w:rFonts w:ascii="Times New Roman" w:cs="Times New Roman" w:eastAsia="Times New Roman" w:hAnsi="Times New Roman"/>
          <w:sz w:val="16"/>
          <w:szCs w:val="16"/>
          <w:color w:val="auto"/>
        </w:rPr>
        <w:t>Since our inception, we have yet to achieve positive cash flow from operations. Our primary uses of cash include compensation and benefits for headcount-related expenses, investment in software and product development of our technology platforms, most significantly our consumer app, and associated non-headcount technology and communication cost to develop, operate and support our customer-facing technology platforms.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Net cash used in operating activities of $134.3 million for the combined 2021 period was primarily related to our combined 2021 period net loss of</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$304.0 million, offset by non-cash charges of $193.8 million and changes in our operating assets and liabilities of $24.1 million. The non-cash charges</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for the combined 2021 period primarily consisted of loss from change in fair value of warrant liability of $79.4 million, unit-based compensation of</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$78.8 million, depreciation and amortization of $15.0 million and impairment of long-lived assets of $4.8 million. Net cash inflows from changes in our</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operating assets and liabilities for the combined 2021 period resulted primarily from an increase in accounts payable and accrued liabilities of</w:t>
      </w:r>
    </w:p>
    <w:p>
      <w:pPr>
        <w:spacing w:after="0" w:line="12" w:lineRule="exact"/>
        <w:rPr>
          <w:sz w:val="20"/>
          <w:szCs w:val="20"/>
          <w:color w:val="auto"/>
        </w:rPr>
      </w:pPr>
    </w:p>
    <w:p>
      <w:pPr>
        <w:ind w:left="620" w:right="80"/>
        <w:spacing w:after="0" w:line="271" w:lineRule="auto"/>
        <w:rPr>
          <w:sz w:val="20"/>
          <w:szCs w:val="20"/>
          <w:color w:val="auto"/>
        </w:rPr>
      </w:pPr>
      <w:r>
        <w:rPr>
          <w:rFonts w:ascii="Times New Roman" w:cs="Times New Roman" w:eastAsia="Times New Roman" w:hAnsi="Times New Roman"/>
          <w:sz w:val="16"/>
          <w:szCs w:val="16"/>
          <w:color w:val="auto"/>
        </w:rPr>
        <w:t>$3.6 million and the return of a deposit with our clearinghouse affiliate of $20.2 million, which were partially offset by an increase in prepaid insurance of $31.5 million, an increase in other assets and liabilities of $8.1 million and an increase in accounts receivable of $7.7 million.</w:t>
      </w:r>
    </w:p>
    <w:p>
      <w:pPr>
        <w:spacing w:after="0" w:line="157" w:lineRule="exact"/>
        <w:rPr>
          <w:sz w:val="20"/>
          <w:szCs w:val="20"/>
          <w:color w:val="auto"/>
        </w:rPr>
      </w:pPr>
    </w:p>
    <w:p>
      <w:pPr>
        <w:ind w:left="620" w:right="200"/>
        <w:spacing w:after="0" w:line="264" w:lineRule="auto"/>
        <w:rPr>
          <w:sz w:val="20"/>
          <w:szCs w:val="20"/>
          <w:color w:val="auto"/>
        </w:rPr>
      </w:pPr>
      <w:r>
        <w:rPr>
          <w:rFonts w:ascii="Times New Roman" w:cs="Times New Roman" w:eastAsia="Times New Roman" w:hAnsi="Times New Roman"/>
          <w:sz w:val="16"/>
          <w:szCs w:val="16"/>
          <w:color w:val="auto"/>
        </w:rPr>
        <w:t>Net cash used in operating activities of $30.9 million for the year ended December 31, 2020 is primarily attributable to our net loss of $79.6 million, offset by non-cash charges of $37.9 million and changes in our operating assets and liabilities of approximately $10.7 million. Non-cash charges consisted of a $15.3 million asset impairment, $11.6 million of unit-based compensation expenses, and $8.0 million of depreciation and amortization. Changes in operating assets and liabilities resulted from a $16.0 million increase in accounts payable and accruals and an $11.0 million increase in deposits with clearinghouse affiliates, offset by a</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0600"/>
          </w:cols>
          <w:pgMar w:left="320" w:top="453" w:right="979" w:bottom="1440" w:gutter="0" w:footer="0" w:header="0"/>
        </w:sectPr>
      </w:pPr>
    </w:p>
    <w:bookmarkStart w:id="80" w:name="page81"/>
    <w:bookmarkEnd w:id="8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20"/>
        <w:spacing w:after="0" w:line="291" w:lineRule="auto"/>
        <w:rPr>
          <w:sz w:val="20"/>
          <w:szCs w:val="20"/>
          <w:color w:val="auto"/>
        </w:rPr>
      </w:pPr>
      <w:r>
        <w:rPr>
          <w:rFonts w:ascii="Times New Roman" w:cs="Times New Roman" w:eastAsia="Times New Roman" w:hAnsi="Times New Roman"/>
          <w:sz w:val="16"/>
          <w:szCs w:val="16"/>
          <w:color w:val="auto"/>
        </w:rPr>
        <w:t>$7.9 million decrease in amounts due to affiliates, a $4.3 million decrease in deferred revenues and $2.8 million decrease in other assets and liabilities, and $1.2 million decrease in operating lease liabilities.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14" w:lineRule="exact"/>
        <w:rPr>
          <w:sz w:val="20"/>
          <w:szCs w:val="20"/>
          <w:color w:val="auto"/>
        </w:rPr>
      </w:pPr>
    </w:p>
    <w:p>
      <w:pPr>
        <w:ind w:left="620" w:right="60"/>
        <w:spacing w:after="0" w:line="267" w:lineRule="auto"/>
        <w:rPr>
          <w:sz w:val="20"/>
          <w:szCs w:val="20"/>
          <w:color w:val="auto"/>
        </w:rPr>
      </w:pPr>
      <w:r>
        <w:rPr>
          <w:rFonts w:ascii="Times New Roman" w:cs="Times New Roman" w:eastAsia="Times New Roman" w:hAnsi="Times New Roman"/>
          <w:sz w:val="16"/>
          <w:szCs w:val="16"/>
          <w:color w:val="auto"/>
        </w:rPr>
        <w:t>Net cash flows provided by investing activities of $16.9 million for the combined 2021 period primarily consisted of $30.8 million of cash acquired through the Business Combination and $1.8 million of proceeds from sale of shares of affiliate stock, partially offset by $15.7 million of capitalized costs of internally developed software. Capital expenditures were primary related to capitalized expenses associated with internally developed software for our technology platforms.</w:t>
      </w:r>
    </w:p>
    <w:p>
      <w:pPr>
        <w:spacing w:after="0" w:line="162" w:lineRule="exact"/>
        <w:rPr>
          <w:sz w:val="20"/>
          <w:szCs w:val="20"/>
          <w:color w:val="auto"/>
        </w:rPr>
      </w:pPr>
    </w:p>
    <w:p>
      <w:pPr>
        <w:ind w:left="620" w:right="140"/>
        <w:spacing w:after="0" w:line="273" w:lineRule="auto"/>
        <w:rPr>
          <w:sz w:val="20"/>
          <w:szCs w:val="20"/>
          <w:color w:val="auto"/>
        </w:rPr>
      </w:pPr>
      <w:r>
        <w:rPr>
          <w:rFonts w:ascii="Times New Roman" w:cs="Times New Roman" w:eastAsia="Times New Roman" w:hAnsi="Times New Roman"/>
          <w:sz w:val="16"/>
          <w:szCs w:val="16"/>
          <w:color w:val="auto"/>
        </w:rPr>
        <w:t>We used $7.9 million in investing activities for the year ended December 31, 2020 consisting of capitalized costs of internally developed software and other capital expenditures. This amount was offset in part by $10.7 million of cash acquired from our acquisition of Bridge2 Solutions and proceeds from the sale of $2.0 million of short-term investments.</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14" w:lineRule="exact"/>
        <w:rPr>
          <w:sz w:val="20"/>
          <w:szCs w:val="20"/>
          <w:color w:val="auto"/>
        </w:rPr>
      </w:pPr>
    </w:p>
    <w:p>
      <w:pPr>
        <w:jc w:val="both"/>
        <w:ind w:left="620" w:right="320"/>
        <w:spacing w:after="0" w:line="267" w:lineRule="auto"/>
        <w:rPr>
          <w:sz w:val="20"/>
          <w:szCs w:val="20"/>
          <w:color w:val="auto"/>
        </w:rPr>
      </w:pPr>
      <w:r>
        <w:rPr>
          <w:rFonts w:ascii="Times New Roman" w:cs="Times New Roman" w:eastAsia="Times New Roman" w:hAnsi="Times New Roman"/>
          <w:sz w:val="16"/>
          <w:szCs w:val="16"/>
          <w:color w:val="auto"/>
        </w:rPr>
        <w:t>Net cash flows provided by financing activities of $256.8 million for the combined 2021 period resulted from proceeds from PIPE investments and proceeds from the exercise of warrants amounting to $312.0 million and $37.1 million, respectively which is partially offset by cash outflow due to repurchase of redeemed Class A ordinary shares amounting to $84.5 million and also offset by payment of deferred underwriting fees amounting to $7.3 million.</w:t>
      </w:r>
    </w:p>
    <w:p>
      <w:pPr>
        <w:spacing w:after="0" w:line="162" w:lineRule="exact"/>
        <w:rPr>
          <w:sz w:val="20"/>
          <w:szCs w:val="20"/>
          <w:color w:val="auto"/>
        </w:rPr>
      </w:pPr>
    </w:p>
    <w:p>
      <w:pPr>
        <w:ind w:left="620" w:right="300"/>
        <w:spacing w:after="0" w:line="291" w:lineRule="auto"/>
        <w:rPr>
          <w:sz w:val="20"/>
          <w:szCs w:val="20"/>
          <w:color w:val="auto"/>
        </w:rPr>
      </w:pPr>
      <w:r>
        <w:rPr>
          <w:rFonts w:ascii="Times New Roman" w:cs="Times New Roman" w:eastAsia="Times New Roman" w:hAnsi="Times New Roman"/>
          <w:sz w:val="16"/>
          <w:szCs w:val="16"/>
          <w:color w:val="auto"/>
        </w:rPr>
        <w:t>Net cash flows provided by financing activities of $37.5 million for the year ended December 31, 2020 resulted from proceeds from issuance of our Class C ownership units of $37.8 million offset by $0.3 million of payments for capital leases during the year.</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Tax Receivable Agreement</w:t>
      </w:r>
    </w:p>
    <w:p>
      <w:pPr>
        <w:spacing w:after="0" w:line="114" w:lineRule="exact"/>
        <w:rPr>
          <w:sz w:val="20"/>
          <w:szCs w:val="20"/>
          <w:color w:val="auto"/>
        </w:rPr>
      </w:pPr>
    </w:p>
    <w:p>
      <w:pPr>
        <w:ind w:left="620" w:right="40"/>
        <w:spacing w:after="0" w:line="263" w:lineRule="auto"/>
        <w:rPr>
          <w:sz w:val="20"/>
          <w:szCs w:val="20"/>
          <w:color w:val="auto"/>
        </w:rPr>
      </w:pPr>
      <w:r>
        <w:rPr>
          <w:rFonts w:ascii="Times New Roman" w:cs="Times New Roman" w:eastAsia="Times New Roman" w:hAnsi="Times New Roman"/>
          <w:sz w:val="16"/>
          <w:szCs w:val="16"/>
          <w:color w:val="auto"/>
        </w:rPr>
        <w:t>On October 15, 2021, we entered into a Tax Receivable Agreement with certain Bakkt Equity Holders. Pursuant to the Tax Receivable Agreement, among other things, holders of Bakkt Common Units may, subject to certain conditions, from and after April 15, 2022, exchange such Common Units (along with a corresponding number of shares of our Common Stock), for Class A common stock on a one-for-one basis, subject to the terms of the Exchange Agreement, including our right to elect to deliver cash in lieu of Class A common stock and, in certain cases, adjustments as set forth therein. Bakkt will have in effect an election under Section 754 of the Internal Revenue Code for each taxable year in which an exchange of Bakkt Common Units for Class A common stock (or cash) occurs.</w:t>
      </w:r>
    </w:p>
    <w:p>
      <w:pPr>
        <w:spacing w:after="0" w:line="163" w:lineRule="exact"/>
        <w:rPr>
          <w:sz w:val="20"/>
          <w:szCs w:val="20"/>
          <w:color w:val="auto"/>
        </w:rPr>
      </w:pPr>
    </w:p>
    <w:p>
      <w:pPr>
        <w:jc w:val="both"/>
        <w:ind w:left="620" w:right="60"/>
        <w:spacing w:after="0" w:line="273" w:lineRule="auto"/>
        <w:rPr>
          <w:sz w:val="20"/>
          <w:szCs w:val="20"/>
          <w:color w:val="auto"/>
        </w:rPr>
      </w:pPr>
      <w:r>
        <w:rPr>
          <w:rFonts w:ascii="Times New Roman" w:cs="Times New Roman" w:eastAsia="Times New Roman" w:hAnsi="Times New Roman"/>
          <w:sz w:val="16"/>
          <w:szCs w:val="16"/>
          <w:color w:val="auto"/>
        </w:rPr>
        <w:t>The exchanges are expected to result in increases in the tax basis of the tangible and intangible assets of Bakkt.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57"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color w:val="auto"/>
        </w:rPr>
        <w:t>The Tax Receivable Agreement provides for the payment by us to exchanging holders of Bakkt Common Units of 85% of certain net income tax benefits, if any, that we realize (or in certain cases is deemed to realize) as a result of these increases in tax basis and certain other tax attributes of Bakkt and tax benefits related to entering into the Tax Receivable Agreement, including tax benefits attributable to payments under the Tax Receivable Agreement. This payment obligation is an obligation of the Company and not of Bakkt. For purposes of the Tax Receivable Agreement, the cash tax savings in income tax will be computed by comparing our actual income tax liability (calculated with certain assumptions) to the amount of such taxes that we would have been required to pay had there been no increase (or decrease) to the tax basis of the assets of Bakkt as a result of Bakkt having an</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0580"/>
          </w:cols>
          <w:pgMar w:left="320" w:top="453" w:right="999" w:bottom="1440" w:gutter="0" w:footer="0" w:header="0"/>
        </w:sectPr>
      </w:pPr>
    </w:p>
    <w:bookmarkStart w:id="81" w:name="page82"/>
    <w:bookmarkEnd w:id="8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20"/>
        <w:spacing w:after="0" w:line="267" w:lineRule="auto"/>
        <w:rPr>
          <w:sz w:val="20"/>
          <w:szCs w:val="20"/>
          <w:color w:val="auto"/>
        </w:rPr>
      </w:pPr>
      <w:r>
        <w:rPr>
          <w:rFonts w:ascii="Times New Roman" w:cs="Times New Roman" w:eastAsia="Times New Roman" w:hAnsi="Times New Roman"/>
          <w:sz w:val="16"/>
          <w:szCs w:val="16"/>
          <w:color w:val="auto"/>
        </w:rPr>
        <w:t>election in effect under Section 754 of the Code for each taxable year in which an exchange of Bakkt Common Units for Class A common stock occurs and had we not entered into the Tax Receivable Agreement. Such increase or decrease will be calculated under the Tax Receivable Agreement without regard to any transfers of Bakkt Common Units or distributions with respect to such Bakkt Common Units before the exchange under the Exchange Agreement to which Section 743(b) or 734(b) of the Code applies. As of December 31, 2021, no such exchanges have occurred.</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is a summary of our significant contractual obligations and commitments as of December 31, 2021 (in thousands):</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157"/>
        </w:trPr>
        <w:tc>
          <w:tcPr>
            <w:tcW w:w="53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jc w:val="center"/>
              <w:ind w:left="349"/>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5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5340" w:type="dxa"/>
            <w:vAlign w:val="bottom"/>
          </w:tcPr>
          <w:p>
            <w:pPr>
              <w:spacing w:after="0"/>
              <w:rPr>
                <w:sz w:val="9"/>
                <w:szCs w:val="9"/>
                <w:color w:val="auto"/>
              </w:rPr>
            </w:pPr>
          </w:p>
        </w:tc>
        <w:tc>
          <w:tcPr>
            <w:tcW w:w="880" w:type="dxa"/>
            <w:vAlign w:val="bottom"/>
            <w:gridSpan w:val="2"/>
          </w:tcPr>
          <w:p>
            <w:pPr>
              <w:jc w:val="right"/>
              <w:ind w:right="260"/>
              <w:spacing w:after="0" w:line="105" w:lineRule="exact"/>
              <w:rPr>
                <w:sz w:val="20"/>
                <w:szCs w:val="20"/>
                <w:color w:val="auto"/>
              </w:rPr>
            </w:pPr>
            <w:r>
              <w:rPr>
                <w:rFonts w:ascii="Times New Roman" w:cs="Times New Roman" w:eastAsia="Times New Roman" w:hAnsi="Times New Roman"/>
                <w:sz w:val="12"/>
                <w:szCs w:val="12"/>
                <w:b w:val="1"/>
                <w:bCs w:val="1"/>
                <w:color w:val="auto"/>
              </w:rPr>
              <w:t>Less than 1</w:t>
            </w:r>
          </w:p>
        </w:tc>
        <w:tc>
          <w:tcPr>
            <w:tcW w:w="200" w:type="dxa"/>
            <w:vAlign w:val="bottom"/>
          </w:tcPr>
          <w:p>
            <w:pPr>
              <w:spacing w:after="0"/>
              <w:rPr>
                <w:sz w:val="9"/>
                <w:szCs w:val="9"/>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9"/>
              </w:rPr>
              <w:t>1-3 years</w:t>
            </w:r>
          </w:p>
        </w:tc>
        <w:tc>
          <w:tcPr>
            <w:tcW w:w="9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700" w:type="dxa"/>
            <w:vAlign w:val="bottom"/>
            <w:gridSpan w:val="2"/>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More than 5</w:t>
            </w:r>
          </w:p>
        </w:tc>
        <w:tc>
          <w:tcPr>
            <w:tcW w:w="400" w:type="dxa"/>
            <w:vAlign w:val="bottom"/>
          </w:tcPr>
          <w:p>
            <w:pPr>
              <w:spacing w:after="0"/>
              <w:rPr>
                <w:sz w:val="9"/>
                <w:szCs w:val="9"/>
                <w:color w:val="auto"/>
              </w:rPr>
            </w:pPr>
          </w:p>
        </w:tc>
        <w:tc>
          <w:tcPr>
            <w:tcW w:w="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7"/>
        </w:trPr>
        <w:tc>
          <w:tcPr>
            <w:tcW w:w="534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2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years</w:t>
            </w:r>
          </w:p>
        </w:tc>
        <w:tc>
          <w:tcPr>
            <w:tcW w:w="4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34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5"/>
                <w:szCs w:val="15"/>
                <w:color w:val="auto"/>
              </w:rPr>
              <w:t>Purchase obligations</w:t>
            </w:r>
            <w:r>
              <w:rPr>
                <w:rFonts w:ascii="Times New Roman" w:cs="Times New Roman" w:eastAsia="Times New Roman" w:hAnsi="Times New Roman"/>
                <w:sz w:val="21"/>
                <w:szCs w:val="21"/>
                <w:color w:val="auto"/>
                <w:vertAlign w:val="superscript"/>
              </w:rPr>
              <w:t>(1)</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2,250</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$ 8,750</w:t>
            </w:r>
          </w:p>
        </w:tc>
        <w:tc>
          <w:tcPr>
            <w:tcW w:w="4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$ 9,000</w:t>
            </w:r>
          </w:p>
        </w:tc>
        <w:tc>
          <w:tcPr>
            <w:tcW w:w="4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$20,000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Future minimum operating lease payments</w:t>
            </w:r>
            <w:r>
              <w:rPr>
                <w:rFonts w:ascii="Times New Roman" w:cs="Times New Roman" w:eastAsia="Times New Roman" w:hAnsi="Times New Roman"/>
                <w:sz w:val="22"/>
                <w:szCs w:val="22"/>
                <w:color w:val="auto"/>
                <w:vertAlign w:val="superscript"/>
              </w:rPr>
              <w:t>(2)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(3,114)</w:t>
            </w: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3,715</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3,696</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contractual obligations</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(864)</w:t>
            </w:r>
          </w:p>
        </w:tc>
        <w:tc>
          <w:tcPr>
            <w:tcW w:w="1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12,465</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12,696</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020" w:hanging="397"/>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minimum commitment payments under a four-year cloud computing arrangement.</w:t>
      </w:r>
    </w:p>
    <w:p>
      <w:pPr>
        <w:spacing w:after="0" w:line="27" w:lineRule="exact"/>
        <w:rPr>
          <w:rFonts w:ascii="Times New Roman" w:cs="Times New Roman" w:eastAsia="Times New Roman" w:hAnsi="Times New Roman"/>
          <w:sz w:val="16"/>
          <w:szCs w:val="16"/>
          <w:color w:val="auto"/>
        </w:rPr>
      </w:pPr>
    </w:p>
    <w:p>
      <w:pPr>
        <w:ind w:left="1020" w:right="560" w:hanging="397"/>
        <w:spacing w:after="0" w:line="271" w:lineRule="auto"/>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rental payments under operating leases with remaining non-cancellable terms in excess of one year. See Note 17 to our audited consolidated financial statements.</w:t>
      </w:r>
    </w:p>
    <w:p>
      <w:pPr>
        <w:spacing w:after="0" w:line="157" w:lineRule="exact"/>
        <w:rPr>
          <w:sz w:val="20"/>
          <w:szCs w:val="20"/>
          <w:color w:val="auto"/>
        </w:rPr>
      </w:pPr>
    </w:p>
    <w:p>
      <w:pPr>
        <w:ind w:left="620" w:right="20"/>
        <w:spacing w:after="0" w:line="264" w:lineRule="auto"/>
        <w:rPr>
          <w:sz w:val="20"/>
          <w:szCs w:val="20"/>
          <w:color w:val="auto"/>
        </w:rPr>
      </w:pPr>
      <w:r>
        <w:rPr>
          <w:rFonts w:ascii="Times New Roman" w:cs="Times New Roman" w:eastAsia="Times New Roman" w:hAnsi="Times New Roman"/>
          <w:sz w:val="16"/>
          <w:szCs w:val="16"/>
          <w:color w:val="auto"/>
        </w:rPr>
        <w:t>Additionally, we, through our loyalty business, have a purchasing card facility with a bank that we utilize for redemption purchases made from merchant partners as part of our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that we maintain a month-end cash balance of $40.0 million. In January 2021, the purchasing card facility was extended to April 15, 2022 in order to facilitate a long-term agreement on more favorable terms for us.</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14" w:lineRule="exact"/>
        <w:rPr>
          <w:sz w:val="20"/>
          <w:szCs w:val="20"/>
          <w:color w:val="auto"/>
        </w:rPr>
      </w:pPr>
    </w:p>
    <w:p>
      <w:pPr>
        <w:ind w:left="620" w:right="60"/>
        <w:spacing w:after="0" w:line="263" w:lineRule="auto"/>
        <w:rPr>
          <w:sz w:val="20"/>
          <w:szCs w:val="20"/>
          <w:color w:val="auto"/>
        </w:rPr>
      </w:pPr>
      <w:r>
        <w:rPr>
          <w:rFonts w:ascii="Times New Roman" w:cs="Times New Roman" w:eastAsia="Times New Roman" w:hAnsi="Times New Roman"/>
          <w:sz w:val="16"/>
          <w:szCs w:val="16"/>
          <w:color w:val="auto"/>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63" w:lineRule="exact"/>
        <w:rPr>
          <w:sz w:val="20"/>
          <w:szCs w:val="20"/>
          <w:color w:val="auto"/>
        </w:rPr>
      </w:pPr>
    </w:p>
    <w:p>
      <w:pPr>
        <w:ind w:left="620" w:right="360"/>
        <w:spacing w:after="0" w:line="273" w:lineRule="auto"/>
        <w:rPr>
          <w:sz w:val="20"/>
          <w:szCs w:val="20"/>
          <w:color w:val="auto"/>
        </w:rPr>
      </w:pPr>
      <w:r>
        <w:rPr>
          <w:rFonts w:ascii="Times New Roman" w:cs="Times New Roman" w:eastAsia="Times New Roman" w:hAnsi="Times New Roman"/>
          <w:sz w:val="16"/>
          <w:szCs w:val="16"/>
          <w:color w:val="auto"/>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0620"/>
          </w:cols>
          <w:pgMar w:left="320" w:top="453" w:right="959" w:bottom="1440" w:gutter="0" w:footer="0" w:header="0"/>
        </w:sectPr>
      </w:pPr>
    </w:p>
    <w:bookmarkStart w:id="82" w:name="page83"/>
    <w:bookmarkEnd w:id="8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Adjusted EBITDA</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present Adjusted EBITDA as a non-GAAP financial measure.</w:t>
      </w:r>
    </w:p>
    <w:p>
      <w:pPr>
        <w:spacing w:after="0" w:line="208" w:lineRule="exact"/>
        <w:rPr>
          <w:sz w:val="20"/>
          <w:szCs w:val="20"/>
          <w:color w:val="auto"/>
        </w:rPr>
      </w:pPr>
    </w:p>
    <w:p>
      <w:pPr>
        <w:ind w:left="620" w:right="160"/>
        <w:spacing w:after="0" w:line="261" w:lineRule="auto"/>
        <w:rPr>
          <w:sz w:val="20"/>
          <w:szCs w:val="20"/>
          <w:color w:val="auto"/>
        </w:rPr>
      </w:pPr>
      <w:r>
        <w:rPr>
          <w:rFonts w:ascii="Times New Roman" w:cs="Times New Roman" w:eastAsia="Times New Roman" w:hAnsi="Times New Roman"/>
          <w:sz w:val="16"/>
          <w:szCs w:val="16"/>
          <w:color w:val="auto"/>
        </w:rPr>
        <w:t>We believe that Adjusted EBITDA provides relevant and useful information, which is used by management in assessing the performance of our business. Adjusted EBITDA is defined as earnings before interest, income taxes, depreciation, amortization and certain non-cash and/or non-recurring items that do not contribute directly to our evaluation of operating results.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68" w:lineRule="exact"/>
        <w:rPr>
          <w:sz w:val="20"/>
          <w:szCs w:val="20"/>
          <w:color w:val="auto"/>
        </w:rPr>
      </w:pPr>
    </w:p>
    <w:p>
      <w:pPr>
        <w:ind w:left="620" w:right="660"/>
        <w:spacing w:after="0" w:line="291" w:lineRule="auto"/>
        <w:rPr>
          <w:sz w:val="20"/>
          <w:szCs w:val="20"/>
          <w:color w:val="auto"/>
        </w:rPr>
      </w:pPr>
      <w:r>
        <w:rPr>
          <w:rFonts w:ascii="Times New Roman" w:cs="Times New Roman" w:eastAsia="Times New Roman" w:hAnsi="Times New Roman"/>
          <w:sz w:val="16"/>
          <w:szCs w:val="16"/>
          <w:color w:val="auto"/>
        </w:rPr>
        <w:t>In addition to the items above, Adjusted EBITDA as a non-GAAP financial measure also excludes interest income (expense) and other income (expense), and income tax (expense) benefit, as these items are not components of our core business operations.</w:t>
      </w:r>
    </w:p>
    <w:p>
      <w:pPr>
        <w:spacing w:after="0" w:line="142" w:lineRule="exact"/>
        <w:rPr>
          <w:sz w:val="20"/>
          <w:szCs w:val="20"/>
          <w:color w:val="auto"/>
        </w:rPr>
      </w:pPr>
    </w:p>
    <w:p>
      <w:pPr>
        <w:ind w:left="620" w:right="640"/>
        <w:spacing w:after="0" w:line="291" w:lineRule="auto"/>
        <w:rPr>
          <w:sz w:val="20"/>
          <w:szCs w:val="20"/>
          <w:color w:val="auto"/>
        </w:rPr>
      </w:pPr>
      <w:r>
        <w:rPr>
          <w:rFonts w:ascii="Times New Roman" w:cs="Times New Roman" w:eastAsia="Times New Roman" w:hAnsi="Times New Roman"/>
          <w:sz w:val="16"/>
          <w:szCs w:val="16"/>
          <w:color w:val="auto"/>
        </w:rPr>
        <w:t>Non-GAAP financial measures like Adjusted EBITDA have limitations, should be considered as supplemental in nature and are not meant as a substitute for the related financial information prepared in accordance with GAAP. These limitations include the following:</w:t>
      </w:r>
    </w:p>
    <w:p>
      <w:pPr>
        <w:spacing w:after="0" w:line="56" w:lineRule="exact"/>
        <w:rPr>
          <w:sz w:val="20"/>
          <w:szCs w:val="20"/>
          <w:color w:val="auto"/>
        </w:rPr>
      </w:pPr>
    </w:p>
    <w:p>
      <w:pPr>
        <w:ind w:left="1020" w:right="20" w:hanging="299"/>
        <w:spacing w:after="0" w:line="273" w:lineRule="auto"/>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Share-based and unit-based compensation expense, which has been excluded from Adjusted EBITDA because the amount of such expenses in any specific period may not directly correlate to the underlying performance of our business operations, has been, and will continue to be for the foreseeable future, a significant recurring expense in our business and an important part of our compensation strategy;</w:t>
      </w:r>
    </w:p>
    <w:p>
      <w:pPr>
        <w:spacing w:after="0" w:line="70" w:lineRule="exact"/>
        <w:rPr>
          <w:rFonts w:ascii="Times New Roman" w:cs="Times New Roman" w:eastAsia="Times New Roman" w:hAnsi="Times New Roman"/>
          <w:sz w:val="16"/>
          <w:szCs w:val="16"/>
          <w:color w:val="auto"/>
        </w:rPr>
      </w:pPr>
    </w:p>
    <w:p>
      <w:pPr>
        <w:ind w:left="1020" w:right="220" w:hanging="299"/>
        <w:spacing w:after="0" w:line="273" w:lineRule="auto"/>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intangible assets being amortized, and property and equipment being depreciated, may have to be replaced in the future, and the non-GAAP financial measures do not reflect cash capital expenditure requirements for such replacements or for new capital expenditures or other capital commitments; and</w:t>
      </w:r>
    </w:p>
    <w:p>
      <w:pPr>
        <w:spacing w:after="0" w:line="70" w:lineRule="exact"/>
        <w:rPr>
          <w:rFonts w:ascii="Times New Roman" w:cs="Times New Roman" w:eastAsia="Times New Roman" w:hAnsi="Times New Roman"/>
          <w:sz w:val="16"/>
          <w:szCs w:val="16"/>
          <w:color w:val="auto"/>
        </w:rPr>
      </w:pPr>
    </w:p>
    <w:p>
      <w:pPr>
        <w:ind w:left="1020" w:hanging="299"/>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measures do not reflect changes in, or cash requirements for, our working capital needs.</w:t>
      </w:r>
    </w:p>
    <w:p>
      <w:pPr>
        <w:spacing w:after="0" w:line="208" w:lineRule="exact"/>
        <w:rPr>
          <w:sz w:val="20"/>
          <w:szCs w:val="20"/>
          <w:color w:val="auto"/>
        </w:rPr>
      </w:pPr>
    </w:p>
    <w:p>
      <w:pPr>
        <w:ind w:left="620"/>
        <w:spacing w:after="0" w:line="291" w:lineRule="auto"/>
        <w:rPr>
          <w:sz w:val="20"/>
          <w:szCs w:val="20"/>
          <w:color w:val="auto"/>
        </w:rPr>
      </w:pPr>
      <w:r>
        <w:rPr>
          <w:rFonts w:ascii="Times New Roman" w:cs="Times New Roman" w:eastAsia="Times New Roman" w:hAnsi="Times New Roman"/>
          <w:sz w:val="16"/>
          <w:szCs w:val="16"/>
          <w:color w:val="auto"/>
        </w:rPr>
        <w:t>Because of these limitations, the non-GAAP financial measures should be considered alongside other financial performance measures, including net loss and our other financial results presented in accordance with GAAP.</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0620"/>
          </w:cols>
          <w:pgMar w:left="320" w:top="452" w:right="959" w:bottom="1440" w:gutter="0" w:footer="0" w:header="0"/>
        </w:sectPr>
      </w:pPr>
    </w:p>
    <w:bookmarkStart w:id="83" w:name="page84"/>
    <w:bookmarkEnd w:id="8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line="291" w:lineRule="auto"/>
        <w:rPr>
          <w:sz w:val="20"/>
          <w:szCs w:val="20"/>
          <w:color w:val="auto"/>
        </w:rPr>
      </w:pPr>
      <w:r>
        <w:rPr>
          <w:rFonts w:ascii="Times New Roman" w:cs="Times New Roman" w:eastAsia="Times New Roman" w:hAnsi="Times New Roman"/>
          <w:sz w:val="16"/>
          <w:szCs w:val="16"/>
          <w:color w:val="auto"/>
        </w:rPr>
        <w:t>The following table presents a reconciliation of net loss, the most directly comparable GAAP operating performance measure, to our Adjusted EBITDA for each of the periods indicated (in thousands):</w:t>
      </w:r>
    </w:p>
    <w:p>
      <w:pPr>
        <w:spacing w:after="0" w:line="161" w:lineRule="exact"/>
        <w:rPr>
          <w:sz w:val="20"/>
          <w:szCs w:val="20"/>
          <w:color w:val="auto"/>
        </w:rPr>
      </w:pPr>
    </w:p>
    <w:tbl>
      <w:tblPr>
        <w:tblLayout w:type="fixed"/>
        <w:tblInd w:w="142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6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gridSpan w:val="4"/>
            <w:vMerge w:val="restart"/>
          </w:tcPr>
          <w:p>
            <w:pPr>
              <w:jc w:val="right"/>
              <w:ind w:right="581"/>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340" w:type="dxa"/>
            <w:vAlign w:val="bottom"/>
            <w:tcBorders>
              <w:left w:val="single" w:sz="8" w:color="auto"/>
            </w:tcBorders>
          </w:tcPr>
          <w:p>
            <w:pPr>
              <w:spacing w:after="0"/>
              <w:rPr>
                <w:sz w:val="11"/>
                <w:szCs w:val="11"/>
                <w:color w:val="auto"/>
              </w:rPr>
            </w:pPr>
          </w:p>
        </w:tc>
        <w:tc>
          <w:tcPr>
            <w:tcW w:w="19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October 15,</w:t>
            </w:r>
          </w:p>
        </w:tc>
        <w:tc>
          <w:tcPr>
            <w:tcW w:w="340" w:type="dxa"/>
            <w:vAlign w:val="bottom"/>
            <w:tcBorders>
              <w:left w:val="single" w:sz="8" w:color="auto"/>
            </w:tcBorders>
          </w:tcPr>
          <w:p>
            <w:pPr>
              <w:spacing w:after="0"/>
              <w:rPr>
                <w:sz w:val="9"/>
                <w:szCs w:val="9"/>
                <w:color w:val="auto"/>
              </w:rPr>
            </w:pPr>
          </w:p>
        </w:tc>
        <w:tc>
          <w:tcPr>
            <w:tcW w:w="940" w:type="dxa"/>
            <w:vAlign w:val="bottom"/>
            <w:gridSpan w:val="2"/>
          </w:tcPr>
          <w:p>
            <w:pPr>
              <w:jc w:val="center"/>
              <w:ind w:right="30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0" w:type="dxa"/>
            <w:vAlign w:val="bottom"/>
            <w:tcBorders>
              <w:left w:val="single" w:sz="8" w:color="auto"/>
            </w:tcBorders>
            <w:gridSpan w:val="2"/>
          </w:tcPr>
          <w:p>
            <w:pPr>
              <w:jc w:val="center"/>
              <w:ind w:left="223"/>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 through</w:t>
            </w:r>
          </w:p>
        </w:tc>
        <w:tc>
          <w:tcPr>
            <w:tcW w:w="340" w:type="dxa"/>
            <w:vAlign w:val="bottom"/>
            <w:tcBorders>
              <w:left w:val="single" w:sz="8" w:color="auto"/>
            </w:tcBorders>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2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580" w:type="dxa"/>
            <w:vAlign w:val="bottom"/>
            <w:gridSpan w:val="3"/>
          </w:tcPr>
          <w:p>
            <w:pPr>
              <w:jc w:val="center"/>
              <w:ind w:left="421"/>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80" w:type="dxa"/>
            <w:vAlign w:val="bottom"/>
            <w:tcBorders>
              <w:left w:val="single" w:sz="8" w:color="auto"/>
            </w:tcBorders>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1080" w:type="dxa"/>
            <w:vAlign w:val="bottom"/>
            <w:gridSpan w:val="3"/>
          </w:tcPr>
          <w:p>
            <w:pPr>
              <w:jc w:val="center"/>
              <w:ind w:left="41"/>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20" w:type="dxa"/>
            <w:vAlign w:val="bottom"/>
            <w:gridSpan w:val="2"/>
          </w:tcPr>
          <w:p>
            <w:pPr>
              <w:jc w:val="center"/>
              <w:ind w:left="56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Pr>
          <w:p>
            <w:pPr>
              <w:spacing w:after="0"/>
              <w:rPr>
                <w:sz w:val="13"/>
                <w:szCs w:val="13"/>
                <w:color w:val="auto"/>
              </w:rPr>
            </w:pPr>
          </w:p>
        </w:tc>
        <w:tc>
          <w:tcPr>
            <w:tcW w:w="1000" w:type="dxa"/>
            <w:vAlign w:val="bottom"/>
            <w:tcBorders>
              <w:left w:val="single" w:sz="8" w:color="auto"/>
            </w:tcBorders>
            <w:gridSpan w:val="2"/>
          </w:tcPr>
          <w:p>
            <w:pPr>
              <w:jc w:val="center"/>
              <w:ind w:left="223"/>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80" w:type="dxa"/>
            <w:vAlign w:val="bottom"/>
          </w:tcPr>
          <w:p>
            <w:pPr>
              <w:spacing w:after="0"/>
              <w:rPr>
                <w:sz w:val="13"/>
                <w:szCs w:val="13"/>
                <w:color w:val="auto"/>
              </w:rPr>
            </w:pPr>
          </w:p>
        </w:tc>
        <w:tc>
          <w:tcPr>
            <w:tcW w:w="1000" w:type="dxa"/>
            <w:vAlign w:val="bottom"/>
            <w:gridSpan w:val="2"/>
          </w:tcPr>
          <w:p>
            <w:pPr>
              <w:jc w:val="center"/>
              <w:ind w:left="14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6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(164,827)</w:t>
            </w: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left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(139,219)</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(79,605)</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Add: Depreciation and amortization</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5,422</w:t>
            </w:r>
          </w:p>
        </w:tc>
        <w:tc>
          <w:tcPr>
            <w:tcW w:w="160" w:type="dxa"/>
            <w:vAlign w:val="bottom"/>
          </w:tcPr>
          <w:p>
            <w:pPr>
              <w:spacing w:after="0"/>
              <w:rPr>
                <w:sz w:val="17"/>
                <w:szCs w:val="17"/>
                <w:color w:val="auto"/>
              </w:rPr>
            </w:pPr>
          </w:p>
        </w:tc>
        <w:tc>
          <w:tcPr>
            <w:tcW w:w="100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9,620</w:t>
            </w:r>
          </w:p>
        </w:tc>
        <w:tc>
          <w:tcPr>
            <w:tcW w:w="2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Add/(Less): Interest (income) expense</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100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Add/(Less): Income tax (benefit)</w:t>
            </w: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11,751</w:t>
            </w:r>
          </w:p>
        </w:tc>
        <w:tc>
          <w:tcPr>
            <w:tcW w:w="160" w:type="dxa"/>
            <w:vAlign w:val="bottom"/>
          </w:tcPr>
          <w:p>
            <w:pPr>
              <w:spacing w:after="0"/>
              <w:rPr>
                <w:sz w:val="17"/>
                <w:szCs w:val="17"/>
                <w:color w:val="auto"/>
              </w:rPr>
            </w:pPr>
          </w:p>
        </w:tc>
        <w:tc>
          <w:tcPr>
            <w:tcW w:w="34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EBITDA</w:t>
            </w:r>
          </w:p>
        </w:tc>
        <w:tc>
          <w:tcPr>
            <w:tcW w:w="6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(147,665)</w:t>
            </w:r>
          </w:p>
        </w:tc>
        <w:tc>
          <w:tcPr>
            <w:tcW w:w="1280" w:type="dxa"/>
            <w:vAlign w:val="bottom"/>
            <w:tcBorders>
              <w:left w:val="single" w:sz="8" w:color="auto"/>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(129,954)</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(71,178)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Add: Acquisition-related expenses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160" w:type="dxa"/>
            <w:vAlign w:val="bottom"/>
          </w:tcPr>
          <w:p>
            <w:pPr>
              <w:spacing w:after="0"/>
              <w:rPr>
                <w:sz w:val="17"/>
                <w:szCs w:val="17"/>
                <w:color w:val="auto"/>
              </w:rPr>
            </w:pPr>
          </w:p>
        </w:tc>
        <w:tc>
          <w:tcPr>
            <w:tcW w:w="100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24,793</w:t>
            </w:r>
          </w:p>
        </w:tc>
        <w:tc>
          <w:tcPr>
            <w:tcW w:w="2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Share-based and Unit-based compensation expense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45,914</w:t>
            </w:r>
          </w:p>
        </w:tc>
        <w:tc>
          <w:tcPr>
            <w:tcW w:w="160" w:type="dxa"/>
            <w:vAlign w:val="bottom"/>
            <w:shd w:val="clear" w:color="auto" w:fill="CCEEFF"/>
          </w:tcPr>
          <w:p>
            <w:pPr>
              <w:spacing w:after="0"/>
              <w:rPr>
                <w:sz w:val="17"/>
                <w:szCs w:val="17"/>
                <w:color w:val="auto"/>
              </w:rPr>
            </w:pPr>
          </w:p>
        </w:tc>
        <w:tc>
          <w:tcPr>
            <w:tcW w:w="100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33,877</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Add: Restructuring charges</w:t>
            </w:r>
          </w:p>
        </w:tc>
        <w:tc>
          <w:tcPr>
            <w:tcW w:w="6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Impairment of long-lived assets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60" w:type="dxa"/>
            <w:vAlign w:val="bottom"/>
            <w:shd w:val="clear" w:color="auto" w:fill="CCEEFF"/>
          </w:tcPr>
          <w:p>
            <w:pPr>
              <w:spacing w:after="0"/>
              <w:rPr>
                <w:sz w:val="17"/>
                <w:szCs w:val="17"/>
                <w:color w:val="auto"/>
              </w:rPr>
            </w:pPr>
          </w:p>
        </w:tc>
        <w:tc>
          <w:tcPr>
            <w:tcW w:w="100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Add: Loss from change in fair value of warrant liability</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79,373</w:t>
            </w:r>
          </w:p>
        </w:tc>
        <w:tc>
          <w:tcPr>
            <w:tcW w:w="160" w:type="dxa"/>
            <w:vAlign w:val="bottom"/>
          </w:tcPr>
          <w:p>
            <w:pPr>
              <w:spacing w:after="0"/>
              <w:rPr>
                <w:sz w:val="17"/>
                <w:szCs w:val="17"/>
                <w:color w:val="auto"/>
              </w:rPr>
            </w:pPr>
          </w:p>
        </w:tc>
        <w:tc>
          <w:tcPr>
            <w:tcW w:w="34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ICE transition services expense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60" w:type="dxa"/>
            <w:vAlign w:val="bottom"/>
            <w:shd w:val="clear" w:color="auto" w:fill="CCEEFF"/>
          </w:tcPr>
          <w:p>
            <w:pPr>
              <w:spacing w:after="0"/>
              <w:rPr>
                <w:sz w:val="17"/>
                <w:szCs w:val="17"/>
                <w:color w:val="auto"/>
              </w:rPr>
            </w:pPr>
          </w:p>
        </w:tc>
        <w:tc>
          <w:tcPr>
            <w:tcW w:w="340" w:type="dxa"/>
            <w:vAlign w:val="bottom"/>
            <w:tcBorders>
              <w:left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Less: Cancellation of common units</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(192)</w:t>
            </w:r>
          </w:p>
        </w:tc>
        <w:tc>
          <w:tcPr>
            <w:tcW w:w="34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Gain on extinguishment of software license liability</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(1,301)</w:t>
            </w:r>
          </w:p>
        </w:tc>
        <w:tc>
          <w:tcPr>
            <w:tcW w:w="340" w:type="dxa"/>
            <w:vAlign w:val="bottom"/>
            <w:tcBorders>
              <w:left w:val="single" w:sz="8" w:color="auto"/>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Less: Non-recurring bitcoin sale income, net</w:t>
            </w:r>
          </w:p>
        </w:tc>
        <w:tc>
          <w:tcPr>
            <w:tcW w:w="6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left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(1,024)</w:t>
            </w:r>
          </w:p>
        </w:tc>
        <w:tc>
          <w:tcPr>
            <w:tcW w:w="2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Transition services to Bakkt Clearing</w:t>
            </w:r>
          </w:p>
        </w:tc>
        <w:tc>
          <w:tcPr>
            <w:tcW w:w="6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left w:val="single" w:sz="8" w:color="auto"/>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1"/>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6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(20,455)</w:t>
            </w:r>
          </w:p>
        </w:tc>
        <w:tc>
          <w:tcPr>
            <w:tcW w:w="160" w:type="dxa"/>
            <w:vAlign w:val="bottom"/>
          </w:tcPr>
          <w:p>
            <w:pPr>
              <w:spacing w:after="0"/>
              <w:rPr>
                <w:sz w:val="17"/>
                <w:szCs w:val="17"/>
                <w:color w:val="auto"/>
              </w:rPr>
            </w:pPr>
          </w:p>
        </w:tc>
        <w:tc>
          <w:tcPr>
            <w:tcW w:w="340" w:type="dxa"/>
            <w:vAlign w:val="bottom"/>
            <w:tcBorders>
              <w:left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(68,709)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20" w:right="220"/>
        <w:spacing w:after="0" w:line="273" w:lineRule="auto"/>
        <w:rPr>
          <w:sz w:val="20"/>
          <w:szCs w:val="20"/>
          <w:color w:val="auto"/>
        </w:rPr>
      </w:pPr>
      <w:r>
        <w:rPr>
          <w:rFonts w:ascii="Times New Roman" w:cs="Times New Roman" w:eastAsia="Times New Roman" w:hAnsi="Times New Roman"/>
          <w:sz w:val="16"/>
          <w:szCs w:val="16"/>
          <w:color w:val="auto"/>
        </w:rPr>
        <w:t>Adjusted EBITDA for the combined 2021 period decreased by $49.1 million or 122.7% as compared to the year ended December 31, 2020. The decrease was primarily due to a $34.0 million increase in compensation and benefits resulting from an increase in headcount to support the projected growth in our business and a $14.6 million increase in marketing expenses related to the launch of our consumer platform.</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14" w:lineRule="exact"/>
        <w:rPr>
          <w:sz w:val="20"/>
          <w:szCs w:val="20"/>
          <w:color w:val="auto"/>
        </w:rPr>
      </w:pPr>
    </w:p>
    <w:p>
      <w:pPr>
        <w:ind w:left="620" w:right="100"/>
        <w:spacing w:after="0" w:line="267" w:lineRule="auto"/>
        <w:rPr>
          <w:sz w:val="20"/>
          <w:szCs w:val="20"/>
          <w:color w:val="auto"/>
        </w:rPr>
      </w:pPr>
      <w:r>
        <w:rPr>
          <w:rFonts w:ascii="Times New Roman" w:cs="Times New Roman" w:eastAsia="Times New Roman" w:hAnsi="Times New Roman"/>
          <w:sz w:val="16"/>
          <w:szCs w:val="16"/>
          <w:color w:val="auto"/>
        </w:rPr>
        <w:t>Our consolidated financial statements are prepared in accordance with GAAP, which requires us to make estimates and apply judgments that affect the reported amounts. In our notes to the 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Committee of our Board of Directors. The following items require significant estimation or judgement:</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14" w:lineRule="exact"/>
        <w:rPr>
          <w:sz w:val="20"/>
          <w:szCs w:val="20"/>
          <w:color w:val="auto"/>
        </w:rPr>
      </w:pPr>
    </w:p>
    <w:p>
      <w:pPr>
        <w:ind w:left="620" w:right="100"/>
        <w:spacing w:after="0" w:line="264" w:lineRule="auto"/>
        <w:rPr>
          <w:sz w:val="20"/>
          <w:szCs w:val="20"/>
          <w:color w:val="auto"/>
        </w:rPr>
      </w:pPr>
      <w:r>
        <w:rPr>
          <w:rFonts w:ascii="Times New Roman" w:cs="Times New Roman" w:eastAsia="Times New Roman" w:hAnsi="Times New Roman"/>
          <w:sz w:val="16"/>
          <w:szCs w:val="16"/>
          <w:color w:val="auto"/>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 Accounting Standards Codification (“ASC”)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We identify and attribute fair values and estimated lives to the intangible assets acquired and allocate the total cost of an</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10560"/>
          </w:cols>
          <w:pgMar w:left="320" w:top="452" w:right="1019" w:bottom="1440" w:gutter="0" w:footer="0" w:header="0"/>
        </w:sectPr>
      </w:pPr>
    </w:p>
    <w:bookmarkStart w:id="84" w:name="page85"/>
    <w:bookmarkEnd w:id="8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80"/>
        <w:spacing w:after="0" w:line="267" w:lineRule="auto"/>
        <w:rPr>
          <w:sz w:val="20"/>
          <w:szCs w:val="20"/>
          <w:color w:val="auto"/>
        </w:rPr>
      </w:pPr>
      <w:r>
        <w:rPr>
          <w:rFonts w:ascii="Times New Roman" w:cs="Times New Roman" w:eastAsia="Times New Roman" w:hAnsi="Times New Roman"/>
          <w:sz w:val="16"/>
          <w:szCs w:val="16"/>
          <w:color w:val="auto"/>
        </w:rPr>
        <w:t>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 that the assumptions are inherently uncertain.</w:t>
      </w:r>
    </w:p>
    <w:p>
      <w:pPr>
        <w:spacing w:after="0" w:line="162"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16"/>
          <w:szCs w:val="16"/>
          <w:color w:val="auto"/>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spacing w:after="0" w:line="157" w:lineRule="exact"/>
        <w:rPr>
          <w:sz w:val="20"/>
          <w:szCs w:val="20"/>
          <w:color w:val="auto"/>
        </w:rPr>
      </w:pPr>
    </w:p>
    <w:p>
      <w:pPr>
        <w:ind w:left="620" w:right="20"/>
        <w:spacing w:after="0" w:line="267" w:lineRule="auto"/>
        <w:rPr>
          <w:sz w:val="20"/>
          <w:szCs w:val="20"/>
          <w:color w:val="auto"/>
        </w:rPr>
      </w:pPr>
      <w:r>
        <w:rPr>
          <w:rFonts w:ascii="Times New Roman" w:cs="Times New Roman" w:eastAsia="Times New Roman" w:hAnsi="Times New Roman"/>
          <w:sz w:val="16"/>
          <w:szCs w:val="16"/>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62" w:lineRule="exact"/>
        <w:rPr>
          <w:sz w:val="20"/>
          <w:szCs w:val="20"/>
          <w:color w:val="auto"/>
        </w:rPr>
      </w:pPr>
    </w:p>
    <w:p>
      <w:pPr>
        <w:ind w:left="620" w:right="580"/>
        <w:spacing w:after="0" w:line="291" w:lineRule="auto"/>
        <w:rPr>
          <w:sz w:val="20"/>
          <w:szCs w:val="20"/>
          <w:color w:val="auto"/>
        </w:rPr>
      </w:pPr>
      <w:r>
        <w:rPr>
          <w:rFonts w:ascii="Times New Roman" w:cs="Times New Roman" w:eastAsia="Times New Roman" w:hAnsi="Times New Roman"/>
          <w:sz w:val="16"/>
          <w:szCs w:val="16"/>
          <w:color w:val="auto"/>
        </w:rPr>
        <w:t>All acquisition-related costs, other than the costs to issue debt or equity securities, are accounted for as expenses in the period in which they are incurred.</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Goodwill and Other Intangible Assets</w:t>
      </w:r>
    </w:p>
    <w:p>
      <w:pPr>
        <w:spacing w:after="0" w:line="112" w:lineRule="exact"/>
        <w:rPr>
          <w:sz w:val="20"/>
          <w:szCs w:val="20"/>
          <w:color w:val="auto"/>
        </w:rPr>
      </w:pPr>
    </w:p>
    <w:p>
      <w:pPr>
        <w:ind w:left="620" w:right="40"/>
        <w:spacing w:after="0" w:line="259" w:lineRule="auto"/>
        <w:rPr>
          <w:sz w:val="20"/>
          <w:szCs w:val="20"/>
          <w:color w:val="auto"/>
        </w:rPr>
      </w:pPr>
      <w:r>
        <w:rPr>
          <w:rFonts w:ascii="Times New Roman" w:cs="Times New Roman" w:eastAsia="Times New Roman" w:hAnsi="Times New Roman"/>
          <w:sz w:val="16"/>
          <w:szCs w:val="16"/>
          <w:color w:val="auto"/>
        </w:rPr>
        <w:t xml:space="preserve">Goodwill and intangible assets that have indefinite useful lives are accounted for in accordance with ASC 350, </w:t>
      </w:r>
      <w:r>
        <w:rPr>
          <w:rFonts w:ascii="Times New Roman" w:cs="Times New Roman" w:eastAsia="Times New Roman" w:hAnsi="Times New Roman"/>
          <w:sz w:val="16"/>
          <w:szCs w:val="16"/>
          <w:i w:val="1"/>
          <w:iCs w:val="1"/>
          <w:color w:val="auto"/>
        </w:rPr>
        <w:t>Intangibles—Goodwill and Other</w:t>
      </w:r>
      <w:r>
        <w:rPr>
          <w:rFonts w:ascii="Times New Roman" w:cs="Times New Roman" w:eastAsia="Times New Roman" w:hAnsi="Times New Roman"/>
          <w:sz w:val="16"/>
          <w:szCs w:val="16"/>
          <w:color w:val="auto"/>
        </w:rPr>
        <w:t>.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it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169" w:lineRule="exact"/>
        <w:rPr>
          <w:sz w:val="20"/>
          <w:szCs w:val="20"/>
          <w:color w:val="auto"/>
        </w:rPr>
      </w:pPr>
    </w:p>
    <w:p>
      <w:pPr>
        <w:ind w:left="620" w:right="480"/>
        <w:spacing w:after="0" w:line="291" w:lineRule="auto"/>
        <w:rPr>
          <w:sz w:val="20"/>
          <w:szCs w:val="20"/>
          <w:color w:val="auto"/>
        </w:rPr>
      </w:pPr>
      <w:r>
        <w:rPr>
          <w:rFonts w:ascii="Times New Roman" w:cs="Times New Roman" w:eastAsia="Times New Roman" w:hAnsi="Times New Roman"/>
          <w:sz w:val="16"/>
          <w:szCs w:val="16"/>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42" w:lineRule="exact"/>
        <w:rPr>
          <w:sz w:val="20"/>
          <w:szCs w:val="20"/>
          <w:color w:val="auto"/>
        </w:rPr>
      </w:pPr>
    </w:p>
    <w:p>
      <w:pPr>
        <w:ind w:left="620" w:right="240"/>
        <w:spacing w:after="0" w:line="291" w:lineRule="auto"/>
        <w:rPr>
          <w:sz w:val="20"/>
          <w:szCs w:val="20"/>
          <w:color w:val="auto"/>
        </w:rPr>
      </w:pPr>
      <w:r>
        <w:rPr>
          <w:rFonts w:ascii="Times New Roman" w:cs="Times New Roman" w:eastAsia="Times New Roman" w:hAnsi="Times New Roman"/>
          <w:sz w:val="16"/>
          <w:szCs w:val="16"/>
          <w:color w:val="auto"/>
        </w:rPr>
        <w:t>We did not record any impairment charges related to goodwill and intangible assets during the periods from October 15, 2021 through December 31, 2021 and January 1, 2021 through October 14, 2021, and the year ended December 31, 2020, respectively.</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10580"/>
          </w:cols>
          <w:pgMar w:left="320" w:top="453" w:right="999" w:bottom="1440" w:gutter="0" w:footer="0" w:header="0"/>
        </w:sectPr>
      </w:pPr>
    </w:p>
    <w:bookmarkStart w:id="85" w:name="page86"/>
    <w:bookmarkEnd w:id="8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Loyalty Redemption Platform Revenue Recognition</w:t>
      </w:r>
    </w:p>
    <w:p>
      <w:pPr>
        <w:spacing w:after="0" w:line="114" w:lineRule="exact"/>
        <w:rPr>
          <w:sz w:val="20"/>
          <w:szCs w:val="20"/>
          <w:color w:val="auto"/>
        </w:rPr>
      </w:pPr>
    </w:p>
    <w:p>
      <w:pPr>
        <w:ind w:left="620" w:right="20"/>
        <w:spacing w:after="0" w:line="263" w:lineRule="auto"/>
        <w:rPr>
          <w:sz w:val="20"/>
          <w:szCs w:val="20"/>
          <w:color w:val="auto"/>
        </w:rPr>
      </w:pPr>
      <w:r>
        <w:rPr>
          <w:rFonts w:ascii="Times New Roman" w:cs="Times New Roman" w:eastAsia="Times New Roman" w:hAnsi="Times New Roman"/>
          <w:sz w:val="16"/>
          <w:szCs w:val="16"/>
          <w:color w:val="auto"/>
        </w:rPr>
        <w:t>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program sponsor. Our contracts related to our loyalty redemption platform consist of two performance obligations: (1) access to our SaaS-based redemption platform and 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“Net revenues” include the following:</w:t>
      </w:r>
    </w:p>
    <w:p>
      <w:pPr>
        <w:spacing w:after="0" w:line="73" w:lineRule="exact"/>
        <w:rPr>
          <w:sz w:val="20"/>
          <w:szCs w:val="20"/>
          <w:color w:val="auto"/>
        </w:rPr>
      </w:pPr>
    </w:p>
    <w:p>
      <w:pPr>
        <w:ind w:left="1020" w:right="40" w:hanging="299"/>
        <w:spacing w:after="0" w:line="266" w:lineRule="auto"/>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Platform subscription fees: </w:t>
      </w:r>
      <w:r>
        <w:rPr>
          <w:rFonts w:ascii="Times New Roman" w:cs="Times New Roman" w:eastAsia="Times New Roman" w:hAnsi="Times New Roman"/>
          <w:sz w:val="16"/>
          <w:szCs w:val="16"/>
          <w:color w:val="auto"/>
        </w:rPr>
        <w:t>Monthly fixed fee charged to customers to access the redemption platform and receive customer support services.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recognize revenue for these fees on a straight-line basis over the related contract term as the customer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by service type in Note 3 to our audited consolidated financial statements.</w:t>
      </w:r>
    </w:p>
    <w:p>
      <w:pPr>
        <w:spacing w:after="0" w:line="71" w:lineRule="exact"/>
        <w:rPr>
          <w:rFonts w:ascii="Times New Roman" w:cs="Times New Roman" w:eastAsia="Times New Roman" w:hAnsi="Times New Roman"/>
          <w:sz w:val="16"/>
          <w:szCs w:val="16"/>
          <w:color w:val="auto"/>
        </w:rPr>
      </w:pPr>
    </w:p>
    <w:p>
      <w:pPr>
        <w:ind w:left="1020" w:right="120" w:hanging="299"/>
        <w:spacing w:after="0" w:line="269" w:lineRule="auto"/>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Transaction fees: </w:t>
      </w:r>
      <w:r>
        <w:rPr>
          <w:rFonts w:ascii="Times New Roman" w:cs="Times New Roman" w:eastAsia="Times New Roman" w:hAnsi="Times New Roman"/>
          <w:sz w:val="16"/>
          <w:szCs w:val="16"/>
          <w:color w:val="auto"/>
        </w:rPr>
        <w:t>Transaction fees are earned for most transactions processed through our platform. These fees are allocated to our performance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obligation to 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3 to our audited consolidated financial statements.</w:t>
      </w:r>
    </w:p>
    <w:p>
      <w:pPr>
        <w:spacing w:after="0" w:line="69" w:lineRule="exact"/>
        <w:rPr>
          <w:rFonts w:ascii="Times New Roman" w:cs="Times New Roman" w:eastAsia="Times New Roman" w:hAnsi="Times New Roman"/>
          <w:sz w:val="16"/>
          <w:szCs w:val="16"/>
          <w:color w:val="auto"/>
        </w:rPr>
      </w:pPr>
    </w:p>
    <w:p>
      <w:pPr>
        <w:ind w:left="1020" w:right="80" w:hanging="299"/>
        <w:spacing w:after="0" w:line="269" w:lineRule="auto"/>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Revenue share fees: </w:t>
      </w:r>
      <w:r>
        <w:rPr>
          <w:rFonts w:ascii="Times New Roman" w:cs="Times New Roman" w:eastAsia="Times New Roman" w:hAnsi="Times New Roman"/>
          <w:sz w:val="16"/>
          <w:szCs w:val="16"/>
          <w:color w:val="auto"/>
        </w:rPr>
        <w:t>We are entitled to revenue share fees in the form of rebates from third-party commerce merchants and other partners which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 services facilitating redemption order fulfillment. We allocate revenue share fees to the period in which the related transaction occurs. Revenue from our revenue share fees is included in “Transaction revenue, net” in the disaggregation of revenue table by service type in Note 3 to our audited consolidated financial statements.</w:t>
      </w:r>
    </w:p>
    <w:p>
      <w:pPr>
        <w:spacing w:after="0" w:line="69" w:lineRule="exact"/>
        <w:rPr>
          <w:rFonts w:ascii="Times New Roman" w:cs="Times New Roman" w:eastAsia="Times New Roman" w:hAnsi="Times New Roman"/>
          <w:sz w:val="16"/>
          <w:szCs w:val="16"/>
          <w:color w:val="auto"/>
        </w:rPr>
      </w:pPr>
    </w:p>
    <w:p>
      <w:pPr>
        <w:ind w:left="1020" w:right="20" w:hanging="299"/>
        <w:spacing w:after="0" w:line="261" w:lineRule="auto"/>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Service fees: </w:t>
      </w:r>
      <w:r>
        <w:rPr>
          <w:rFonts w:ascii="Times New Roman" w:cs="Times New Roman" w:eastAsia="Times New Roman" w:hAnsi="Times New Roman"/>
          <w:sz w:val="16"/>
          <w:szCs w:val="16"/>
          <w:color w:val="auto"/>
        </w:rPr>
        <w:t>We earn fees for certain software development activities associated with the implementation of new customers on our loyalty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redemption platform and other development activities if a customer requests that we customize certain features and functionalities for their loyalty program. We also earn fees from providing call center services to customers.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our internally developed software. Implementation and development service fees are generally billed when the implementation and development activities are performed. We recognize deferred revenue when all such fees are billed. Revenue from our services fees is included in “Subscription and services revenue” in the disaggregation of revenue table by service type in Note 3 to our audited consolidated financial statements.</w:t>
      </w: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Deferred Revenue</w:t>
      </w:r>
    </w:p>
    <w:p>
      <w:pPr>
        <w:spacing w:after="0" w:line="114" w:lineRule="exact"/>
        <w:rPr>
          <w:sz w:val="20"/>
          <w:szCs w:val="20"/>
          <w:color w:val="auto"/>
        </w:rPr>
      </w:pPr>
    </w:p>
    <w:p>
      <w:pPr>
        <w:ind w:left="620"/>
        <w:spacing w:after="0" w:line="266" w:lineRule="auto"/>
        <w:rPr>
          <w:sz w:val="20"/>
          <w:szCs w:val="20"/>
          <w:color w:val="auto"/>
        </w:rPr>
      </w:pPr>
      <w:r>
        <w:rPr>
          <w:rFonts w:ascii="Times New Roman" w:cs="Times New Roman" w:eastAsia="Times New Roman" w:hAnsi="Times New Roman"/>
          <w:sz w:val="16"/>
          <w:szCs w:val="16"/>
          <w:color w:val="auto"/>
        </w:rPr>
        <w:t>Deferred revenue includes amounts invoiced prior to us meeting the criteria for revenue recognition. We invoice customers for service fees at the time the service is performed, and such fees are recognized as revenue over time as we satisfy our performance obligation. The portion of deferred revenue to be recognized in the succeeding twelve-month period is recorded as current deferred revenue, and the remaining portion is recorded as non-current deferred revenue. We have determined that these arrangements do not contain a significant financing component, and therefore the transaction price is not adjusted.</w:t>
      </w:r>
    </w:p>
    <w:p>
      <w:pPr>
        <w:spacing w:after="0" w:line="3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10600"/>
          </w:cols>
          <w:pgMar w:left="320" w:top="453" w:right="979" w:bottom="1440" w:gutter="0" w:footer="0" w:header="0"/>
        </w:sectPr>
      </w:pPr>
    </w:p>
    <w:bookmarkStart w:id="86" w:name="page87"/>
    <w:bookmarkEnd w:id="8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Warrants</w:t>
      </w:r>
    </w:p>
    <w:p>
      <w:pPr>
        <w:spacing w:after="0" w:line="112" w:lineRule="exact"/>
        <w:rPr>
          <w:sz w:val="20"/>
          <w:szCs w:val="20"/>
          <w:color w:val="auto"/>
        </w:rPr>
      </w:pPr>
    </w:p>
    <w:p>
      <w:pPr>
        <w:ind w:left="620" w:right="60"/>
        <w:spacing w:after="0" w:line="262" w:lineRule="auto"/>
        <w:rPr>
          <w:sz w:val="20"/>
          <w:szCs w:val="20"/>
          <w:color w:val="auto"/>
        </w:rPr>
      </w:pPr>
      <w:r>
        <w:rPr>
          <w:rFonts w:ascii="Times New Roman" w:cs="Times New Roman" w:eastAsia="Times New Roman" w:hAnsi="Times New Roman"/>
          <w:sz w:val="16"/>
          <w:szCs w:val="16"/>
          <w:color w:val="auto"/>
        </w:rPr>
        <w:t xml:space="preserve">We account for our ordinary share warrants in accordance with applicable accounting guidance provided in ASC Topic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Contracts in Entity’s Own Equity </w:t>
      </w:r>
      <w:r>
        <w:rPr>
          <w:rFonts w:ascii="Times New Roman" w:cs="Times New Roman" w:eastAsia="Times New Roman" w:hAnsi="Times New Roman"/>
          <w:sz w:val="16"/>
          <w:szCs w:val="16"/>
          <w:color w:val="auto"/>
        </w:rPr>
        <w:t>(“ASC Topic 815”), as either derivative liabilities or as equity instruments depending on the specific terms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warrant 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w:t>
      </w:r>
    </w:p>
    <w:p>
      <w:pPr>
        <w:spacing w:after="0" w:line="114" w:lineRule="exact"/>
        <w:rPr>
          <w:sz w:val="20"/>
          <w:szCs w:val="20"/>
          <w:color w:val="auto"/>
        </w:rPr>
      </w:pPr>
    </w:p>
    <w:p>
      <w:pPr>
        <w:ind w:left="620" w:right="60"/>
        <w:spacing w:after="0" w:line="263" w:lineRule="auto"/>
        <w:rPr>
          <w:sz w:val="20"/>
          <w:szCs w:val="20"/>
          <w:color w:val="auto"/>
        </w:rPr>
      </w:pPr>
      <w:r>
        <w:rPr>
          <w:rFonts w:ascii="Times New Roman" w:cs="Times New Roman" w:eastAsia="Times New Roman" w:hAnsi="Times New Roman"/>
          <w:sz w:val="16"/>
          <w:szCs w:val="16"/>
          <w:color w:val="auto"/>
        </w:rPr>
        <w:t>Our long-lived assets are reviewed for impairment whenever events or changes in circumstances indicate that the carrying value of the asset may not be recoverable. We also evaluate the period of depreciation and amortization of long-lived assets to determine whether events or circumstances warrant revised estimates of useful lives. When indicators of impairment are present, we determine the recoverability of our long-lived assets by comparing the carrying value of our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w:t>
      </w: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Unit-Based Compensation</w:t>
      </w:r>
    </w:p>
    <w:p>
      <w:pPr>
        <w:spacing w:after="0" w:line="114" w:lineRule="exact"/>
        <w:rPr>
          <w:sz w:val="20"/>
          <w:szCs w:val="20"/>
          <w:color w:val="auto"/>
        </w:rPr>
      </w:pPr>
    </w:p>
    <w:p>
      <w:pPr>
        <w:ind w:left="620" w:right="60"/>
        <w:spacing w:after="0" w:line="263" w:lineRule="auto"/>
        <w:rPr>
          <w:sz w:val="20"/>
          <w:szCs w:val="20"/>
          <w:color w:val="auto"/>
        </w:rPr>
      </w:pPr>
      <w:r>
        <w:rPr>
          <w:rFonts w:ascii="Times New Roman" w:cs="Times New Roman" w:eastAsia="Times New Roman" w:hAnsi="Times New Roman"/>
          <w:sz w:val="16"/>
          <w:szCs w:val="16"/>
          <w:color w:val="auto"/>
        </w:rPr>
        <w:t>The Successor period unit-based compensation expense relates to the replacement incentive units and phantom units (“participation” units) granted during the Predecessor period that were issued to employees as purchase consideration. The replacement incentive units and participation units were measured at fair value on the Closing Date, and we recognize expense in “Compensation and benefits” in the accompanying consolidated statements of operations and comprehensive loss over the requisite service period. Additionally, we recognize variable compensation expense for liability-classified participation units based on changes to the fair value of the awards at each reporting date. We elect to account for forfeitures as they occurred. See Note 11 to our audited consolidated financial statements for additional disclosures related to unit-based compensation.</w:t>
      </w:r>
    </w:p>
    <w:p>
      <w:pPr>
        <w:spacing w:after="0" w:line="163" w:lineRule="exact"/>
        <w:rPr>
          <w:sz w:val="20"/>
          <w:szCs w:val="20"/>
          <w:color w:val="auto"/>
        </w:rPr>
      </w:pPr>
    </w:p>
    <w:p>
      <w:pPr>
        <w:ind w:left="620" w:right="40"/>
        <w:spacing w:after="0" w:line="263" w:lineRule="auto"/>
        <w:rPr>
          <w:sz w:val="20"/>
          <w:szCs w:val="20"/>
          <w:color w:val="auto"/>
        </w:rPr>
      </w:pPr>
      <w:r>
        <w:rPr>
          <w:rFonts w:ascii="Times New Roman" w:cs="Times New Roman" w:eastAsia="Times New Roman" w:hAnsi="Times New Roman"/>
          <w:sz w:val="16"/>
          <w:szCs w:val="16"/>
          <w:color w:val="auto"/>
        </w:rPr>
        <w:t>The Predecessor period unit-based compensation expense related to incentive units and participation units granted to employees and was measured at fair value on the date of grant and recognized as expense in “Compensation and benefits” in the accompanying consolidated statements of operations and comprehensive loss over the requisite service period, subject to acceleration if certain performance or market conditions were met. Additionally, we recognized variable compensation expense for liability-classified participation units based on changes to the fair value of the awards at each reporting date. The Predecessor elected to account for forfeitures as they occurred. See Note 11 to our audited consolidated financial statements for additional disclosures related to unit-based compensation.</w:t>
      </w: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14"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The inputs into our estimates consider the economic implications of COVID-19 on our critical and significant accounting estimates. Additionally, subsequent to December 31, 2021, there has been a military conflict in Eastern Europe that may have an impact on our operations. As of the date of</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0600"/>
          </w:cols>
          <w:pgMar w:left="320" w:top="453" w:right="979" w:bottom="1440" w:gutter="0" w:footer="0" w:header="0"/>
        </w:sectPr>
      </w:pPr>
    </w:p>
    <w:bookmarkStart w:id="87" w:name="page88"/>
    <w:bookmarkEnd w:id="8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color w:val="auto"/>
        </w:rPr>
        <w:t>issuance, the conflict is still ongoing and thus there is uncertainty as to the ultimate impact to us. The significant estimates and assumptions that affect the financial statements may include, but are not limited to, those that are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Bakkt common units, incentive units and participation units. Actual results and outcomes may differ from management’s estimates and assumptions and such differences may be material to our audited consolidated financial statements.</w:t>
      </w: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Recently Issued and Adopted Accounting Pronouncements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Recently issued and adopted accounting pronouncements are described in Note 2 to our audited consolidated financial statements.</w:t>
      </w:r>
    </w:p>
    <w:p>
      <w:pPr>
        <w:spacing w:after="0" w:line="1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10480"/>
          </w:cols>
          <w:pgMar w:left="320" w:top="453" w:right="1099" w:bottom="1440" w:gutter="0" w:footer="0" w:header="0"/>
        </w:sectPr>
      </w:pPr>
    </w:p>
    <w:bookmarkStart w:id="88" w:name="page89"/>
    <w:bookmarkEnd w:id="8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14"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16"/>
          <w:szCs w:val="16"/>
          <w:color w:val="auto"/>
        </w:rPr>
        <w:t>Bakkt was formed in 2018. Our vision is to connect the digital economy. Our platform, which operates at the intersection of crypto, loyalty and rewards, and payments – and, in the future, other types of digital assets – is uniquely positioned to enable consumers, brands, and financial institutions to better manage, transact with and monetize those assets in exciting new ways.</w:t>
      </w:r>
    </w:p>
    <w:p>
      <w:pPr>
        <w:spacing w:after="0" w:line="157" w:lineRule="exact"/>
        <w:rPr>
          <w:sz w:val="20"/>
          <w:szCs w:val="20"/>
          <w:color w:val="auto"/>
        </w:rPr>
      </w:pPr>
    </w:p>
    <w:p>
      <w:pPr>
        <w:ind w:left="620" w:right="160" w:firstLine="400"/>
        <w:spacing w:after="0" w:line="291" w:lineRule="auto"/>
        <w:rPr>
          <w:sz w:val="20"/>
          <w:szCs w:val="20"/>
          <w:color w:val="auto"/>
        </w:rPr>
      </w:pPr>
      <w:r>
        <w:rPr>
          <w:rFonts w:ascii="Times New Roman" w:cs="Times New Roman" w:eastAsia="Times New Roman" w:hAnsi="Times New Roman"/>
          <w:sz w:val="16"/>
          <w:szCs w:val="16"/>
          <w:color w:val="auto"/>
        </w:rPr>
        <w:t>The global market for digital assets, while nascent, is rapidly evolving and expanding. We believe we are well-positioned to provide innovative, multi-faceted product solutions and grow with this evolving market.</w:t>
      </w:r>
    </w:p>
    <w:p>
      <w:pPr>
        <w:spacing w:after="0" w:line="142" w:lineRule="exact"/>
        <w:rPr>
          <w:sz w:val="20"/>
          <w:szCs w:val="20"/>
          <w:color w:val="auto"/>
        </w:rPr>
      </w:pPr>
    </w:p>
    <w:p>
      <w:pPr>
        <w:ind w:left="620" w:right="60"/>
        <w:spacing w:after="0" w:line="273" w:lineRule="auto"/>
        <w:rPr>
          <w:sz w:val="20"/>
          <w:szCs w:val="20"/>
          <w:color w:val="auto"/>
        </w:rPr>
      </w:pPr>
      <w:r>
        <w:rPr>
          <w:rFonts w:ascii="Times New Roman" w:cs="Times New Roman" w:eastAsia="Times New Roman" w:hAnsi="Times New Roman"/>
          <w:sz w:val="16"/>
          <w:szCs w:val="16"/>
          <w:color w:val="auto"/>
        </w:rPr>
        <w:t>Our platform consists of three complementary aspects: a digital asset marketplace, loyalty redemption services and an alternative payment method. Our institutional grade technology platform is at the core of everything we do. It is secure and regulated, born out of our heritage with our former parent company, ICE. Through these elements, we provide, or are working to provide, products and services in four key areas:</w:t>
      </w:r>
    </w:p>
    <w:p>
      <w:pPr>
        <w:spacing w:after="0" w:line="67" w:lineRule="exact"/>
        <w:rPr>
          <w:sz w:val="20"/>
          <w:szCs w:val="20"/>
          <w:color w:val="auto"/>
        </w:rPr>
      </w:pPr>
    </w:p>
    <w:p>
      <w:pPr>
        <w:ind w:left="1500" w:right="200" w:hanging="387"/>
        <w:spacing w:after="0" w:line="269" w:lineRule="auto"/>
        <w:tabs>
          <w:tab w:leader="none" w:pos="1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Enabling Crypto Services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platform provides consumers, businesses and institutions easy access to crypto buy and sell capabilities.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enable businesses—particularly those not native to the crypto space, such as platform partners, financial institutions and wallet providers—to provide their customers with the ability to transact in crypto directly in their trusted environments. Our platform provides secure, regulated and institutional-grade infrastructure in a simple, intuitive digital experience.</w:t>
      </w:r>
    </w:p>
    <w:p>
      <w:pPr>
        <w:spacing w:after="0" w:line="69" w:lineRule="exact"/>
        <w:rPr>
          <w:rFonts w:ascii="Times New Roman" w:cs="Times New Roman" w:eastAsia="Times New Roman" w:hAnsi="Times New Roman"/>
          <w:sz w:val="16"/>
          <w:szCs w:val="16"/>
          <w:color w:val="auto"/>
        </w:rPr>
      </w:pPr>
    </w:p>
    <w:p>
      <w:pPr>
        <w:ind w:left="1500" w:right="120" w:hanging="387"/>
        <w:spacing w:after="0" w:line="269" w:lineRule="auto"/>
        <w:tabs>
          <w:tab w:leader="none" w:pos="1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Fueling Crypto Rewards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are in the process of enabling merchants of all sizes to offer loyalty and rewards to their customers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form of crypto – either by earning crypto rewards, or by redeeming existing reward currencies, such as points or miles, into crypto. We believe this capability will enhance merchants’ existing loyalty programs and enable merchants to attract younger, affluent, digital-native audiences and to increase loyalty with existing customers by offering the potential to increase the long-term value of their rewards.</w:t>
      </w:r>
    </w:p>
    <w:p>
      <w:pPr>
        <w:spacing w:after="0" w:line="69" w:lineRule="exact"/>
        <w:rPr>
          <w:rFonts w:ascii="Times New Roman" w:cs="Times New Roman" w:eastAsia="Times New Roman" w:hAnsi="Times New Roman"/>
          <w:sz w:val="16"/>
          <w:szCs w:val="16"/>
          <w:color w:val="auto"/>
        </w:rPr>
      </w:pPr>
    </w:p>
    <w:p>
      <w:pPr>
        <w:ind w:left="1500" w:right="420" w:hanging="387"/>
        <w:spacing w:after="0" w:line="269" w:lineRule="auto"/>
        <w:tabs>
          <w:tab w:leader="none" w:pos="1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Paying with Digital Assets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enable consumers to make everyday purchases using their existing rewards points or new assets like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crypto. Our solution enables assets to be easily converted at checkout, making merchant integrations simple, fast, and flexible and facilitating settlement in fiat currency. Our payment capabilities also extend to enable companies to disburse payments in crypto (for instance, to gig economy or marketplace participants such as freelancers, content providers, and delivery workers).</w:t>
      </w:r>
    </w:p>
    <w:p>
      <w:pPr>
        <w:spacing w:after="0" w:line="69" w:lineRule="exact"/>
        <w:rPr>
          <w:rFonts w:ascii="Times New Roman" w:cs="Times New Roman" w:eastAsia="Times New Roman" w:hAnsi="Times New Roman"/>
          <w:sz w:val="16"/>
          <w:szCs w:val="16"/>
          <w:color w:val="auto"/>
        </w:rPr>
      </w:pPr>
    </w:p>
    <w:p>
      <w:pPr>
        <w:ind w:left="1500" w:right="120" w:hanging="387"/>
        <w:spacing w:after="0" w:line="261" w:lineRule="auto"/>
        <w:tabs>
          <w:tab w:leader="none" w:pos="1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Powering Loyalty. </w:t>
      </w:r>
      <w:r>
        <w:rPr>
          <w:rFonts w:ascii="Times New Roman" w:cs="Times New Roman" w:eastAsia="Times New Roman" w:hAnsi="Times New Roman"/>
          <w:sz w:val="16"/>
          <w:szCs w:val="16"/>
          <w:color w:val="auto"/>
        </w:rPr>
        <w:t>We offer a full spectrum of content that retailers and financial institutions can make available to their customers when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redeeming loyalty currencies, driving consumer loyalty and engagement. Our redemption solutions span a variety of rewards categories including merchandise (such as Apple products and services), gift cards, digital experiences and charitable giving. Our travel solution offers a retail e-commerce booking platform with a powerful search capability, as well as live-agent booking and servicing. Our platform provides a unified shopping experience that is configurable for companies and their programs. Capabilities include a mobile-first user experience, a multi-tier construct to accommodate loyalty tiers, comprehensive fraud protection capabilities and a split-tender payments platform to accept both points and credit cards as a form of payment. We recognize that businesses want to offer consumers choice, innovation and a frictionless experience, and our platform was constructed with this in mind.</w:t>
      </w:r>
    </w:p>
    <w:p>
      <w:pPr>
        <w:spacing w:after="0" w:line="168" w:lineRule="exact"/>
        <w:rPr>
          <w:sz w:val="20"/>
          <w:szCs w:val="20"/>
          <w:color w:val="auto"/>
        </w:rPr>
      </w:pPr>
    </w:p>
    <w:p>
      <w:pPr>
        <w:ind w:left="620" w:right="100"/>
        <w:spacing w:after="0" w:line="264" w:lineRule="auto"/>
        <w:rPr>
          <w:sz w:val="20"/>
          <w:szCs w:val="20"/>
          <w:color w:val="auto"/>
        </w:rPr>
      </w:pPr>
      <w:r>
        <w:rPr>
          <w:rFonts w:ascii="Times New Roman" w:cs="Times New Roman" w:eastAsia="Times New Roman" w:hAnsi="Times New Roman"/>
          <w:sz w:val="16"/>
          <w:szCs w:val="16"/>
          <w:color w:val="auto"/>
        </w:rPr>
        <w:t>As Bakkt’s business model evolved, starting first from a crypto futures and custody heritage, we saw the opportunity to expand our offerings into numerous classes of digital assets. Our acquisition of Bridge2 Solutions in February 2020 accelerated our connection to loyalty and rewards asset classes, and the launch of our branded consumer app and a number of key partnerships in 2021 furthered our payments and consumer crypto offerings. We have thoughtfully built a unique and powerful platform, melding together institutional-grade loyalty services to complement our institutional grade crypto capabilities. Our platform capabilities include end-to-end services</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0580"/>
          </w:cols>
          <w:pgMar w:left="320" w:top="453" w:right="999" w:bottom="1440" w:gutter="0" w:footer="0" w:header="0"/>
        </w:sectPr>
      </w:pPr>
    </w:p>
    <w:bookmarkStart w:id="89" w:name="page90"/>
    <w:bookmarkEnd w:id="8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60"/>
        <w:spacing w:after="0" w:line="291" w:lineRule="auto"/>
        <w:rPr>
          <w:sz w:val="20"/>
          <w:szCs w:val="20"/>
          <w:color w:val="auto"/>
        </w:rPr>
      </w:pPr>
      <w:r>
        <w:rPr>
          <w:rFonts w:ascii="Times New Roman" w:cs="Times New Roman" w:eastAsia="Times New Roman" w:hAnsi="Times New Roman"/>
          <w:sz w:val="16"/>
          <w:szCs w:val="16"/>
          <w:color w:val="auto"/>
        </w:rPr>
        <w:t>for our partners, which includes easily digestible technology services, 24/7 customer support and marketing playbooks. The power of these activities on our platform drives our vision – connecting the digital economy – for Bakkt and our partners.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Our Customers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Our customers include consumers, businesses and institutions.</w:t>
      </w:r>
    </w:p>
    <w:p>
      <w:pPr>
        <w:spacing w:after="0" w:line="208" w:lineRule="exact"/>
        <w:rPr>
          <w:sz w:val="20"/>
          <w:szCs w:val="20"/>
          <w:color w:val="auto"/>
        </w:rPr>
      </w:pPr>
    </w:p>
    <w:p>
      <w:pPr>
        <w:ind w:left="620" w:right="100"/>
        <w:spacing w:after="0" w:line="264" w:lineRule="auto"/>
        <w:rPr>
          <w:sz w:val="20"/>
          <w:szCs w:val="20"/>
          <w:color w:val="auto"/>
        </w:rPr>
      </w:pPr>
      <w:r>
        <w:rPr>
          <w:rFonts w:ascii="Times New Roman" w:cs="Times New Roman" w:eastAsia="Times New Roman" w:hAnsi="Times New Roman"/>
          <w:sz w:val="16"/>
          <w:szCs w:val="16"/>
          <w:color w:val="auto"/>
        </w:rPr>
        <w:t>We enable consumers to access and use the digital assets they have earned or accumulated over time, and to acquire new types of digital assets, such as crypto. Our scalable platform creates new opportunities to access crypto, merchant offers, loyalty points and gift card discounts, thereby increasing consumer spending power and powering the digital economy. We are also building out the functionality to offer consumers the ability to earn crypto rewards or redeem rewards for crypto with our platform—unlocking the potential to achieve more value from their rewards and permitting rewards to work harder for customers.</w:t>
      </w:r>
    </w:p>
    <w:p>
      <w:pPr>
        <w:spacing w:after="0" w:line="165" w:lineRule="exact"/>
        <w:rPr>
          <w:sz w:val="20"/>
          <w:szCs w:val="20"/>
          <w:color w:val="auto"/>
        </w:rPr>
      </w:pPr>
    </w:p>
    <w:p>
      <w:pPr>
        <w:jc w:val="both"/>
        <w:ind w:left="620"/>
        <w:spacing w:after="0" w:line="267" w:lineRule="auto"/>
        <w:rPr>
          <w:sz w:val="20"/>
          <w:szCs w:val="20"/>
          <w:color w:val="auto"/>
        </w:rPr>
      </w:pPr>
      <w:r>
        <w:rPr>
          <w:rFonts w:ascii="Times New Roman" w:cs="Times New Roman" w:eastAsia="Times New Roman" w:hAnsi="Times New Roman"/>
          <w:sz w:val="16"/>
          <w:szCs w:val="16"/>
          <w:color w:val="auto"/>
        </w:rPr>
        <w:t>Our business customers include merchants, retailers, and financial institutions. Our crypto-related capabilities facilitate new asset acquisition and reward opportunities for their customers. Our loyalty-related capabilities deepen their relationships with their customers by increasing redemption opportunities as their customers take advantage of these opportunities, it reduces merchants’, retailers’ and financial institutions’ financial liabilities related to unused rewards, and makes their programs more current by adding crypto capabilities.</w:t>
      </w:r>
    </w:p>
    <w:p>
      <w:pPr>
        <w:spacing w:after="0" w:line="162" w:lineRule="exact"/>
        <w:rPr>
          <w:sz w:val="20"/>
          <w:szCs w:val="20"/>
          <w:color w:val="auto"/>
        </w:rPr>
      </w:pPr>
    </w:p>
    <w:p>
      <w:pPr>
        <w:ind w:left="620" w:right="80"/>
        <w:spacing w:after="0" w:line="273" w:lineRule="auto"/>
        <w:rPr>
          <w:sz w:val="20"/>
          <w:szCs w:val="20"/>
          <w:color w:val="auto"/>
        </w:rPr>
      </w:pPr>
      <w:r>
        <w:rPr>
          <w:rFonts w:ascii="Times New Roman" w:cs="Times New Roman" w:eastAsia="Times New Roman" w:hAnsi="Times New Roman"/>
          <w:sz w:val="16"/>
          <w:szCs w:val="16"/>
          <w:color w:val="auto"/>
        </w:rPr>
        <w:t>We also enable institutional trading customers to trade crypto using our bitcoin futures contracts that are traded and cleared on ICE, and to store bitcoin and ether securely in our custody warehouse. Our platform uniquely leverages the technology and infrastructure products of ICE, providing greater regulatory clarity, better price discovery, and more effective risk management for financial institutions.</w:t>
      </w:r>
    </w:p>
    <w:p>
      <w:pPr>
        <w:spacing w:after="0" w:line="157" w:lineRule="exact"/>
        <w:rPr>
          <w:sz w:val="20"/>
          <w:szCs w:val="20"/>
          <w:color w:val="auto"/>
        </w:rPr>
      </w:pPr>
    </w:p>
    <w:p>
      <w:pPr>
        <w:ind w:left="620" w:right="100"/>
        <w:spacing w:after="0" w:line="263" w:lineRule="auto"/>
        <w:rPr>
          <w:sz w:val="20"/>
          <w:szCs w:val="20"/>
          <w:color w:val="auto"/>
        </w:rPr>
      </w:pPr>
      <w:r>
        <w:rPr>
          <w:rFonts w:ascii="Times New Roman" w:cs="Times New Roman" w:eastAsia="Times New Roman" w:hAnsi="Times New Roman"/>
          <w:sz w:val="16"/>
          <w:szCs w:val="16"/>
          <w:color w:val="auto"/>
        </w:rPr>
        <w:t xml:space="preserve">Our dependence on a limited number of enterprise and/or loyalty partners and financial institutions exposes us disproportionately to the risk of any of those partners choosing to no longer partner with us, to the economic performance of such partners or their respective industries or to any events, circumstances, or risks affecting such partners or their respective industries. For more information, please see </w:t>
      </w:r>
      <w:r>
        <w:rPr>
          <w:rFonts w:ascii="Times New Roman" w:cs="Times New Roman" w:eastAsia="Times New Roman" w:hAnsi="Times New Roman"/>
          <w:sz w:val="16"/>
          <w:szCs w:val="16"/>
          <w:i w:val="1"/>
          <w:iCs w:val="1"/>
          <w:color w:val="auto"/>
        </w:rPr>
        <w:t>“Risk Factors—Related to Our 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Finances and Operations—If a large percentage of our revenue is concentrated with a small number of enterprise and/or loyalty partners, the loss of any such enterprise or loyalty partner would materially and adversely affect our business, financial condition, results of operations and future prospects.”</w:t>
      </w:r>
    </w:p>
    <w:p>
      <w:pPr>
        <w:spacing w:after="0" w:line="200" w:lineRule="exact"/>
        <w:rPr>
          <w:sz w:val="20"/>
          <w:szCs w:val="20"/>
          <w:color w:val="auto"/>
        </w:rPr>
      </w:pP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Key Performance Indicators</w:t>
      </w:r>
    </w:p>
    <w:p>
      <w:pPr>
        <w:spacing w:after="0" w:line="114" w:lineRule="exact"/>
        <w:rPr>
          <w:sz w:val="20"/>
          <w:szCs w:val="20"/>
          <w:color w:val="auto"/>
        </w:rPr>
      </w:pPr>
    </w:p>
    <w:p>
      <w:pPr>
        <w:ind w:left="620" w:right="440"/>
        <w:spacing w:after="0" w:line="291" w:lineRule="auto"/>
        <w:rPr>
          <w:sz w:val="20"/>
          <w:szCs w:val="20"/>
          <w:color w:val="auto"/>
        </w:rPr>
      </w:pPr>
      <w:r>
        <w:rPr>
          <w:rFonts w:ascii="Times New Roman" w:cs="Times New Roman" w:eastAsia="Times New Roman" w:hAnsi="Times New Roman"/>
          <w:sz w:val="16"/>
          <w:szCs w:val="16"/>
          <w:color w:val="auto"/>
        </w:rPr>
        <w:t>We have previously disclosed two key performance indicators(“KPIs”) that are key to understanding our business performance, as they reflect the different ways we enable partners and customers to engage with our platform.</w:t>
      </w:r>
    </w:p>
    <w:p>
      <w:pPr>
        <w:spacing w:after="0" w:line="52" w:lineRule="exact"/>
        <w:rPr>
          <w:sz w:val="20"/>
          <w:szCs w:val="20"/>
          <w:color w:val="auto"/>
        </w:rPr>
      </w:pPr>
    </w:p>
    <w:p>
      <w:pPr>
        <w:ind w:left="1500" w:right="160" w:hanging="387"/>
        <w:spacing w:after="0" w:line="269" w:lineRule="auto"/>
        <w:tabs>
          <w:tab w:leader="none" w:pos="15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Transacting accounts. </w:t>
      </w:r>
      <w:r>
        <w:rPr>
          <w:rFonts w:ascii="Times New Roman" w:cs="Times New Roman" w:eastAsia="Times New Roman" w:hAnsi="Times New Roman"/>
          <w:sz w:val="16"/>
          <w:szCs w:val="16"/>
          <w:color w:val="auto"/>
        </w:rPr>
        <w:t>We define transacting accounts as unique accounts that perform transactions on our platform each month. We use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transacting accounts to reflect how users across our platform use the variety of services we offer, such as redeeming loyalty points for travel or merchandise, or buying and selling crypto to facilitate everyday purchases, or converting loyalty points to cash or gift cards. There were 2.6 million unique monthly transacting accounts in 2021, including 867,000 in the fourth quarter of 2021.</w:t>
      </w:r>
    </w:p>
    <w:p>
      <w:pPr>
        <w:spacing w:after="0" w:line="69" w:lineRule="exact"/>
        <w:rPr>
          <w:rFonts w:ascii="Times New Roman" w:cs="Times New Roman" w:eastAsia="Times New Roman" w:hAnsi="Times New Roman"/>
          <w:sz w:val="16"/>
          <w:szCs w:val="16"/>
          <w:color w:val="auto"/>
        </w:rPr>
      </w:pPr>
    </w:p>
    <w:p>
      <w:pPr>
        <w:jc w:val="both"/>
        <w:ind w:left="1500" w:right="660" w:hanging="387"/>
        <w:spacing w:after="0" w:line="276" w:lineRule="auto"/>
        <w:tabs>
          <w:tab w:leader="none" w:pos="15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Digital asset conversion volume. </w:t>
      </w:r>
      <w:r>
        <w:rPr>
          <w:rFonts w:ascii="Times New Roman" w:cs="Times New Roman" w:eastAsia="Times New Roman" w:hAnsi="Times New Roman"/>
          <w:sz w:val="16"/>
          <w:szCs w:val="16"/>
          <w:color w:val="auto"/>
        </w:rPr>
        <w:t>This KPI refers to the dollar value of transaction volume across our platform, including loyalty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redemption, crypto buy/sell and gift card purchase transactions. Our digital asset conversion volume was $549.7 million in 2021, $222 million of which occurred in the fourth quarter of 2021.</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0600"/>
          </w:cols>
          <w:pgMar w:left="320" w:top="452" w:right="979" w:bottom="1440" w:gutter="0" w:footer="0" w:header="0"/>
        </w:sectPr>
      </w:pPr>
    </w:p>
    <w:bookmarkStart w:id="90" w:name="page91"/>
    <w:bookmarkEnd w:id="9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Revenue Model</w:t>
      </w:r>
    </w:p>
    <w:p>
      <w:pPr>
        <w:spacing w:after="0" w:line="114" w:lineRule="exact"/>
        <w:rPr>
          <w:sz w:val="20"/>
          <w:szCs w:val="20"/>
          <w:color w:val="auto"/>
        </w:rPr>
      </w:pPr>
    </w:p>
    <w:p>
      <w:pPr>
        <w:ind w:left="620"/>
        <w:spacing w:after="0" w:line="291" w:lineRule="auto"/>
        <w:rPr>
          <w:sz w:val="20"/>
          <w:szCs w:val="20"/>
          <w:color w:val="auto"/>
        </w:rPr>
      </w:pPr>
      <w:r>
        <w:rPr>
          <w:rFonts w:ascii="Times New Roman" w:cs="Times New Roman" w:eastAsia="Times New Roman" w:hAnsi="Times New Roman"/>
          <w:sz w:val="16"/>
          <w:szCs w:val="16"/>
          <w:color w:val="auto"/>
        </w:rPr>
        <w:t>We receive revenue when consumers use our services to buy, sell, and spend digital assets. We generate revenue across our platform in the following key areas:</w:t>
      </w:r>
    </w:p>
    <w:p>
      <w:pPr>
        <w:spacing w:after="0" w:line="52" w:lineRule="exact"/>
        <w:rPr>
          <w:sz w:val="20"/>
          <w:szCs w:val="20"/>
          <w:color w:val="auto"/>
        </w:rPr>
      </w:pPr>
    </w:p>
    <w:p>
      <w:pPr>
        <w:ind w:left="1500" w:right="500" w:hanging="387"/>
        <w:spacing w:after="0" w:line="297" w:lineRule="auto"/>
        <w:tabs>
          <w:tab w:leader="none" w:pos="15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Subscription and service revenue. </w:t>
      </w:r>
      <w:r>
        <w:rPr>
          <w:rFonts w:ascii="Times New Roman" w:cs="Times New Roman" w:eastAsia="Times New Roman" w:hAnsi="Times New Roman"/>
          <w:sz w:val="16"/>
          <w:szCs w:val="16"/>
          <w:color w:val="auto"/>
        </w:rPr>
        <w:t>We receive a recurring subscription revenue stream from partner platform fees as well as service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from software development fees and call center support</w:t>
      </w:r>
    </w:p>
    <w:p>
      <w:pPr>
        <w:spacing w:after="0" w:line="47" w:lineRule="exact"/>
        <w:rPr>
          <w:rFonts w:ascii="Times New Roman" w:cs="Times New Roman" w:eastAsia="Times New Roman" w:hAnsi="Times New Roman"/>
          <w:sz w:val="16"/>
          <w:szCs w:val="16"/>
          <w:color w:val="auto"/>
        </w:rPr>
      </w:pPr>
    </w:p>
    <w:p>
      <w:pPr>
        <w:ind w:left="1500" w:right="280" w:hanging="387"/>
        <w:spacing w:after="0" w:line="297" w:lineRule="auto"/>
        <w:tabs>
          <w:tab w:leader="none" w:pos="15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Transaction revenue. </w:t>
      </w:r>
      <w:r>
        <w:rPr>
          <w:rFonts w:ascii="Times New Roman" w:cs="Times New Roman" w:eastAsia="Times New Roman" w:hAnsi="Times New Roman"/>
          <w:sz w:val="16"/>
          <w:szCs w:val="16"/>
          <w:color w:val="auto"/>
        </w:rPr>
        <w:t>We generate transaction revenue though loyalty redemption volumes where we get a take rate on the volume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crypto buy/sell where we make a spread on both legs of the transaction.</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Our revenue has seasonality and is typically higher in the fourth quarter, driven by holiday spending and the booking of travel.</w:t>
      </w:r>
    </w:p>
    <w:p>
      <w:pPr>
        <w:spacing w:after="0" w:line="208" w:lineRule="exact"/>
        <w:rPr>
          <w:sz w:val="20"/>
          <w:szCs w:val="20"/>
          <w:color w:val="auto"/>
        </w:rPr>
      </w:pPr>
    </w:p>
    <w:p>
      <w:pPr>
        <w:ind w:left="620" w:right="120"/>
        <w:spacing w:after="0" w:line="264" w:lineRule="auto"/>
        <w:rPr>
          <w:sz w:val="20"/>
          <w:szCs w:val="20"/>
          <w:color w:val="auto"/>
        </w:rPr>
      </w:pPr>
      <w:r>
        <w:rPr>
          <w:rFonts w:ascii="Times New Roman" w:cs="Times New Roman" w:eastAsia="Times New Roman" w:hAnsi="Times New Roman"/>
          <w:sz w:val="16"/>
          <w:szCs w:val="16"/>
          <w:color w:val="auto"/>
        </w:rPr>
        <w:t>Revenue generated from our service offerings in the digital asset marketplace and payments has been immaterial to date. However, we expect that revenues from cryptoasset trades, spending digital assets and other transactions and subscription fees will be significant drivers of our business, and we expect those revenues to increase as we grow our partner base and our users. As a result, over time, we expect loyalty revenue, which has been the source of substantially all of our revenue historically, to decrease as a percentage of overall revenue as the revenue from our other product and service offerings grows.</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Growth Strategy</w:t>
      </w:r>
    </w:p>
    <w:p>
      <w:pPr>
        <w:spacing w:after="0" w:line="114" w:lineRule="exact"/>
        <w:rPr>
          <w:sz w:val="20"/>
          <w:szCs w:val="20"/>
          <w:color w:val="auto"/>
        </w:rPr>
      </w:pPr>
    </w:p>
    <w:p>
      <w:pPr>
        <w:ind w:left="620" w:right="20"/>
        <w:spacing w:after="0" w:line="264" w:lineRule="auto"/>
        <w:rPr>
          <w:sz w:val="20"/>
          <w:szCs w:val="20"/>
          <w:color w:val="auto"/>
        </w:rPr>
      </w:pPr>
      <w:r>
        <w:rPr>
          <w:rFonts w:ascii="Times New Roman" w:cs="Times New Roman" w:eastAsia="Times New Roman" w:hAnsi="Times New Roman"/>
          <w:sz w:val="16"/>
          <w:szCs w:val="16"/>
          <w:color w:val="auto"/>
        </w:rPr>
        <w:t>We go to market using a B2B2C strategy. This means that we expect to gain consumer end-users of our platform through relationships with third parties, including, but not limited to, financial institutions (such as Wells Fargo), business and brands (such as Wyndham), platform and technology providers (such as Mastercard, Fiserv and Finastra), and gig economy or marketplace companies (such as BringMeThat). We believe that this strategy will enable us to add transacting accounts and volume more quickly and more efficiently than a direct-to-consumer model, especially as a relatively young company operating in a space like crypto that may be novel to some users.</w:t>
      </w:r>
    </w:p>
    <w:p>
      <w:pPr>
        <w:spacing w:after="0" w:line="165" w:lineRule="exact"/>
        <w:rPr>
          <w:sz w:val="20"/>
          <w:szCs w:val="20"/>
          <w:color w:val="auto"/>
        </w:rPr>
      </w:pPr>
    </w:p>
    <w:p>
      <w:pPr>
        <w:ind w:left="620" w:right="40"/>
        <w:spacing w:after="0" w:line="263" w:lineRule="auto"/>
        <w:rPr>
          <w:sz w:val="20"/>
          <w:szCs w:val="20"/>
          <w:color w:val="auto"/>
        </w:rPr>
      </w:pPr>
      <w:r>
        <w:rPr>
          <w:rFonts w:ascii="Times New Roman" w:cs="Times New Roman" w:eastAsia="Times New Roman" w:hAnsi="Times New Roman"/>
          <w:sz w:val="16"/>
          <w:szCs w:val="16"/>
          <w:color w:val="auto"/>
        </w:rPr>
        <w:t>As part of this approach, we have developed our platform to be flexible and scalable to accommodate how different partners may want to implement our offerings. Depending on each partner’s specific needs and objectives, that partner can choose to add one, some or all of our capabilities, and can also choose the manner in which those capabilities are enabled. Partners can choose to fully or partially embed our capabilities within their digital environment, or they can leverage our capabilities in a “ready-to-go” storefront. For partners desiring a ready-made experience, our capabilities around digital asset purchase, sales, redemption and payment come together in a seamless experience in our consumer app, which enables users to see and transact with their digital assets in one place.</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Our growth will come from adding customers and increasing transaction activity. Our growth strategies include the following:</w:t>
      </w:r>
    </w:p>
    <w:p>
      <w:pPr>
        <w:spacing w:after="0" w:line="118" w:lineRule="exact"/>
        <w:rPr>
          <w:sz w:val="20"/>
          <w:szCs w:val="20"/>
          <w:color w:val="auto"/>
        </w:rPr>
      </w:pPr>
    </w:p>
    <w:p>
      <w:pPr>
        <w:jc w:val="both"/>
        <w:ind w:left="1500" w:right="440" w:hanging="387"/>
        <w:spacing w:after="0" w:line="276" w:lineRule="auto"/>
        <w:tabs>
          <w:tab w:leader="none" w:pos="15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Adding partners. </w:t>
      </w:r>
      <w:r>
        <w:rPr>
          <w:rFonts w:ascii="Times New Roman" w:cs="Times New Roman" w:eastAsia="Times New Roman" w:hAnsi="Times New Roman"/>
          <w:sz w:val="16"/>
          <w:szCs w:val="16"/>
          <w:color w:val="auto"/>
        </w:rPr>
        <w:t>We are focused on continuing to build strong partner relationships. Acquiring customers through our partners is 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efficient and scalable way to grow our business. Our goal is to provide these partners opportunities to leverage our capabilities either through their existing environment or by leveraging our platform.</w:t>
      </w:r>
    </w:p>
    <w:p>
      <w:pPr>
        <w:spacing w:after="0" w:line="63" w:lineRule="exact"/>
        <w:rPr>
          <w:rFonts w:ascii="Times New Roman" w:cs="Times New Roman" w:eastAsia="Times New Roman" w:hAnsi="Times New Roman"/>
          <w:sz w:val="16"/>
          <w:szCs w:val="16"/>
          <w:color w:val="auto"/>
        </w:rPr>
      </w:pPr>
    </w:p>
    <w:p>
      <w:pPr>
        <w:ind w:left="1500" w:right="120" w:hanging="387"/>
        <w:spacing w:after="0" w:line="276" w:lineRule="auto"/>
        <w:tabs>
          <w:tab w:leader="none" w:pos="15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Adding customers. </w:t>
      </w:r>
      <w:r>
        <w:rPr>
          <w:rFonts w:ascii="Times New Roman" w:cs="Times New Roman" w:eastAsia="Times New Roman" w:hAnsi="Times New Roman"/>
          <w:sz w:val="16"/>
          <w:szCs w:val="16"/>
          <w:color w:val="auto"/>
        </w:rPr>
        <w:t>We are focused on activating our existing partnerships and will launch joint marketing campaigns with our partners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engage with their customers. Our recently announced partnerships provide us with an addressable market of well over 100 million users, who we will focus on bringing onto our platform.</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10620"/>
          </w:cols>
          <w:pgMar w:left="320" w:top="452" w:right="959" w:bottom="1440" w:gutter="0" w:footer="0" w:header="0"/>
        </w:sectPr>
      </w:pPr>
    </w:p>
    <w:bookmarkStart w:id="91" w:name="page92"/>
    <w:bookmarkEnd w:id="9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1500" w:right="200" w:hanging="387"/>
        <w:spacing w:after="0" w:line="297" w:lineRule="auto"/>
        <w:tabs>
          <w:tab w:leader="none" w:pos="1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Expanding our offering. </w:t>
      </w:r>
      <w:r>
        <w:rPr>
          <w:rFonts w:ascii="Times New Roman" w:cs="Times New Roman" w:eastAsia="Times New Roman" w:hAnsi="Times New Roman"/>
          <w:sz w:val="16"/>
          <w:szCs w:val="16"/>
          <w:color w:val="auto"/>
        </w:rPr>
        <w:t>We aim to increase the breadth and depth of our product offering in order to increase its appeal to partners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consumers. We plan to launch several near-term enhancements to our platform including:</w:t>
      </w:r>
    </w:p>
    <w:p>
      <w:pPr>
        <w:spacing w:after="0" w:line="49" w:lineRule="exact"/>
        <w:rPr>
          <w:rFonts w:ascii="Times New Roman" w:cs="Times New Roman" w:eastAsia="Times New Roman" w:hAnsi="Times New Roman"/>
          <w:sz w:val="16"/>
          <w:szCs w:val="16"/>
          <w:color w:val="auto"/>
        </w:rPr>
      </w:pPr>
    </w:p>
    <w:p>
      <w:pPr>
        <w:ind w:left="1920" w:right="60" w:hanging="304"/>
        <w:spacing w:after="0" w:line="294" w:lineRule="auto"/>
        <w:tabs>
          <w:tab w:leader="none" w:pos="192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Payout and disbursement capabilities. </w:t>
      </w:r>
      <w:r>
        <w:rPr>
          <w:rFonts w:ascii="Times New Roman" w:cs="Times New Roman" w:eastAsia="Times New Roman" w:hAnsi="Times New Roman"/>
          <w:sz w:val="16"/>
          <w:szCs w:val="16"/>
          <w:color w:val="auto"/>
        </w:rPr>
        <w:t>Offering gig economy workers and marketplace sellers the option to receive crypto as part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their payouts.</w:t>
      </w:r>
    </w:p>
    <w:p>
      <w:pPr>
        <w:spacing w:after="0" w:line="51" w:lineRule="exact"/>
        <w:rPr>
          <w:rFonts w:ascii="Times New Roman" w:cs="Times New Roman" w:eastAsia="Times New Roman" w:hAnsi="Times New Roman"/>
          <w:sz w:val="16"/>
          <w:szCs w:val="16"/>
          <w:color w:val="auto"/>
        </w:rPr>
      </w:pPr>
    </w:p>
    <w:p>
      <w:pPr>
        <w:ind w:left="1920" w:right="300" w:hanging="304"/>
        <w:spacing w:after="0" w:line="294" w:lineRule="auto"/>
        <w:tabs>
          <w:tab w:leader="none" w:pos="192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Open loop crypto wallets. </w:t>
      </w:r>
      <w:r>
        <w:rPr>
          <w:rFonts w:ascii="Times New Roman" w:cs="Times New Roman" w:eastAsia="Times New Roman" w:hAnsi="Times New Roman"/>
          <w:sz w:val="16"/>
          <w:szCs w:val="16"/>
          <w:color w:val="auto"/>
        </w:rPr>
        <w:t>Subject to obtaining regulatory approval, enabling consumers to deposit and withdraw crypto, starting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bitcoin, without conversion to fiat currency.</w:t>
      </w:r>
    </w:p>
    <w:p>
      <w:pPr>
        <w:spacing w:after="0" w:line="51" w:lineRule="exact"/>
        <w:rPr>
          <w:rFonts w:ascii="Times New Roman" w:cs="Times New Roman" w:eastAsia="Times New Roman" w:hAnsi="Times New Roman"/>
          <w:sz w:val="16"/>
          <w:szCs w:val="16"/>
          <w:color w:val="auto"/>
        </w:rPr>
      </w:pPr>
    </w:p>
    <w:p>
      <w:pPr>
        <w:ind w:left="1920" w:right="80" w:hanging="304"/>
        <w:spacing w:after="0" w:line="294" w:lineRule="auto"/>
        <w:tabs>
          <w:tab w:leader="none" w:pos="192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Additional cryptos on platform. </w:t>
      </w:r>
      <w:r>
        <w:rPr>
          <w:rFonts w:ascii="Times New Roman" w:cs="Times New Roman" w:eastAsia="Times New Roman" w:hAnsi="Times New Roman"/>
          <w:sz w:val="16"/>
          <w:szCs w:val="16"/>
          <w:color w:val="auto"/>
        </w:rPr>
        <w:t>Subject to obtaining regulatory approval, adding several additional major cryptocurrencies onto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platform, which currently support bitcoin and ether.</w:t>
      </w:r>
    </w:p>
    <w:p>
      <w:pPr>
        <w:spacing w:after="0" w:line="51" w:lineRule="exact"/>
        <w:rPr>
          <w:rFonts w:ascii="Times New Roman" w:cs="Times New Roman" w:eastAsia="Times New Roman" w:hAnsi="Times New Roman"/>
          <w:sz w:val="16"/>
          <w:szCs w:val="16"/>
          <w:color w:val="auto"/>
        </w:rPr>
      </w:pPr>
    </w:p>
    <w:p>
      <w:pPr>
        <w:ind w:left="1920" w:right="220" w:hanging="304"/>
        <w:spacing w:after="0" w:line="294" w:lineRule="auto"/>
        <w:tabs>
          <w:tab w:leader="none" w:pos="192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Points and rewards platform innovation. </w:t>
      </w:r>
      <w:r>
        <w:rPr>
          <w:rFonts w:ascii="Times New Roman" w:cs="Times New Roman" w:eastAsia="Times New Roman" w:hAnsi="Times New Roman"/>
          <w:sz w:val="16"/>
          <w:szCs w:val="16"/>
          <w:color w:val="auto"/>
        </w:rPr>
        <w:t>Launching pay with points capabilities, enhancing Apple and merchandise storefronts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allow for more consumer choice and convenience, enhancing travel capabilities with more self-service opportunities.</w:t>
      </w:r>
    </w:p>
    <w:p>
      <w:pPr>
        <w:spacing w:after="0" w:line="51" w:lineRule="exact"/>
        <w:rPr>
          <w:rFonts w:ascii="Times New Roman" w:cs="Times New Roman" w:eastAsia="Times New Roman" w:hAnsi="Times New Roman"/>
          <w:sz w:val="16"/>
          <w:szCs w:val="16"/>
          <w:color w:val="auto"/>
        </w:rPr>
      </w:pPr>
    </w:p>
    <w:p>
      <w:pPr>
        <w:ind w:left="1920" w:right="60" w:hanging="304"/>
        <w:spacing w:after="0" w:line="294" w:lineRule="auto"/>
        <w:tabs>
          <w:tab w:leader="none" w:pos="192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Real-time funding. </w:t>
      </w:r>
      <w:r>
        <w:rPr>
          <w:rFonts w:ascii="Times New Roman" w:cs="Times New Roman" w:eastAsia="Times New Roman" w:hAnsi="Times New Roman"/>
          <w:sz w:val="16"/>
          <w:szCs w:val="16"/>
          <w:color w:val="auto"/>
        </w:rPr>
        <w:t>Shortening funding of consumer accounts from days to real-time, both for transactions within the app and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platform more broadly.</w:t>
      </w:r>
    </w:p>
    <w:p>
      <w:pPr>
        <w:spacing w:after="0" w:line="140" w:lineRule="exact"/>
        <w:rPr>
          <w:sz w:val="20"/>
          <w:szCs w:val="20"/>
          <w:color w:val="auto"/>
        </w:rPr>
      </w:pPr>
    </w:p>
    <w:p>
      <w:pPr>
        <w:ind w:left="620" w:right="160"/>
        <w:spacing w:after="0" w:line="291" w:lineRule="auto"/>
        <w:rPr>
          <w:sz w:val="20"/>
          <w:szCs w:val="20"/>
          <w:color w:val="auto"/>
        </w:rPr>
      </w:pPr>
      <w:r>
        <w:rPr>
          <w:rFonts w:ascii="Times New Roman" w:cs="Times New Roman" w:eastAsia="Times New Roman" w:hAnsi="Times New Roman"/>
          <w:sz w:val="16"/>
          <w:szCs w:val="16"/>
          <w:color w:val="auto"/>
        </w:rPr>
        <w:t>Over time, we will continue to invest in our business to provide best-in-class products and services. Some of those longer-term planned enhancements include:</w:t>
      </w:r>
    </w:p>
    <w:p>
      <w:pPr>
        <w:spacing w:after="0" w:line="52" w:lineRule="exact"/>
        <w:rPr>
          <w:sz w:val="20"/>
          <w:szCs w:val="20"/>
          <w:color w:val="auto"/>
        </w:rPr>
      </w:pPr>
    </w:p>
    <w:p>
      <w:pPr>
        <w:ind w:left="1500" w:right="100" w:hanging="387"/>
        <w:spacing w:after="0" w:line="269" w:lineRule="auto"/>
        <w:tabs>
          <w:tab w:leader="none" w:pos="15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Crypto enhancements. </w:t>
      </w:r>
      <w:r>
        <w:rPr>
          <w:rFonts w:ascii="Times New Roman" w:cs="Times New Roman" w:eastAsia="Times New Roman" w:hAnsi="Times New Roman"/>
          <w:sz w:val="16"/>
          <w:szCs w:val="16"/>
          <w:color w:val="auto"/>
        </w:rPr>
        <w:t>We believe our institutional-grade cryptocurrency custody solution provides an ideal foundation for the expansion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new products and services for retail and institutional investors, for example, crypto lending services and crypto collateralization. By increasing the acceptance of cryptocurrency investing in the institutional space, we believe that these additional products can further interest in cryptocurrency generally among consumers, benefiting our platform.</w:t>
      </w:r>
    </w:p>
    <w:p>
      <w:pPr>
        <w:spacing w:after="0" w:line="69" w:lineRule="exact"/>
        <w:rPr>
          <w:rFonts w:ascii="Times New Roman" w:cs="Times New Roman" w:eastAsia="Times New Roman" w:hAnsi="Times New Roman"/>
          <w:sz w:val="16"/>
          <w:szCs w:val="16"/>
          <w:color w:val="auto"/>
        </w:rPr>
      </w:pPr>
    </w:p>
    <w:p>
      <w:pPr>
        <w:ind w:left="1500" w:hanging="387"/>
        <w:spacing w:after="0" w:line="269" w:lineRule="auto"/>
        <w:tabs>
          <w:tab w:leader="none" w:pos="15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Loyalty enhancements. </w:t>
      </w:r>
      <w:r>
        <w:rPr>
          <w:rFonts w:ascii="Times New Roman" w:cs="Times New Roman" w:eastAsia="Times New Roman" w:hAnsi="Times New Roman"/>
          <w:sz w:val="16"/>
          <w:szCs w:val="16"/>
          <w:color w:val="auto"/>
        </w:rPr>
        <w:t>As we add loyalty partners with large active consumer populations to our client portfolio, we can create deeper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partnerships across merchants with Bakkt at the center of these loyalty networks. As loyalty programs seek new ways to leverage customer data and behaviors to deliver value, we believe our platform will enable partners to more effectively acquire, re-activate and engage customers.</w:t>
      </w:r>
    </w:p>
    <w:p>
      <w:pPr>
        <w:spacing w:after="0" w:line="69" w:lineRule="exact"/>
        <w:rPr>
          <w:rFonts w:ascii="Times New Roman" w:cs="Times New Roman" w:eastAsia="Times New Roman" w:hAnsi="Times New Roman"/>
          <w:sz w:val="16"/>
          <w:szCs w:val="16"/>
          <w:color w:val="auto"/>
        </w:rPr>
      </w:pPr>
    </w:p>
    <w:p>
      <w:pPr>
        <w:ind w:left="1500" w:right="140" w:hanging="387"/>
        <w:spacing w:after="0" w:line="269" w:lineRule="auto"/>
        <w:tabs>
          <w:tab w:leader="none" w:pos="15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Data monetization. </w:t>
      </w:r>
      <w:r>
        <w:rPr>
          <w:rFonts w:ascii="Times New Roman" w:cs="Times New Roman" w:eastAsia="Times New Roman" w:hAnsi="Times New Roman"/>
          <w:sz w:val="16"/>
          <w:szCs w:val="16"/>
          <w:color w:val="auto"/>
        </w:rPr>
        <w:t>Our data is a strategic asset and we plan to deploy personalization capabilities based on this data across our business.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Through personalization, we see opportunity to grow our business and improve customer interactions across our platform by creating an individualized set of actions and rewards for each customer based on their behavior. Further we plan to leverage the data to protect the enterprise and mitigate fraud.</w:t>
      </w:r>
    </w:p>
    <w:p>
      <w:pPr>
        <w:spacing w:after="0" w:line="69" w:lineRule="exact"/>
        <w:rPr>
          <w:rFonts w:ascii="Times New Roman" w:cs="Times New Roman" w:eastAsia="Times New Roman" w:hAnsi="Times New Roman"/>
          <w:sz w:val="16"/>
          <w:szCs w:val="16"/>
          <w:color w:val="auto"/>
        </w:rPr>
      </w:pPr>
    </w:p>
    <w:p>
      <w:pPr>
        <w:ind w:left="1500" w:right="100" w:hanging="387"/>
        <w:spacing w:after="0" w:line="276" w:lineRule="auto"/>
        <w:tabs>
          <w:tab w:leader="none" w:pos="15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Market expansion. </w:t>
      </w:r>
      <w:r>
        <w:rPr>
          <w:rFonts w:ascii="Times New Roman" w:cs="Times New Roman" w:eastAsia="Times New Roman" w:hAnsi="Times New Roman"/>
          <w:sz w:val="16"/>
          <w:szCs w:val="16"/>
          <w:color w:val="auto"/>
        </w:rPr>
        <w:t>We expect to expand our platform into new markets. While the exact sequence and identity of additional markets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yet to be determined, we presently anticipate expanding next into Australia, Canada, and the United Kingdom. Ultimately, the decision as to when and where to expand will be driven by client and consumer demand and the regulatory environment in those markets.</w:t>
      </w:r>
    </w:p>
    <w:p>
      <w:pPr>
        <w:spacing w:after="0" w:line="154" w:lineRule="exact"/>
        <w:rPr>
          <w:sz w:val="20"/>
          <w:szCs w:val="20"/>
          <w:color w:val="auto"/>
        </w:rPr>
      </w:pPr>
    </w:p>
    <w:p>
      <w:pPr>
        <w:ind w:left="620" w:right="460"/>
        <w:spacing w:after="0" w:line="273" w:lineRule="auto"/>
        <w:rPr>
          <w:sz w:val="20"/>
          <w:szCs w:val="20"/>
          <w:color w:val="auto"/>
        </w:rPr>
      </w:pPr>
      <w:r>
        <w:rPr>
          <w:rFonts w:ascii="Times New Roman" w:cs="Times New Roman" w:eastAsia="Times New Roman" w:hAnsi="Times New Roman"/>
          <w:sz w:val="16"/>
          <w:szCs w:val="16"/>
          <w:color w:val="auto"/>
        </w:rPr>
        <w:t xml:space="preserve">We expect to fund continued growth in our business using a portion of the net proceeds from our recent business combination, which closed on October 15, 2021. For more information, please see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Liquidity and Capital Resources.</w:t>
      </w:r>
      <w:r>
        <w:rPr>
          <w:rFonts w:ascii="Times New Roman" w:cs="Times New Roman" w:eastAsia="Times New Roman" w:hAnsi="Times New Roman"/>
          <w:sz w:val="16"/>
          <w:szCs w:val="16"/>
          <w:color w:val="auto"/>
        </w:rPr>
        <w:t>”</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How We Are Different</w:t>
      </w:r>
    </w:p>
    <w:p>
      <w:pPr>
        <w:spacing w:after="0" w:line="114" w:lineRule="exact"/>
        <w:rPr>
          <w:sz w:val="20"/>
          <w:szCs w:val="20"/>
          <w:color w:val="auto"/>
        </w:rPr>
      </w:pPr>
    </w:p>
    <w:p>
      <w:pPr>
        <w:ind w:left="620" w:right="140"/>
        <w:spacing w:after="0" w:line="273" w:lineRule="auto"/>
        <w:rPr>
          <w:sz w:val="20"/>
          <w:szCs w:val="20"/>
          <w:color w:val="auto"/>
        </w:rPr>
      </w:pPr>
      <w:r>
        <w:rPr>
          <w:rFonts w:ascii="Times New Roman" w:cs="Times New Roman" w:eastAsia="Times New Roman" w:hAnsi="Times New Roman"/>
          <w:sz w:val="16"/>
          <w:szCs w:val="16"/>
          <w:color w:val="auto"/>
        </w:rPr>
        <w:t>The crypto, loyalty and payments markets in which we operate are highly competitive, rapidly changing and highly innovative. We believe that we are well-positioned given our unique ability to provide all of these capabilities under one platform, combined with our institutional-grade, secure and regulated infrastructure. We believe this provides a competitive differentiation that would be difficult to replicate. Although we do not believe</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0600"/>
          </w:cols>
          <w:pgMar w:left="320" w:top="452" w:right="979" w:bottom="1440" w:gutter="0" w:footer="0" w:header="0"/>
        </w:sectPr>
      </w:pPr>
    </w:p>
    <w:bookmarkStart w:id="92" w:name="page93"/>
    <w:bookmarkEnd w:id="9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that we have any single direct competitor for the full range of products we provide through our platform, we compete with a wide range of parties, including crypto exchanges, peer-to-peer payment systems, loyalty program redemption solutions, alternative payment methods and app-based platforms for similar services. This market is growing and changing rapidly, so we expect that we will continue to see increased competition with new entrants into the space or existing competitors expanding their product offerings.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believe that our business model provides us with significant competitive advantages, including:</w:t>
      </w:r>
    </w:p>
    <w:p>
      <w:pPr>
        <w:spacing w:after="0" w:line="118" w:lineRule="exact"/>
        <w:rPr>
          <w:sz w:val="20"/>
          <w:szCs w:val="20"/>
          <w:color w:val="auto"/>
        </w:rPr>
      </w:pPr>
    </w:p>
    <w:p>
      <w:pPr>
        <w:ind w:left="1500" w:right="40" w:hanging="387"/>
        <w:spacing w:after="0" w:line="269" w:lineRule="auto"/>
        <w:tabs>
          <w:tab w:leader="none" w:pos="1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Intersection of crypto, loyalty and payments. </w:t>
      </w:r>
      <w:r>
        <w:rPr>
          <w:rFonts w:ascii="Times New Roman" w:cs="Times New Roman" w:eastAsia="Times New Roman" w:hAnsi="Times New Roman"/>
          <w:sz w:val="16"/>
          <w:szCs w:val="16"/>
          <w:color w:val="auto"/>
        </w:rPr>
        <w:t>We operate at the unique intersection of crypto, loyalty and payments. We believe we are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only company to provide consumers, business and institutions with a platform that spans the entire digital asset ecosystem. Because of regulatory positioning and our proprietary technology, we believe that it would be difficult for competitors to replicate our platform’s diverse functionality.</w:t>
      </w:r>
    </w:p>
    <w:p>
      <w:pPr>
        <w:spacing w:after="0" w:line="69" w:lineRule="exact"/>
        <w:rPr>
          <w:rFonts w:ascii="Times New Roman" w:cs="Times New Roman" w:eastAsia="Times New Roman" w:hAnsi="Times New Roman"/>
          <w:sz w:val="16"/>
          <w:szCs w:val="16"/>
          <w:color w:val="auto"/>
        </w:rPr>
      </w:pPr>
    </w:p>
    <w:p>
      <w:pPr>
        <w:ind w:left="1500" w:hanging="387"/>
        <w:spacing w:after="0" w:line="266" w:lineRule="auto"/>
        <w:tabs>
          <w:tab w:leader="none" w:pos="1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Breadth of digital assets. </w:t>
      </w:r>
      <w:r>
        <w:rPr>
          <w:rFonts w:ascii="Times New Roman" w:cs="Times New Roman" w:eastAsia="Times New Roman" w:hAnsi="Times New Roman"/>
          <w:sz w:val="16"/>
          <w:szCs w:val="16"/>
          <w:color w:val="auto"/>
        </w:rPr>
        <w:t>Our platform combines traditional digital assets, such as loyalty and reward points, with emerging digital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like crypto. We believe that this combination offers both businesses and consumers a low barrier to entry to using and holding digital assets for everyday uses. For example, our crypto rewards solution will allow consumers to passively acquire crypto assets through their regular day-to-day spending. For merchants, our crypto-as-a-service product will allow them to offer their customers the ability to buy and sell crypto, as well as use crypto as a form of payment, without having to build the infrastructure in-house.</w:t>
      </w:r>
    </w:p>
    <w:p>
      <w:pPr>
        <w:spacing w:after="0" w:line="71" w:lineRule="exact"/>
        <w:rPr>
          <w:rFonts w:ascii="Times New Roman" w:cs="Times New Roman" w:eastAsia="Times New Roman" w:hAnsi="Times New Roman"/>
          <w:sz w:val="16"/>
          <w:szCs w:val="16"/>
          <w:color w:val="auto"/>
        </w:rPr>
      </w:pPr>
    </w:p>
    <w:p>
      <w:pPr>
        <w:ind w:left="1500" w:right="20" w:hanging="387"/>
        <w:spacing w:after="0" w:line="269" w:lineRule="auto"/>
        <w:tabs>
          <w:tab w:leader="none" w:pos="1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Partner-led strategy. </w:t>
      </w:r>
      <w:r>
        <w:rPr>
          <w:rFonts w:ascii="Times New Roman" w:cs="Times New Roman" w:eastAsia="Times New Roman" w:hAnsi="Times New Roman"/>
          <w:sz w:val="16"/>
          <w:szCs w:val="16"/>
          <w:color w:val="auto"/>
        </w:rPr>
        <w:t>We seek to leverage our existing and new partner relationships with leading brands to add consumer users to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platform. By partnering with these brands and their existing customer bases, we believe consumers are more likely to embrace the new asset classes offered on our platform. We also believe that, as a relatively new brand, this approach will allow us to scale users and revenue more quickly.</w:t>
      </w:r>
    </w:p>
    <w:p>
      <w:pPr>
        <w:spacing w:after="0" w:line="69" w:lineRule="exact"/>
        <w:rPr>
          <w:rFonts w:ascii="Times New Roman" w:cs="Times New Roman" w:eastAsia="Times New Roman" w:hAnsi="Times New Roman"/>
          <w:sz w:val="16"/>
          <w:szCs w:val="16"/>
          <w:color w:val="auto"/>
        </w:rPr>
      </w:pPr>
    </w:p>
    <w:p>
      <w:pPr>
        <w:ind w:left="1500" w:right="40" w:hanging="387"/>
        <w:spacing w:after="0" w:line="266" w:lineRule="auto"/>
        <w:tabs>
          <w:tab w:leader="none" w:pos="1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Institutional-grade platform. </w:t>
      </w:r>
      <w:r>
        <w:rPr>
          <w:rFonts w:ascii="Times New Roman" w:cs="Times New Roman" w:eastAsia="Times New Roman" w:hAnsi="Times New Roman"/>
          <w:sz w:val="16"/>
          <w:szCs w:val="16"/>
          <w:color w:val="auto"/>
        </w:rPr>
        <w:t>Our platform architecture is engineered to natively support digital assets across a wide range of classes,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scalability and strong regulatory and compliance controls. Our platform includes a custody warehouse that we designed and built in partnership with our majority investor, ICE. As the owner and operator of multiple trading and clearing operations across the world, ICE has decades of experience building safe, secure and reliable infrastructure that sophisticated investors and institutions demand. Our platform was designed with the same principles in mind to provide safe, reliable infrastructure for consumers in their everyday use.</w:t>
      </w:r>
    </w:p>
    <w:p>
      <w:pPr>
        <w:spacing w:after="0" w:line="71" w:lineRule="exact"/>
        <w:rPr>
          <w:rFonts w:ascii="Times New Roman" w:cs="Times New Roman" w:eastAsia="Times New Roman" w:hAnsi="Times New Roman"/>
          <w:sz w:val="16"/>
          <w:szCs w:val="16"/>
          <w:color w:val="auto"/>
        </w:rPr>
      </w:pPr>
    </w:p>
    <w:p>
      <w:pPr>
        <w:ind w:left="1500" w:right="100" w:hanging="387"/>
        <w:spacing w:after="0" w:line="267" w:lineRule="auto"/>
        <w:tabs>
          <w:tab w:leader="none" w:pos="15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Trusted and scalable capabilities. </w:t>
      </w:r>
      <w:r>
        <w:rPr>
          <w:rFonts w:ascii="Times New Roman" w:cs="Times New Roman" w:eastAsia="Times New Roman" w:hAnsi="Times New Roman"/>
          <w:sz w:val="16"/>
          <w:szCs w:val="16"/>
          <w:color w:val="auto"/>
        </w:rPr>
        <w:t>Our approach, built to scale with technology, privacy, security and compliance at the core, is informed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our team’s decades of collective experience. Our platform moves a significant amount of volume across digital asset classes every day, and we handle customer service for many of the largest financial institutions in the country. We believe these pillars, when applied to the rapidly evolving digital asset space, provide confidence to consumers, merchants, institutions and loyalty partners that participate in our ecosystem.</w:t>
      </w:r>
    </w:p>
    <w:p>
      <w:pPr>
        <w:spacing w:after="0" w:line="200" w:lineRule="exact"/>
        <w:rPr>
          <w:sz w:val="20"/>
          <w:szCs w:val="20"/>
          <w:color w:val="auto"/>
        </w:rPr>
      </w:pP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110" w:lineRule="exact"/>
        <w:rPr>
          <w:sz w:val="20"/>
          <w:szCs w:val="20"/>
          <w:color w:val="auto"/>
        </w:rPr>
      </w:pPr>
    </w:p>
    <w:p>
      <w:pPr>
        <w:ind w:left="620" w:right="8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B2B2C Model</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go-to-market strategy is B2B2C, where we acquire consumers primarily via partner relationships. We believe our focused approach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building scalable partnerships will drive strong growth in end users. We also believe this approach is more efficient and scalable than a direct-to-consumer strategy, and we have seen early evidence that this belief is warranted. Our goal is to provide our partners with opportunities to leverage Bakkt’s capabilities, either through their existing channels or by leveraging our consumer experiences. We expect to grow users by marketing into the customer bases of our partners, and by deepening engagement with our capabilities.</w:t>
      </w:r>
    </w:p>
    <w:p>
      <w:pPr>
        <w:spacing w:after="0" w:line="161" w:lineRule="exact"/>
        <w:rPr>
          <w:sz w:val="20"/>
          <w:szCs w:val="20"/>
          <w:color w:val="auto"/>
        </w:rPr>
      </w:pPr>
    </w:p>
    <w:p>
      <w:pPr>
        <w:ind w:left="620" w:right="260"/>
        <w:spacing w:after="0" w:line="291" w:lineRule="auto"/>
        <w:rPr>
          <w:sz w:val="20"/>
          <w:szCs w:val="20"/>
          <w:color w:val="auto"/>
        </w:rPr>
      </w:pPr>
      <w:r>
        <w:rPr>
          <w:rFonts w:ascii="Times New Roman" w:cs="Times New Roman" w:eastAsia="Times New Roman" w:hAnsi="Times New Roman"/>
          <w:sz w:val="16"/>
          <w:szCs w:val="16"/>
          <w:color w:val="auto"/>
        </w:rPr>
        <w:t>We have focused much of our efforts to build our partner network in four key areas: financial services; travel and entertainment; retail; and payments and platforms. While we have made significant headway building</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10620"/>
          </w:cols>
          <w:pgMar w:left="320" w:top="452" w:right="959" w:bottom="1440" w:gutter="0" w:footer="0" w:header="0"/>
        </w:sectPr>
      </w:pPr>
    </w:p>
    <w:bookmarkStart w:id="93" w:name="page94"/>
    <w:bookmarkEnd w:id="9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40"/>
        <w:spacing w:after="0" w:line="267" w:lineRule="auto"/>
        <w:rPr>
          <w:sz w:val="20"/>
          <w:szCs w:val="20"/>
          <w:color w:val="auto"/>
        </w:rPr>
      </w:pPr>
      <w:r>
        <w:rPr>
          <w:rFonts w:ascii="Times New Roman" w:cs="Times New Roman" w:eastAsia="Times New Roman" w:hAnsi="Times New Roman"/>
          <w:sz w:val="16"/>
          <w:szCs w:val="16"/>
          <w:color w:val="auto"/>
        </w:rPr>
        <w:t>partnerships in these industries, there remain significant untapped growth opportunities in each area. For example, traditional financial institutions are facing increased competition from a broader group of financial technology entrants (“fintechs”). We expect that the pressure on them to provide innovative products and increased competition will continue to grow. Our ability to stand up digital asset capabilities within partner ecosystems makes our platform an attractive solution for such financial institutions seeking an intuitive, tightly-integrated, low risk solution to offer crypto services.</w:t>
      </w:r>
    </w:p>
    <w:p>
      <w:pPr>
        <w:spacing w:after="0" w:line="158" w:lineRule="exact"/>
        <w:rPr>
          <w:sz w:val="20"/>
          <w:szCs w:val="20"/>
          <w:color w:val="auto"/>
        </w:rPr>
      </w:pPr>
    </w:p>
    <w:p>
      <w:pPr>
        <w:ind w:left="620" w:right="6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Value of Partnerships. </w:t>
      </w:r>
      <w:r>
        <w:rPr>
          <w:rFonts w:ascii="Times New Roman" w:cs="Times New Roman" w:eastAsia="Times New Roman" w:hAnsi="Times New Roman"/>
          <w:sz w:val="16"/>
          <w:szCs w:val="16"/>
          <w:color w:val="auto"/>
        </w:rPr>
        <w:t>We believe our growing network of partners provides potential for increased scale and substantiates the viability of our business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plan. As our partnerships go live, we will deploy marketing resources to drive consumer adoption and usage of our platform. The successful activation and implementation of these partnerships are expected to be a significant driver for our transaction growth and associated revenue, including crypto trading revenue. We believe we will benefit from a positive network effect, where the value of our network will generally increase as we add new partners, businesses, consumers and digital assets to our platform.</w:t>
      </w:r>
    </w:p>
    <w:p>
      <w:pPr>
        <w:spacing w:after="0" w:line="161"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For instance, we are seeing continued confirmation of the benefits of a B2B2C partnership network through our collaboration with Choice Hotels, which launched in September 2021, and with Wyndham Rewards, which launched in December 2021. Since our launch with Choice, we have seen higher conversion rates, an approximately 50% lower cost to acquire consumers and a higher return engagement from these customers. Similarly, Wyndham Rewards customers have also had higher conversion rates, lower customer acquisition costs and higher activation rates of the Bakkt card as compared to the general population.</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Customer Care</w:t>
      </w:r>
    </w:p>
    <w:p>
      <w:pPr>
        <w:spacing w:after="0" w:line="114" w:lineRule="exact"/>
        <w:rPr>
          <w:sz w:val="20"/>
          <w:szCs w:val="20"/>
          <w:color w:val="auto"/>
        </w:rPr>
      </w:pPr>
    </w:p>
    <w:p>
      <w:pPr>
        <w:ind w:left="620" w:right="80"/>
        <w:spacing w:after="0" w:line="263" w:lineRule="auto"/>
        <w:rPr>
          <w:sz w:val="20"/>
          <w:szCs w:val="20"/>
          <w:color w:val="auto"/>
        </w:rPr>
      </w:pPr>
      <w:r>
        <w:rPr>
          <w:rFonts w:ascii="Times New Roman" w:cs="Times New Roman" w:eastAsia="Times New Roman" w:hAnsi="Times New Roman"/>
          <w:sz w:val="16"/>
          <w:szCs w:val="16"/>
          <w:color w:val="auto"/>
        </w:rPr>
        <w:t>Our customer service channels are at the core of our offerings to partners, providing seamless and easy-to-leverage support for the wide array of digital asset transactions on our platform. We have invested heavily in customer support to provide our partners and their customers with the best possible experience. Leveraging our staff of over 300 customer service representatives, we provide 24x7 support for our consumer app and loyalty redemption customers. Our customer service agents undergo a rigorous training program and are continually monitored and trained as new capabilities are added to the platform. New partners are able to leverage our deep expertise in customer support as they roll out new offerings, like crypto, to their consumer bases.</w:t>
      </w:r>
    </w:p>
    <w:p>
      <w:pPr>
        <w:spacing w:after="0" w:line="200" w:lineRule="exact"/>
        <w:rPr>
          <w:sz w:val="20"/>
          <w:szCs w:val="20"/>
          <w:color w:val="auto"/>
        </w:rPr>
      </w:pP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Technology</w:t>
      </w:r>
    </w:p>
    <w:p>
      <w:pPr>
        <w:spacing w:after="0" w:line="114" w:lineRule="exact"/>
        <w:rPr>
          <w:sz w:val="20"/>
          <w:szCs w:val="20"/>
          <w:color w:val="auto"/>
        </w:rPr>
      </w:pPr>
    </w:p>
    <w:p>
      <w:pPr>
        <w:ind w:left="620" w:right="80"/>
        <w:spacing w:after="0" w:line="273" w:lineRule="auto"/>
        <w:rPr>
          <w:sz w:val="20"/>
          <w:szCs w:val="20"/>
          <w:color w:val="auto"/>
        </w:rPr>
      </w:pPr>
      <w:r>
        <w:rPr>
          <w:rFonts w:ascii="Times New Roman" w:cs="Times New Roman" w:eastAsia="Times New Roman" w:hAnsi="Times New Roman"/>
          <w:sz w:val="16"/>
          <w:szCs w:val="16"/>
          <w:color w:val="auto"/>
        </w:rPr>
        <w:t>Our platform allows consumers to redeem and convert, spend and pay, send and trade digital assets. This is enabled by our core platforms and infrastructure which provide loyalty integrations, virtual bank/credit cards, travel redemption, buy/sell trading, and digital asset exchange. Additionally, our platform supports KYC, AML, and other anti-fraud measures to combat financial crime.</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Our modern use experience and agile API-enabled platform allows us to partner and easily integrate with companies, including through the following:</w:t>
      </w:r>
    </w:p>
    <w:p>
      <w:pPr>
        <w:spacing w:after="0" w:line="122" w:lineRule="exact"/>
        <w:rPr>
          <w:sz w:val="20"/>
          <w:szCs w:val="20"/>
          <w:color w:val="auto"/>
        </w:rPr>
      </w:pPr>
    </w:p>
    <w:p>
      <w:pPr>
        <w:ind w:left="1500" w:right="20" w:hanging="387"/>
        <w:spacing w:after="0" w:line="273" w:lineRule="auto"/>
        <w:tabs>
          <w:tab w:leader="none" w:pos="15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loyalty redemption service is provided as software as a service (“SaaS”) and powers rewards redemption for leading loyalty programs. The service is built upon highly scalable proprietary technology and supports integration with dozens of suppliers and millions of items, both through a mobile-first responsive web app or integrated into partners’ apps or sites.</w:t>
      </w:r>
    </w:p>
    <w:p>
      <w:pPr>
        <w:spacing w:after="0" w:line="70" w:lineRule="exact"/>
        <w:rPr>
          <w:rFonts w:ascii="Times New Roman" w:cs="Times New Roman" w:eastAsia="Times New Roman" w:hAnsi="Times New Roman"/>
          <w:sz w:val="16"/>
          <w:szCs w:val="16"/>
          <w:color w:val="auto"/>
        </w:rPr>
      </w:pPr>
    </w:p>
    <w:p>
      <w:pPr>
        <w:ind w:left="1500" w:right="180" w:hanging="387"/>
        <w:spacing w:after="0" w:line="264" w:lineRule="auto"/>
        <w:tabs>
          <w:tab w:leader="none" w:pos="15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digital asset marketplace is an institutional-grade cryptocurrency custody and trading platform, primarily comprised of our custody platform, the Bakkt Warehouse, and our pricing execution engine. The custody platform is purpose-built to safeguard digital assets, with multi-signature wallet policies, hardware security modules and offline storage of private key material, blockchain surveillance and AML/KYC compliance integrated into the core of the platform. Our pricing execution engine is an automated trading system that facilitates the purchase and sale of cryptocurrencies by consumers, and is built to scale on demand leveraging the cloud.</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10600"/>
          </w:cols>
          <w:pgMar w:left="320" w:top="452" w:right="979" w:bottom="1440" w:gutter="0" w:footer="0" w:header="0"/>
        </w:sectPr>
      </w:pPr>
    </w:p>
    <w:bookmarkStart w:id="94" w:name="page95"/>
    <w:bookmarkEnd w:id="9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jc w:val="both"/>
        <w:ind w:left="1500" w:right="80" w:hanging="387"/>
        <w:spacing w:after="0" w:line="273" w:lineRule="auto"/>
        <w:tabs>
          <w:tab w:leader="none" w:pos="15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proprietary payments platform is a two-sided, fully integrated, cloud-based scalable payments platform. It is deployed using managed container services and managed databases in the cloud to scale on demand. Our payment APIs conform to industry standards and are used by merchants to accept our alternative payment method either in-app, in-store or online.</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Cybersecurity</w:t>
      </w:r>
    </w:p>
    <w:p>
      <w:pPr>
        <w:spacing w:after="0" w:line="114" w:lineRule="exact"/>
        <w:rPr>
          <w:sz w:val="20"/>
          <w:szCs w:val="20"/>
          <w:color w:val="auto"/>
        </w:rPr>
      </w:pPr>
    </w:p>
    <w:p>
      <w:pPr>
        <w:ind w:left="620"/>
        <w:spacing w:after="0" w:line="258" w:lineRule="auto"/>
        <w:rPr>
          <w:sz w:val="20"/>
          <w:szCs w:val="20"/>
          <w:color w:val="auto"/>
        </w:rPr>
      </w:pPr>
      <w:r>
        <w:rPr>
          <w:rFonts w:ascii="Times New Roman" w:cs="Times New Roman" w:eastAsia="Times New Roman" w:hAnsi="Times New Roman"/>
          <w:sz w:val="16"/>
          <w:szCs w:val="16"/>
          <w:color w:val="auto"/>
        </w:rPr>
        <w:t>Each of our products is architected, deployed, and managed through controls designed to protect our consumers’ sensitive personally identifiable information (“PII”) or other confidential data we store or manage in line with industry best practices and applicable law. We maintain a comprehensive cyber security program, managed by a dedicated team of security professionals, leveraging multiple layers of defenses to protect consumer data and digital assets, including cryptocurrency that we keep in custody. For example, we operate a combination of administrative, technical, and physical controls. Some of these controls include the use of biometrics, hardware security modules, advanced cryptographic algorithms, 24x7 monitoring, security personnel, separation of duties and other controls to protect and restrict unauthorized movement of crypto assets to and from the custody operations conducted by Bakkt Trust. Additionally, we regularly utilize independent and reputable external parties to assess and provide added assurance that our products are appropriately secured and resilient against modern cyber threats. We currently maintain an active AICPA SOC 2 Type 2 certifications for our consumer app as well as our loyalty platform. We are also Payment Card Industry Data Security Standard (“PCI-DSS”) compliant for the in-scope systems where cardholder data is stored or processed. We comply with the NYDFS cybersecurity requirements which impose strict rules related to establish a detailed cybersecurity plan, enact a comprehensive cybersecurity policy, and maintain an ongoing reporting system for cybersecurity events. Finally, we maintain a privacy program designed to meet applicable federal and state privacy laws or regulations. This includes the capability to effectively respond to consumer data subject requests or regulatory requests.</w:t>
      </w:r>
    </w:p>
    <w:p>
      <w:pPr>
        <w:spacing w:after="0" w:line="2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Regulation</w:t>
      </w:r>
    </w:p>
    <w:p>
      <w:pPr>
        <w:spacing w:after="0" w:line="114" w:lineRule="exact"/>
        <w:rPr>
          <w:sz w:val="20"/>
          <w:szCs w:val="20"/>
          <w:color w:val="auto"/>
        </w:rPr>
      </w:pPr>
    </w:p>
    <w:p>
      <w:pPr>
        <w:ind w:left="620"/>
        <w:spacing w:after="0" w:line="261" w:lineRule="auto"/>
        <w:rPr>
          <w:sz w:val="20"/>
          <w:szCs w:val="20"/>
          <w:color w:val="auto"/>
        </w:rPr>
      </w:pPr>
      <w:r>
        <w:rPr>
          <w:rFonts w:ascii="Times New Roman" w:cs="Times New Roman" w:eastAsia="Times New Roman" w:hAnsi="Times New Roman"/>
          <w:sz w:val="16"/>
          <w:szCs w:val="16"/>
          <w:color w:val="auto"/>
        </w:rPr>
        <w:t>Federal and state laws and regulations apply to many key aspects of our business. Any actual or perceived failure to comply with these requirements may result in, among other things, revocation of required licenses or registrations, loss of approved status, regulatory or governmental investigations, administrative enforcement actions, sanctions, civil and criminal liability, private litigation, reputational harm, or constraints on our ability to continue to operate. We operate in a regulatory environment that is evolving rapidly and increasing in scope. As such, it is possible that current or future laws or regulations could be enacted, interpreted or applied in a manner that would prohibit, alter, or impair our existing or planned products and services, or that could require costly, time-consuming, or otherwise burdensome compliance measures. Further, additional laws and regulations may apply to our businesses as we expand outside of the United States in the future.</w:t>
      </w:r>
    </w:p>
    <w:p>
      <w:pPr>
        <w:spacing w:after="0" w:line="164" w:lineRule="exact"/>
        <w:rPr>
          <w:sz w:val="20"/>
          <w:szCs w:val="20"/>
          <w:color w:val="auto"/>
        </w:rPr>
      </w:pPr>
    </w:p>
    <w:p>
      <w:pPr>
        <w:ind w:left="620" w:right="10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Regulation of Our Payments Business. </w:t>
      </w:r>
      <w:r>
        <w:rPr>
          <w:rFonts w:ascii="Times New Roman" w:cs="Times New Roman" w:eastAsia="Times New Roman" w:hAnsi="Times New Roman"/>
          <w:sz w:val="16"/>
          <w:szCs w:val="16"/>
          <w:color w:val="auto"/>
        </w:rPr>
        <w:t>Bakkt Marketplace, LLC (“Bakkt Marketplace”), our subsidiary, maintains a money transmitter license in each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jurisdiction in which we operate that requires such a license for our activities. In all other jurisdictions where Bakkt Marketplace operates, we have established with the applicable licensing body that a money transmitter license is not required at this time. We will comply with new license requirements as they arise. Bakkt Marketplace is also registered as a “Money Services Business” with the FinCEN. These licenses and registrations subject us to, among other things, record-keeping requirements, reporting requirements, bonding requirements, limitations on the investment of customer funds, and examination by state and federal regulatory agencies. These licensing laws also address matters such as change in control, and regulatory approval of controlling shareholders, directors, and senior management of the licensed entity. In connection with our payments business and card product, we are subject to compliance with certain industry rules, including those promulgated by the National Automated Clearing House Association, or NACHA, as well as card network rules and guidelines. Additional new products and services that we offer may impose additional obligations on us to comply with NACHA and card network obligations related to preventing fraud and security breaches.</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10620"/>
          </w:cols>
          <w:pgMar w:left="320" w:top="452" w:right="959" w:bottom="1440" w:gutter="0" w:footer="0" w:header="0"/>
        </w:sectPr>
      </w:pPr>
    </w:p>
    <w:bookmarkStart w:id="95" w:name="page96"/>
    <w:bookmarkEnd w:id="9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right="12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Regulation of Our Virtual Currency Business. </w:t>
      </w:r>
      <w:r>
        <w:rPr>
          <w:rFonts w:ascii="Times New Roman" w:cs="Times New Roman" w:eastAsia="Times New Roman" w:hAnsi="Times New Roman"/>
          <w:sz w:val="16"/>
          <w:szCs w:val="16"/>
          <w:color w:val="auto"/>
        </w:rPr>
        <w:t>We provide cryptocurrency custody services through Bakkt Trust, a limited purpose trust company that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is chartered under the New York Banking Law and subject to the supervision and oversight of the NYDFS. Consequently, we must comply with laws, rules and regulations promulgated pursuant to the New York Banking Law with respect to the cryptocurrency custody services we provide through Bakkt Trust, including those related to capitalization, corporate governance, anti-money laundering, disclosure, reporting and examination, as well as supervisory guidance and requirements. Bakkt Trust is also subject to FinCEN requirements as a financial institution.</w:t>
      </w:r>
    </w:p>
    <w:p>
      <w:pPr>
        <w:spacing w:after="0" w:line="161" w:lineRule="exact"/>
        <w:rPr>
          <w:sz w:val="20"/>
          <w:szCs w:val="20"/>
          <w:color w:val="auto"/>
        </w:rPr>
      </w:pPr>
    </w:p>
    <w:p>
      <w:pPr>
        <w:ind w:left="620" w:firstLine="400"/>
        <w:spacing w:after="0" w:line="263" w:lineRule="auto"/>
        <w:rPr>
          <w:sz w:val="20"/>
          <w:szCs w:val="20"/>
          <w:color w:val="auto"/>
        </w:rPr>
      </w:pPr>
      <w:r>
        <w:rPr>
          <w:rFonts w:ascii="Times New Roman" w:cs="Times New Roman" w:eastAsia="Times New Roman" w:hAnsi="Times New Roman"/>
          <w:sz w:val="16"/>
          <w:szCs w:val="16"/>
          <w:color w:val="auto"/>
        </w:rPr>
        <w:t>We are subject in certain jurisdictions to licensing and regulatory requirements as a result of offering our customers the ability to aggregate, buy, sell, convert, spend and send virtual currency through our platform. Consequently, we must comply with laws, rules and regulations promulgated by federal or state regulators in those jurisdictions in order to provide our services, including requirements related to capitalization, consumer protection, anti-money laundering, disclosure, reporting and examination, as well as supervisory guidance and requirements. Bakkt Marketplace also has a BitLicense from the NYDFS, which subjects it to NYDFS’ oversight with respect to such business activities conducted in New York State and with New York residents.</w:t>
      </w:r>
    </w:p>
    <w:p>
      <w:pPr>
        <w:spacing w:after="0" w:line="365" w:lineRule="exact"/>
        <w:rPr>
          <w:sz w:val="20"/>
          <w:szCs w:val="20"/>
          <w:color w:val="auto"/>
        </w:rPr>
      </w:pPr>
    </w:p>
    <w:p>
      <w:pPr>
        <w:ind w:left="620" w:right="60"/>
        <w:spacing w:after="0" w:line="264" w:lineRule="auto"/>
        <w:rPr>
          <w:sz w:val="20"/>
          <w:szCs w:val="20"/>
          <w:color w:val="auto"/>
        </w:rPr>
      </w:pPr>
      <w:r>
        <w:rPr>
          <w:rFonts w:ascii="Times New Roman" w:cs="Times New Roman" w:eastAsia="Times New Roman" w:hAnsi="Times New Roman"/>
          <w:sz w:val="16"/>
          <w:szCs w:val="16"/>
          <w:color w:val="auto"/>
        </w:rPr>
        <w:t>The laws and regulations applicable to virtual currency and other digital assets are evolving and subject to interpretation and change. For instance, the SEC has indicated that it considers certain cryptocurrencies to possibly constitute securities. The SEC has yet to issue any formal regulation on this point, though it has put forth some guidance on overarching frameworks and relevant factors to consider in this analysis. Therefore, our virtual currency and digital asset services offered through our platform or our limited purpose trust company may become subject to regulation by other authorities and/or may subject us to additional requirements.</w:t>
      </w:r>
    </w:p>
    <w:p>
      <w:pPr>
        <w:spacing w:after="0" w:line="161" w:lineRule="exact"/>
        <w:rPr>
          <w:sz w:val="20"/>
          <w:szCs w:val="20"/>
          <w:color w:val="auto"/>
        </w:rPr>
      </w:pPr>
    </w:p>
    <w:p>
      <w:pPr>
        <w:ind w:left="620" w:right="160"/>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Privacy and Information Cybersecurity Regulations. </w:t>
      </w:r>
      <w:r>
        <w:rPr>
          <w:rFonts w:ascii="Times New Roman" w:cs="Times New Roman" w:eastAsia="Times New Roman" w:hAnsi="Times New Roman"/>
          <w:sz w:val="16"/>
          <w:szCs w:val="16"/>
          <w:color w:val="auto"/>
        </w:rPr>
        <w:t>Aspects of our operations or business are subject to laws and regulation in the United States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foreign jurisdictions relating to privacy, data protection and cybersecurity. Accordingly, we publish our privacy policies and terms of service, which describe our practices concerning the use, transmission, and disclosure of information. As our business continues to expand in the United States and potentially beyond, and as laws and regulations continue to be passed and their interpretations continue to evolve in numerous jurisdictions, additional laws and regulations may become relevant to us.</w:t>
      </w:r>
    </w:p>
    <w:p>
      <w:pPr>
        <w:spacing w:after="0" w:line="161" w:lineRule="exact"/>
        <w:rPr>
          <w:sz w:val="20"/>
          <w:szCs w:val="20"/>
          <w:color w:val="auto"/>
        </w:rPr>
      </w:pPr>
    </w:p>
    <w:p>
      <w:pPr>
        <w:ind w:left="620" w:right="40"/>
        <w:spacing w:after="0" w:line="263" w:lineRule="auto"/>
        <w:rPr>
          <w:sz w:val="20"/>
          <w:szCs w:val="20"/>
          <w:color w:val="auto"/>
        </w:rPr>
      </w:pPr>
      <w:r>
        <w:rPr>
          <w:rFonts w:ascii="Times New Roman" w:cs="Times New Roman" w:eastAsia="Times New Roman" w:hAnsi="Times New Roman"/>
          <w:sz w:val="16"/>
          <w:szCs w:val="16"/>
          <w:color w:val="auto"/>
        </w:rPr>
        <w:t>Regulatory authorities around the world are considering numerous legislative and regulatory proposals concerning privacy, data protection and cybersecurity. In addition, the interpretation and application of these laws and regulations in the United States and elsewhere are often uncertain and in a state of flux. As our business continues to develop and expand, we continue to monitor the additional rules and regulations that may become relevant. For additional information regarding these laws and regulations and related risks, please see “</w:t>
      </w:r>
      <w:r>
        <w:rPr>
          <w:rFonts w:ascii="Times New Roman" w:cs="Times New Roman" w:eastAsia="Times New Roman" w:hAnsi="Times New Roman"/>
          <w:sz w:val="16"/>
          <w:szCs w:val="16"/>
          <w:i w:val="1"/>
          <w:iCs w:val="1"/>
          <w:color w:val="auto"/>
        </w:rPr>
        <w:t>Risk Factors—Risks Related to Regulation, Taxation,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Laws—Complying with evolving laws and requirements relating to privacy, data protection, and cybersecurity may be expensive and force us to make changes to our business, and failure to comply with such laws and requirements could result in substantial harm to our business</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ind w:left="620" w:right="6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Consumer Protection Regulation. </w:t>
      </w:r>
      <w:r>
        <w:rPr>
          <w:rFonts w:ascii="Times New Roman" w:cs="Times New Roman" w:eastAsia="Times New Roman" w:hAnsi="Times New Roman"/>
          <w:sz w:val="16"/>
          <w:szCs w:val="16"/>
          <w:color w:val="auto"/>
        </w:rPr>
        <w:t>The Consumer Financial Protection Bureau and other federal and state regulatory agencies, including the Federal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Trade Commission, broadly regulate financial products, enforce consumer protection laws applicable to credit, deposit, prepaid products, and payments, and other similar products. Such agencies have broad consumer protection mandates, and they promulgate, interpret, and enforce laws, rules and regulations, including with respect to unfair, deceptive, and abusive acts and practices (“UDAAP”) that may impact or apply to our business.</w:t>
      </w:r>
    </w:p>
    <w:p>
      <w:pPr>
        <w:spacing w:after="0" w:line="160" w:lineRule="exact"/>
        <w:rPr>
          <w:sz w:val="20"/>
          <w:szCs w:val="20"/>
          <w:color w:val="auto"/>
        </w:rPr>
      </w:pPr>
    </w:p>
    <w:p>
      <w:pPr>
        <w:jc w:val="both"/>
        <w:ind w:left="620" w:right="100"/>
        <w:spacing w:after="0" w:line="267" w:lineRule="auto"/>
        <w:rPr>
          <w:sz w:val="20"/>
          <w:szCs w:val="20"/>
          <w:color w:val="auto"/>
        </w:rPr>
      </w:pPr>
      <w:r>
        <w:rPr>
          <w:rFonts w:ascii="Times New Roman" w:cs="Times New Roman" w:eastAsia="Times New Roman" w:hAnsi="Times New Roman"/>
          <w:sz w:val="16"/>
          <w:szCs w:val="16"/>
          <w:color w:val="auto"/>
        </w:rPr>
        <w:t>For example, under federal and state financial privacy laws and regulations, we must provide notice to consumers of our policies on sharing non-public information with third parties, among other requirements. In addition, under the Electronic Fund Transfer Act, we are required to disclose the terms of, and any fees applicable to, our electronic fund transfer services to consumers prior to their use of the service, among other requirements. We are further required to extend error resolution and limited liability protections to customers who use our card product.</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92</w:t>
      </w:r>
    </w:p>
    <w:p>
      <w:pPr>
        <w:sectPr>
          <w:pgSz w:w="11900" w:h="16838" w:orient="portrait"/>
          <w:cols w:equalWidth="0" w:num="1">
            <w:col w:w="10620"/>
          </w:cols>
          <w:pgMar w:left="320" w:top="452" w:right="959" w:bottom="1440" w:gutter="0" w:footer="0" w:header="0"/>
        </w:sectPr>
      </w:pPr>
    </w:p>
    <w:bookmarkStart w:id="96" w:name="page97"/>
    <w:bookmarkEnd w:id="9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Anti-Money Laundering and Counter-Terrorism Regulation. </w:t>
      </w:r>
      <w:r>
        <w:rPr>
          <w:rFonts w:ascii="Times New Roman" w:cs="Times New Roman" w:eastAsia="Times New Roman" w:hAnsi="Times New Roman"/>
          <w:sz w:val="16"/>
          <w:szCs w:val="16"/>
          <w:color w:val="auto"/>
        </w:rPr>
        <w:t>We are subject to AML laws and regulations in the United States, including the Bank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Secrecy Act, as amended, and its implemented regulations enforced by FinCEN, as well as laws designed to prevent the use of the financial systems to facilitate terrorist activities. We have implemented a comprehensive AML compliance program designed to prevent our payments network and custody services from being used to facilitate money laundering, terrorist financing, and other illicit activity. Our program is also designed to prevent our network and other services from being used to facilitate business in countries, or with persons or entities, included on designated lists promulgated by OFAC and equivalent authorities in other countries. Our AML compliance program is comprised of policies, procedures, reporting protocols, including reporting requirements for suspicious transactions, and internal controls, including the designation of a compliance officer, training for employees, and a regular independent review of the program. It is further designed to address applicable legal and regulatory requirements and to assist in managing risk associated with money laundering and terrorist financing.</w:t>
      </w:r>
    </w:p>
    <w:p>
      <w:pPr>
        <w:spacing w:after="0" w:line="167" w:lineRule="exact"/>
        <w:rPr>
          <w:sz w:val="20"/>
          <w:szCs w:val="20"/>
          <w:color w:val="auto"/>
        </w:rPr>
      </w:pPr>
    </w:p>
    <w:p>
      <w:pPr>
        <w:ind w:left="6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Indirect Regulatory Requirements. </w:t>
      </w:r>
      <w:r>
        <w:rPr>
          <w:rFonts w:ascii="Times New Roman" w:cs="Times New Roman" w:eastAsia="Times New Roman" w:hAnsi="Times New Roman"/>
          <w:sz w:val="16"/>
          <w:szCs w:val="16"/>
          <w:color w:val="auto"/>
        </w:rPr>
        <w:t>We maintain relationships with certain partners, including banks and other financial institutions in the United States,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that are regulated by state, local and federal agencies. Because of these relationships, we may be subject to indirect regulation or examination by these institutions’ regulators. Knowing these indirect regulatory requirements may exist, we seek to account for them in our commercial agreements.</w:t>
      </w:r>
    </w:p>
    <w:p>
      <w:pPr>
        <w:spacing w:after="0" w:line="150" w:lineRule="exact"/>
        <w:rPr>
          <w:sz w:val="20"/>
          <w:szCs w:val="20"/>
          <w:color w:val="auto"/>
        </w:rPr>
      </w:pPr>
    </w:p>
    <w:p>
      <w:pPr>
        <w:ind w:left="620" w:right="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Escheatment and Unclaimed Property Regulations. </w:t>
      </w:r>
      <w:r>
        <w:rPr>
          <w:rFonts w:ascii="Times New Roman" w:cs="Times New Roman" w:eastAsia="Times New Roman" w:hAnsi="Times New Roman"/>
          <w:sz w:val="16"/>
          <w:szCs w:val="16"/>
          <w:color w:val="auto"/>
        </w:rPr>
        <w:t>There is regulatory uncertainty regarding how states and jurisdictions treat virtual currencies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crypto assets under unclaimed property laws and regulations. Unclaimed property laws, as may be applicable, require us to report and to remit certain government authorities the property of others held by us that has been unclaimed for a specified period of time. We have policies and procedures designed to help us comply with these laws.</w:t>
      </w:r>
    </w:p>
    <w:p>
      <w:pPr>
        <w:spacing w:after="0" w:line="2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14" w:lineRule="exact"/>
        <w:rPr>
          <w:sz w:val="20"/>
          <w:szCs w:val="20"/>
          <w:color w:val="auto"/>
        </w:rPr>
      </w:pPr>
    </w:p>
    <w:p>
      <w:pPr>
        <w:ind w:left="620" w:right="60"/>
        <w:spacing w:after="0" w:line="258" w:lineRule="auto"/>
        <w:rPr>
          <w:sz w:val="20"/>
          <w:szCs w:val="20"/>
          <w:color w:val="auto"/>
        </w:rPr>
      </w:pPr>
      <w:r>
        <w:rPr>
          <w:rFonts w:ascii="Times New Roman" w:cs="Times New Roman" w:eastAsia="Times New Roman" w:hAnsi="Times New Roman"/>
          <w:sz w:val="16"/>
          <w:szCs w:val="16"/>
          <w:color w:val="auto"/>
        </w:rPr>
        <w:t>The protection of our intellectual property and all corresponding rights throughout the world, including our trademarks, service marks, trade dress, logos, trade names, domain names, goodwill, patents, copyrights, works 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sought to register our core brands as domain names and as trademarks and service marks in the U.S. and a large number of other jurisdictions. We also have in place an active program to continue to secure, police and enforce trademarks, service marks, trade dress, logos, trade names, and domain names that correspond to our brands in markets of interest. We have filed patent applications in the U.S. and plan to extend them into international jurisdictions covering certain aspects of our proprietary technology and new innovations. We also rely on contractual restrictions to protect our proprietary rights where appropriate when offering or procuring products and services. We have routinely entered into confidentiality and invention disclosure and assignment agreements with our employees and contractors, and non-disclosure agreements with external parties with whom we conduct business to control access to, and use and disclosure of, our proprietary information.</w:t>
      </w:r>
    </w:p>
    <w:p>
      <w:pPr>
        <w:spacing w:after="0" w:line="200" w:lineRule="exact"/>
        <w:rPr>
          <w:sz w:val="20"/>
          <w:szCs w:val="20"/>
          <w:color w:val="auto"/>
        </w:rPr>
      </w:pPr>
    </w:p>
    <w:p>
      <w:pPr>
        <w:spacing w:after="0" w:line="2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114"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Our employees are essential in propelling our success. We hold our employees to high standards and aim to create a culture of accountability and results. Our performance expectations and attributes empower our company and reflect how we expect to operate, collaborate and make decisions. At Bakkt, we strive to challenge the status quo with new ideas, have open and honest communication and appreciate our diversity of thought, take ownership and accountability for delivering valuable results and act with integrity, respect and reliability.</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10600"/>
          </w:cols>
          <w:pgMar w:left="320" w:top="452" w:right="979" w:bottom="1440" w:gutter="0" w:footer="0" w:header="0"/>
        </w:sectPr>
      </w:pPr>
    </w:p>
    <w:bookmarkStart w:id="97" w:name="page98"/>
    <w:bookmarkEnd w:id="9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40"/>
        <w:spacing w:after="0" w:line="263" w:lineRule="auto"/>
        <w:rPr>
          <w:sz w:val="20"/>
          <w:szCs w:val="20"/>
          <w:color w:val="auto"/>
        </w:rPr>
      </w:pPr>
      <w:r>
        <w:rPr>
          <w:rFonts w:ascii="Times New Roman" w:cs="Times New Roman" w:eastAsia="Times New Roman" w:hAnsi="Times New Roman"/>
          <w:sz w:val="16"/>
          <w:szCs w:val="16"/>
          <w:color w:val="auto"/>
        </w:rPr>
        <w:t>At Bakkt, we understand that our success is built by operating as a unified company – one culture and team across the digital asset landscape, with a focus on growth and innovation. We are committed to diversity throughout our company. We embrace and encourage our employees’ differences, valuing a diverse, inclusive and safe workplace. We aim to promote diversity and inclusion through a number of employee engagement events, internal and external speaker sessions and teaching seminars on relevant and important topics. Our colleagues come from a wide variety of backgrounds to work toward a common vision for the company. We bring our teams together in bi-weekly all hands calls and transparently share steps taken towards our company goals.</w:t>
      </w:r>
    </w:p>
    <w:p>
      <w:pPr>
        <w:spacing w:after="0" w:line="365" w:lineRule="exact"/>
        <w:rPr>
          <w:sz w:val="20"/>
          <w:szCs w:val="20"/>
          <w:color w:val="auto"/>
        </w:rPr>
      </w:pPr>
    </w:p>
    <w:p>
      <w:pPr>
        <w:ind w:left="620" w:right="140"/>
        <w:spacing w:after="0" w:line="291" w:lineRule="auto"/>
        <w:rPr>
          <w:sz w:val="20"/>
          <w:szCs w:val="20"/>
          <w:color w:val="auto"/>
        </w:rPr>
      </w:pPr>
      <w:r>
        <w:rPr>
          <w:rFonts w:ascii="Times New Roman" w:cs="Times New Roman" w:eastAsia="Times New Roman" w:hAnsi="Times New Roman"/>
          <w:sz w:val="16"/>
          <w:szCs w:val="16"/>
          <w:color w:val="auto"/>
        </w:rPr>
        <w:t>It is our policy that employees are treated, and treat each other, with fairness, respect and dignity. Our commitment to our employees is reflected in our ability to attract high-caliber talent, continuously innovate, and provide exceptional service and solutions to our partners and customers.</w:t>
      </w:r>
    </w:p>
    <w:p>
      <w:pPr>
        <w:spacing w:after="0" w:line="142"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As of December 28, 2021, we had a total of 765 employees, which included 579 full-time employees, all of whom are located in the United States. We also engage temporary employees and consultants as needed to support our operations. Collectively, approximately 43% of our workforce is dedicated to engineering, design, or product roles. Our core locations are Alpharetta, GA, Scottsdale, AZ, New York City, NY and San Francisco, CA. None of our employees are represented by a labor union or covered by a collective bargaining agreement. We have not experienced any work stoppages, and we consider our relations with our employees to be good. We believe our positive culture strengthens our company and enables our business success.</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14" w:lineRule="exact"/>
        <w:rPr>
          <w:sz w:val="20"/>
          <w:szCs w:val="20"/>
          <w:color w:val="auto"/>
        </w:rPr>
      </w:pPr>
    </w:p>
    <w:p>
      <w:pPr>
        <w:jc w:val="both"/>
        <w:ind w:left="620" w:right="280"/>
        <w:spacing w:after="0" w:line="273" w:lineRule="auto"/>
        <w:rPr>
          <w:sz w:val="20"/>
          <w:szCs w:val="20"/>
          <w:color w:val="auto"/>
        </w:rPr>
      </w:pPr>
      <w:r>
        <w:rPr>
          <w:rFonts w:ascii="Times New Roman" w:cs="Times New Roman" w:eastAsia="Times New Roman" w:hAnsi="Times New Roman"/>
          <w:sz w:val="16"/>
          <w:szCs w:val="16"/>
          <w:color w:val="auto"/>
        </w:rPr>
        <w:t>We are not currently a party to any legal proceedings that would be expected to have a material adverse effect on our business or financial condition. From time to time, we are subject to litigation incidental to our business, as well as other litigation of a non-material nature in the ordinary course of business.</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COVID-19 Impacts</w:t>
      </w:r>
    </w:p>
    <w:p>
      <w:pPr>
        <w:spacing w:after="0" w:line="114" w:lineRule="exact"/>
        <w:rPr>
          <w:sz w:val="20"/>
          <w:szCs w:val="20"/>
          <w:color w:val="auto"/>
        </w:rPr>
      </w:pPr>
    </w:p>
    <w:p>
      <w:pPr>
        <w:ind w:left="620" w:right="40"/>
        <w:spacing w:after="0" w:line="262" w:lineRule="auto"/>
        <w:rPr>
          <w:sz w:val="20"/>
          <w:szCs w:val="20"/>
          <w:color w:val="auto"/>
        </w:rPr>
      </w:pPr>
      <w:r>
        <w:rPr>
          <w:rFonts w:ascii="Times New Roman" w:cs="Times New Roman" w:eastAsia="Times New Roman" w:hAnsi="Times New Roman"/>
          <w:sz w:val="16"/>
          <w:szCs w:val="16"/>
          <w:color w:val="auto"/>
        </w:rPr>
        <w:t>In March 2020, the World Health Organization declared the COVID-19 outbreak a global pandemic. The COVID-19 pandemic has adversely affected global economic activity and, in 2020, contributed to significant declines and volatility in financial markets. The COVID-19 pandemic had an impact on our business during the year ended December 31, 2020, primarily in that it (i) decreased revenue from our loyalty and travel businesses, and</w:t>
      </w:r>
    </w:p>
    <w:p>
      <w:pPr>
        <w:spacing w:after="0" w:line="1" w:lineRule="exact"/>
        <w:rPr>
          <w:sz w:val="20"/>
          <w:szCs w:val="20"/>
          <w:color w:val="auto"/>
        </w:rPr>
      </w:pPr>
    </w:p>
    <w:p>
      <w:pPr>
        <w:jc w:val="both"/>
        <w:ind w:left="620" w:right="480" w:firstLine="3"/>
        <w:spacing w:after="0" w:line="263" w:lineRule="auto"/>
        <w:tabs>
          <w:tab w:leader="none" w:pos="86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impacted our ability to expand our relationships with existing loyalty partners, and to conclude relationships with new loyalty partners, whose businesses similarly have been adversely affected by the pandemic. During the year ended December 31, 2021, our business operations started to recover from the impacts of the pandemic, and revenue from the loyalty and travel business also started to recover.</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10620"/>
          </w:cols>
          <w:pgMar w:left="320" w:top="452" w:right="959" w:bottom="1440" w:gutter="0" w:footer="0" w:header="0"/>
        </w:sectPr>
      </w:pPr>
    </w:p>
    <w:bookmarkStart w:id="98" w:name="page99"/>
    <w:bookmarkEnd w:id="9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Executive Officers and Directors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sets forth certain information regarding our executive officers and directors:</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169"/>
        </w:trPr>
        <w:tc>
          <w:tcPr>
            <w:tcW w:w="4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120" w:type="dxa"/>
            <w:vAlign w:val="bottom"/>
          </w:tcPr>
          <w:p>
            <w:pPr>
              <w:spacing w:after="0"/>
              <w:rPr>
                <w:sz w:val="14"/>
                <w:szCs w:val="14"/>
                <w:color w:val="auto"/>
              </w:rPr>
            </w:pPr>
          </w:p>
        </w:tc>
        <w:tc>
          <w:tcPr>
            <w:tcW w:w="4600" w:type="dxa"/>
            <w:vAlign w:val="bottom"/>
          </w:tcPr>
          <w:p>
            <w:pPr>
              <w:ind w:left="208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188"/>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Gavin Michael</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Executive Officer, President, Class I Director</w:t>
            </w:r>
          </w:p>
        </w:tc>
      </w:tr>
      <w:tr>
        <w:trPr>
          <w:trHeight w:val="196"/>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Andrew LaBenne</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w:t>
            </w: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9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 D’Annunzio</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c>
          <w:tcPr>
            <w:tcW w:w="4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Counsel and Secretary</w:t>
            </w:r>
          </w:p>
        </w:tc>
      </w:tr>
      <w:tr>
        <w:trPr>
          <w:trHeight w:val="196"/>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David C. Clifton</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Class II Director</w:t>
            </w:r>
          </w:p>
        </w:tc>
      </w:tr>
      <w:tr>
        <w:trPr>
          <w:trHeight w:val="196"/>
        </w:trPr>
        <w:tc>
          <w:tcPr>
            <w:tcW w:w="494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Sean Collins</w:t>
            </w:r>
            <w:r>
              <w:rPr>
                <w:rFonts w:ascii="Times New Roman" w:cs="Times New Roman" w:eastAsia="Times New Roman" w:hAnsi="Times New Roman"/>
                <w:sz w:val="22"/>
                <w:szCs w:val="22"/>
                <w:color w:val="auto"/>
                <w:vertAlign w:val="superscript"/>
              </w:rPr>
              <w:t>(1)(2)(3)</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c>
          <w:tcPr>
            <w:tcW w:w="4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Class III Director</w:t>
            </w:r>
          </w:p>
        </w:tc>
      </w:tr>
      <w:tr>
        <w:trPr>
          <w:trHeight w:val="196"/>
        </w:trPr>
        <w:tc>
          <w:tcPr>
            <w:tcW w:w="494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Kristyn Cook</w:t>
            </w:r>
            <w:r>
              <w:rPr>
                <w:rFonts w:ascii="Times New Roman" w:cs="Times New Roman" w:eastAsia="Times New Roman" w:hAnsi="Times New Roman"/>
                <w:sz w:val="22"/>
                <w:szCs w:val="22"/>
                <w:color w:val="auto"/>
                <w:vertAlign w:val="superscript"/>
              </w:rPr>
              <w:t>(3)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w:t>
            </w: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Class II Director</w:t>
            </w:r>
          </w:p>
        </w:tc>
      </w:tr>
      <w:tr>
        <w:trPr>
          <w:trHeight w:val="196"/>
        </w:trPr>
        <w:tc>
          <w:tcPr>
            <w:tcW w:w="494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Michelle Goldberg</w:t>
            </w:r>
            <w:r>
              <w:rPr>
                <w:rFonts w:ascii="Times New Roman" w:cs="Times New Roman" w:eastAsia="Times New Roman" w:hAnsi="Times New Roman"/>
                <w:sz w:val="22"/>
                <w:szCs w:val="22"/>
                <w:color w:val="auto"/>
                <w:vertAlign w:val="superscript"/>
              </w:rPr>
              <w:t>(1)(3)</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w:t>
            </w:r>
          </w:p>
        </w:tc>
        <w:tc>
          <w:tcPr>
            <w:tcW w:w="4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Class I Director</w:t>
            </w:r>
          </w:p>
        </w:tc>
      </w:tr>
      <w:tr>
        <w:trPr>
          <w:trHeight w:val="196"/>
        </w:trPr>
        <w:tc>
          <w:tcPr>
            <w:tcW w:w="494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Richard Lumb</w:t>
            </w:r>
            <w:r>
              <w:rPr>
                <w:rFonts w:ascii="Times New Roman" w:cs="Times New Roman" w:eastAsia="Times New Roman" w:hAnsi="Times New Roman"/>
                <w:sz w:val="22"/>
                <w:szCs w:val="22"/>
                <w:color w:val="auto"/>
                <w:vertAlign w:val="superscript"/>
              </w:rPr>
              <w:t>(1)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w:t>
            </w: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Class III Director</w:t>
            </w:r>
          </w:p>
        </w:tc>
      </w:tr>
      <w:tr>
        <w:trPr>
          <w:trHeight w:val="196"/>
        </w:trPr>
        <w:tc>
          <w:tcPr>
            <w:tcW w:w="494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Andrew A. Main</w:t>
            </w:r>
            <w:r>
              <w:rPr>
                <w:rFonts w:ascii="Times New Roman" w:cs="Times New Roman" w:eastAsia="Times New Roman" w:hAnsi="Times New Roman"/>
                <w:sz w:val="22"/>
                <w:szCs w:val="22"/>
                <w:color w:val="auto"/>
                <w:vertAlign w:val="superscript"/>
              </w:rPr>
              <w:t>(2)</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w:t>
            </w:r>
          </w:p>
        </w:tc>
        <w:tc>
          <w:tcPr>
            <w:tcW w:w="4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Class III Director</w:t>
            </w:r>
          </w:p>
        </w:tc>
      </w:tr>
      <w:tr>
        <w:trPr>
          <w:trHeight w:val="212"/>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Gordon Watson</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w:t>
            </w: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Class II Director</w:t>
            </w:r>
          </w:p>
        </w:tc>
      </w:tr>
    </w:tbl>
    <w:p>
      <w:pPr>
        <w:spacing w:after="0" w:line="189" w:lineRule="exact"/>
        <w:rPr>
          <w:sz w:val="20"/>
          <w:szCs w:val="20"/>
          <w:color w:val="auto"/>
        </w:rPr>
      </w:pPr>
    </w:p>
    <w:p>
      <w:pPr>
        <w:ind w:left="1020" w:hanging="397"/>
        <w:spacing w:after="0"/>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27"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12"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2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12" w:lineRule="exact"/>
        <w:rPr>
          <w:sz w:val="20"/>
          <w:szCs w:val="20"/>
          <w:color w:val="auto"/>
        </w:rPr>
      </w:pPr>
    </w:p>
    <w:p>
      <w:pPr>
        <w:ind w:left="620" w:right="40"/>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Gavin Michael. </w:t>
      </w:r>
      <w:r>
        <w:rPr>
          <w:rFonts w:ascii="Times New Roman" w:cs="Times New Roman" w:eastAsia="Times New Roman" w:hAnsi="Times New Roman"/>
          <w:sz w:val="16"/>
          <w:szCs w:val="16"/>
          <w:color w:val="auto"/>
        </w:rPr>
        <w:t>Gavin Michael has served as our Chief Executive Officer and a director since the Closing. Dr. Michael has served as our President since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2021. Dr. Michael served in the same role for Opco from January 2021 until the Closing. Prior to joining Opco, from November 2016 until April 2021, Dr. Michael was the Head of Technology for Citi’s Global Consumer Bank, responsible for the long-term strategic direction, planning and management of Citi’s global technology organization, execution of its cloud architecture, data and service strategies, and driving digitization efforts to accelerate speed to market. Before joining Citi, from April 2013 until November 2016, Dr. Michael was Head of Digital for Consumer &amp; Community Banking at Chase, where he was responsible for all aspects of the digital business, including the Chase Mobile App and Chase Online. Dr. Michael was also previously the Chief Technology Innovation Officer at Accenture, the IT director for Lloyds Banking Group’s retail banking business, and Head of Strategy and Architecture at National Australia Bank. He has also held senior technology roles at IBM and served as a Director of Avanade, Inc.</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Dr. Michael earned a Ph.D. in Computer Science from Australian National University and a bachelor’s degree from the University of Western Australia.</w:t>
      </w:r>
    </w:p>
    <w:p>
      <w:pPr>
        <w:spacing w:after="0" w:line="193" w:lineRule="exact"/>
        <w:rPr>
          <w:sz w:val="20"/>
          <w:szCs w:val="20"/>
          <w:color w:val="auto"/>
        </w:rPr>
      </w:pPr>
    </w:p>
    <w:p>
      <w:pPr>
        <w:ind w:left="620" w:right="280"/>
        <w:spacing w:after="0" w:line="291" w:lineRule="auto"/>
        <w:rPr>
          <w:sz w:val="20"/>
          <w:szCs w:val="20"/>
          <w:color w:val="auto"/>
        </w:rPr>
      </w:pPr>
      <w:r>
        <w:rPr>
          <w:rFonts w:ascii="Times New Roman" w:cs="Times New Roman" w:eastAsia="Times New Roman" w:hAnsi="Times New Roman"/>
          <w:sz w:val="16"/>
          <w:szCs w:val="16"/>
          <w:color w:val="auto"/>
        </w:rPr>
        <w:t>We believe Dr. Michael is qualified to serve on our board of directors because of his deep knowledge of our business, and strategy, and his extensive executive leadership and operational experience.</w:t>
      </w:r>
    </w:p>
    <w:p>
      <w:pPr>
        <w:spacing w:after="0" w:line="140" w:lineRule="exact"/>
        <w:rPr>
          <w:sz w:val="20"/>
          <w:szCs w:val="20"/>
          <w:color w:val="auto"/>
        </w:rPr>
      </w:pPr>
    </w:p>
    <w:p>
      <w:pPr>
        <w:ind w:left="620" w:right="20"/>
        <w:spacing w:after="0" w:line="261" w:lineRule="auto"/>
        <w:rPr>
          <w:sz w:val="20"/>
          <w:szCs w:val="20"/>
          <w:color w:val="auto"/>
        </w:rPr>
      </w:pPr>
      <w:r>
        <w:rPr>
          <w:rFonts w:ascii="Times New Roman" w:cs="Times New Roman" w:eastAsia="Times New Roman" w:hAnsi="Times New Roman"/>
          <w:sz w:val="16"/>
          <w:szCs w:val="16"/>
          <w:i w:val="1"/>
          <w:iCs w:val="1"/>
          <w:color w:val="auto"/>
        </w:rPr>
        <w:t>Andrew LaBenne</w:t>
      </w:r>
      <w:r>
        <w:rPr>
          <w:rFonts w:ascii="Times New Roman" w:cs="Times New Roman" w:eastAsia="Times New Roman" w:hAnsi="Times New Roman"/>
          <w:sz w:val="16"/>
          <w:szCs w:val="16"/>
          <w:color w:val="auto"/>
        </w:rPr>
        <w:t>. Andrew LaBenne has served as our Chief Financial Officer since the Closing. Mr. LaBenne has also served in the same role for Opco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since April 2021. Prior to joining Opco, Mr. LaBenne worked for Amalgamated Financial Corp., where served as Chief Financial Officer from April 2015 to April 2021, as a Senior Executive Vice President from April 2017 to April 2021, and as an Executive Vice President from April 2015 until April 2017. Prior to joining Amalgamated Financial Corp., he served as Chief Financial Officer of Business Banking for JPMorgan Chase &amp; Co. from August 2013 until April 2015. From 1996 until July 2013, Mr. LaBenne spent 17 years at Capital One Financial in various positions in operations, marketing and finance, including as Chief Financial Officer of Retail Banking and Chief Financial Officer of Commercial Banking. While at Capital One Financial, he played a key role in growing the institution’s banking franchise through acquisitions and organic growth. He holds a bachelor’s degree in engineering from the University of Michigan and an M.B.A. from the University of Virginia.</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10620"/>
          </w:cols>
          <w:pgMar w:left="320" w:top="453" w:right="959" w:bottom="1440" w:gutter="0" w:footer="0" w:header="0"/>
        </w:sectPr>
      </w:pPr>
    </w:p>
    <w:bookmarkStart w:id="99" w:name="page100"/>
    <w:bookmarkEnd w:id="9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1"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i w:val="1"/>
          <w:iCs w:val="1"/>
          <w:color w:val="auto"/>
        </w:rPr>
        <w:t>Marc D’Annunzio</w:t>
      </w:r>
      <w:r>
        <w:rPr>
          <w:rFonts w:ascii="Times New Roman" w:cs="Times New Roman" w:eastAsia="Times New Roman" w:hAnsi="Times New Roman"/>
          <w:sz w:val="16"/>
          <w:szCs w:val="16"/>
          <w:color w:val="auto"/>
        </w:rPr>
        <w:t>. Marc D’Annunzio has served as our General Counsel and Secretary since the Closing. Prior to this role, Mr. D’Annunzio has also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served as General Counsel and Secretary for Opco since May 2019. Mr. D’Annunzio is responsible for our legal, regulatory, compliance and governance matters. Mr. D’Annunzio joined Opco in May 2019 from Alston &amp; Bird LLP, an international law firm, where he practiced in its Payments group.</w:t>
      </w:r>
    </w:p>
    <w:p>
      <w:pPr>
        <w:spacing w:after="0" w:line="1" w:lineRule="exact"/>
        <w:rPr>
          <w:sz w:val="20"/>
          <w:szCs w:val="20"/>
          <w:color w:val="auto"/>
        </w:rPr>
      </w:pPr>
    </w:p>
    <w:p>
      <w:pPr>
        <w:ind w:left="620" w:right="540"/>
        <w:spacing w:after="0" w:line="261" w:lineRule="auto"/>
        <w:rPr>
          <w:sz w:val="20"/>
          <w:szCs w:val="20"/>
          <w:color w:val="auto"/>
        </w:rPr>
      </w:pPr>
      <w:r>
        <w:rPr>
          <w:rFonts w:ascii="Times New Roman" w:cs="Times New Roman" w:eastAsia="Times New Roman" w:hAnsi="Times New Roman"/>
          <w:sz w:val="16"/>
          <w:szCs w:val="16"/>
          <w:color w:val="auto"/>
        </w:rPr>
        <w:t>Mr. D’Annunzio has 25 years of experience in the payments and loyalty industries, focusing on M&amp;A transactions, strategic alliances, complex commercial relationships (including co-branded and private label card programs, and processing relationships for leading retailers), new product launches, and compliance. Mr. D’Annunzio holds a Juris Doctor and a Bachelor of Arts in Economics and History, each from the University of Michigan.</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Non-Employee Directors</w:t>
      </w:r>
    </w:p>
    <w:p>
      <w:pPr>
        <w:spacing w:after="0" w:line="112"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i w:val="1"/>
          <w:iCs w:val="1"/>
          <w:color w:val="auto"/>
        </w:rPr>
        <w:t>David Clifton</w:t>
      </w:r>
      <w:r>
        <w:rPr>
          <w:rFonts w:ascii="Times New Roman" w:cs="Times New Roman" w:eastAsia="Times New Roman" w:hAnsi="Times New Roman"/>
          <w:sz w:val="16"/>
          <w:szCs w:val="16"/>
          <w:color w:val="auto"/>
        </w:rPr>
        <w:t>. David C. Clifton served as Interim Chief Executive Officer for Opco from April 2020 to January 2021. While serving in this role,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Mr. Clifton was involved in the development of strategy and the assessment of its strategic alternatives, which resulted in the Business Combination. From February 2014 to present, Mr. Clifton also served as Vice President of M&amp;A and Integration at ICE. In this role, Mr. Clifton oversaw the successful completion of numerous strategic transactions, including ICE’s 2013 acquisition of NYSE Euronext, along with other global strategic transactions and initiatives. Mr. Clifton joined ICE in July 2008, serving previously as ICE’s Associate General Counsel, M&amp;A. Mr. Clifton received his Juris Doctor from Mercer University’s Walter F. George School of Law and is a graduate of Davidson College.</w:t>
      </w:r>
    </w:p>
    <w:p>
      <w:pPr>
        <w:spacing w:after="0" w:line="165" w:lineRule="exact"/>
        <w:rPr>
          <w:sz w:val="20"/>
          <w:szCs w:val="20"/>
          <w:color w:val="auto"/>
        </w:rPr>
      </w:pPr>
    </w:p>
    <w:p>
      <w:pPr>
        <w:ind w:left="620" w:right="200"/>
        <w:spacing w:after="0" w:line="291" w:lineRule="auto"/>
        <w:rPr>
          <w:sz w:val="20"/>
          <w:szCs w:val="20"/>
          <w:color w:val="auto"/>
        </w:rPr>
      </w:pPr>
      <w:r>
        <w:rPr>
          <w:rFonts w:ascii="Times New Roman" w:cs="Times New Roman" w:eastAsia="Times New Roman" w:hAnsi="Times New Roman"/>
          <w:sz w:val="16"/>
          <w:szCs w:val="16"/>
          <w:color w:val="auto"/>
        </w:rPr>
        <w:t>We believe that Mr. Clifton’s previous experience both with Opco and at ICE provide him with the strategic and management background to serve on the Board.</w:t>
      </w:r>
    </w:p>
    <w:p>
      <w:pPr>
        <w:spacing w:after="0" w:line="140" w:lineRule="exact"/>
        <w:rPr>
          <w:sz w:val="20"/>
          <w:szCs w:val="20"/>
          <w:color w:val="auto"/>
        </w:rPr>
      </w:pPr>
    </w:p>
    <w:p>
      <w:pPr>
        <w:ind w:left="620" w:right="80"/>
        <w:spacing w:after="0" w:line="259" w:lineRule="auto"/>
        <w:rPr>
          <w:sz w:val="20"/>
          <w:szCs w:val="20"/>
          <w:color w:val="auto"/>
        </w:rPr>
      </w:pPr>
      <w:r>
        <w:rPr>
          <w:rFonts w:ascii="Times New Roman" w:cs="Times New Roman" w:eastAsia="Times New Roman" w:hAnsi="Times New Roman"/>
          <w:sz w:val="16"/>
          <w:szCs w:val="16"/>
          <w:i w:val="1"/>
          <w:iCs w:val="1"/>
          <w:color w:val="auto"/>
        </w:rPr>
        <w:t>Sean Collins</w:t>
      </w:r>
      <w:r>
        <w:rPr>
          <w:rFonts w:ascii="Times New Roman" w:cs="Times New Roman" w:eastAsia="Times New Roman" w:hAnsi="Times New Roman"/>
          <w:sz w:val="16"/>
          <w:szCs w:val="16"/>
          <w:color w:val="auto"/>
        </w:rPr>
        <w:t>. Sean Collins served on the board of managers of Opco since December 2018 until the Closing. Mr. Collins has over twenty years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experience investing, advising, operating and building companies focused on digital transformation. As co-founder and Managing Partner of Goldfinch Partners from December 2018 to present, he focuses on investing across industry verticals, including in enterprise software companies and fintechs. Prior to Goldfinch, Mr. Collins was a Senior Partner at Boston Consulting Group (“BCG”) and co-led principal and strategic platform investments, going on to co-found BCG DV, joining as the first employee and partner. As a member of the executive committee and chair of the investment committee, Mr. Collins helped build this new business unit within BCG, scaling the team to over 700 professionals across seven global offices and generating revenue of over $250 million in 2017. In 2017, he was elected the youngest Senior Partner in the history of BCG. Prior to BCG DV,</w:t>
      </w:r>
    </w:p>
    <w:p>
      <w:pPr>
        <w:ind w:left="620" w:right="120"/>
        <w:spacing w:after="0" w:line="263" w:lineRule="auto"/>
        <w:rPr>
          <w:sz w:val="20"/>
          <w:szCs w:val="20"/>
          <w:color w:val="auto"/>
        </w:rPr>
      </w:pPr>
      <w:r>
        <w:rPr>
          <w:rFonts w:ascii="Times New Roman" w:cs="Times New Roman" w:eastAsia="Times New Roman" w:hAnsi="Times New Roman"/>
          <w:sz w:val="16"/>
          <w:szCs w:val="16"/>
          <w:color w:val="auto"/>
        </w:rPr>
        <w:t>Mr. Collins served as a senior vice president of marketing, e-commerce and strategy at Sports Authority, Inc., and before that was with McKinsey &amp; Company, where he was promoted from junior consultant to associate partner in five years. Mr. Collins holds a BA in Economics and Music (Classical Piano) from Whitman College.</w:t>
      </w:r>
    </w:p>
    <w:p>
      <w:pPr>
        <w:spacing w:after="0" w:line="164" w:lineRule="exact"/>
        <w:rPr>
          <w:sz w:val="20"/>
          <w:szCs w:val="20"/>
          <w:color w:val="auto"/>
        </w:rPr>
      </w:pPr>
    </w:p>
    <w:p>
      <w:pPr>
        <w:ind w:left="620" w:right="240"/>
        <w:spacing w:after="0" w:line="291" w:lineRule="auto"/>
        <w:rPr>
          <w:sz w:val="20"/>
          <w:szCs w:val="20"/>
          <w:color w:val="auto"/>
        </w:rPr>
      </w:pPr>
      <w:r>
        <w:rPr>
          <w:rFonts w:ascii="Times New Roman" w:cs="Times New Roman" w:eastAsia="Times New Roman" w:hAnsi="Times New Roman"/>
          <w:sz w:val="16"/>
          <w:szCs w:val="16"/>
          <w:color w:val="auto"/>
        </w:rPr>
        <w:t>We believe that Mr. Collins’ extensive experience across the financial services industry provide him with the financial knowledge and background to serve as a director on the Board.</w:t>
      </w:r>
    </w:p>
    <w:p>
      <w:pPr>
        <w:spacing w:after="0" w:line="140" w:lineRule="exact"/>
        <w:rPr>
          <w:sz w:val="20"/>
          <w:szCs w:val="20"/>
          <w:color w:val="auto"/>
        </w:rPr>
      </w:pPr>
    </w:p>
    <w:p>
      <w:pPr>
        <w:ind w:left="620" w:right="100"/>
        <w:spacing w:after="0" w:line="263" w:lineRule="auto"/>
        <w:rPr>
          <w:sz w:val="20"/>
          <w:szCs w:val="20"/>
          <w:color w:val="auto"/>
        </w:rPr>
      </w:pPr>
      <w:r>
        <w:rPr>
          <w:rFonts w:ascii="Times New Roman" w:cs="Times New Roman" w:eastAsia="Times New Roman" w:hAnsi="Times New Roman"/>
          <w:sz w:val="16"/>
          <w:szCs w:val="16"/>
          <w:i w:val="1"/>
          <w:iCs w:val="1"/>
          <w:color w:val="auto"/>
        </w:rPr>
        <w:t>Kristyn Cook</w:t>
      </w:r>
      <w:r>
        <w:rPr>
          <w:rFonts w:ascii="Times New Roman" w:cs="Times New Roman" w:eastAsia="Times New Roman" w:hAnsi="Times New Roman"/>
          <w:sz w:val="16"/>
          <w:szCs w:val="16"/>
          <w:color w:val="auto"/>
        </w:rPr>
        <w:t>. Kristyn A. Cook has served as the Senior Vice President of Agency and Marketing at State Farm, an insurance agency since January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2019, where she has executive responsibilities for Corporate Agency and Sales, Marketing, Customer Care, Center/Enterprise Shared Services, and Creative Services functions. Prior to becoming the Senior Vice President of Agency and Marketing, Ms. Cook was an Area Vice President for the Southeastern Market Area at State Farm from July 2015 to January 2018, and prior to that, Ms. Cook was Vice President – Agency/Sales at State Farm from January 2013 to July 2015. Ms. Cook has a B.A. from in Policy Studies from Syracuse University and a master’s degree in Public Administration (MPA) from the Syracuse Maxwell School of Citizenship and Public Affairs.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believe that Ms. Cook’s roles in leadership provide her with the experience needed to serve on the Board.</w:t>
      </w:r>
    </w:p>
    <w:p>
      <w:pPr>
        <w:spacing w:after="0" w:line="1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96</w:t>
      </w:r>
    </w:p>
    <w:p>
      <w:pPr>
        <w:sectPr>
          <w:pgSz w:w="11900" w:h="16838" w:orient="portrait"/>
          <w:cols w:equalWidth="0" w:num="1">
            <w:col w:w="10600"/>
          </w:cols>
          <w:pgMar w:left="320" w:top="452" w:right="979" w:bottom="1440" w:gutter="0" w:footer="0" w:header="0"/>
        </w:sectPr>
      </w:pPr>
    </w:p>
    <w:bookmarkStart w:id="100" w:name="page101"/>
    <w:bookmarkEnd w:id="10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Michelle Goldberg</w:t>
      </w:r>
      <w:r>
        <w:rPr>
          <w:rFonts w:ascii="Times New Roman" w:cs="Times New Roman" w:eastAsia="Times New Roman" w:hAnsi="Times New Roman"/>
          <w:sz w:val="16"/>
          <w:szCs w:val="16"/>
          <w:color w:val="auto"/>
        </w:rPr>
        <w:t>. Michelle J. Goldberg has been a member of our board of directors since the Closing and</w:t>
      </w:r>
    </w:p>
    <w:p>
      <w:pPr>
        <w:spacing w:after="0" w:line="30" w:lineRule="exact"/>
        <w:rPr>
          <w:sz w:val="20"/>
          <w:szCs w:val="20"/>
          <w:color w:val="auto"/>
        </w:rPr>
      </w:pPr>
    </w:p>
    <w:p>
      <w:pPr>
        <w:ind w:left="620" w:right="200"/>
        <w:spacing w:after="0" w:line="258" w:lineRule="auto"/>
        <w:rPr>
          <w:sz w:val="20"/>
          <w:szCs w:val="20"/>
          <w:color w:val="auto"/>
        </w:rPr>
      </w:pPr>
      <w:r>
        <w:rPr>
          <w:rFonts w:ascii="Times New Roman" w:cs="Times New Roman" w:eastAsia="Times New Roman" w:hAnsi="Times New Roman"/>
          <w:sz w:val="16"/>
          <w:szCs w:val="16"/>
          <w:color w:val="auto"/>
        </w:rPr>
        <w:t>has significant technology, investment, retail disruption, finance and digital media expertise. Ms. Goldberg was a partner at Ignition, an early stage enterprise software venture capital firm, from 2000 to 2020 and is now an advisor and limited partner to SoGal Ventures. Ms. Goldberg is a seasoned technology investor with strategic, financial and governance experience and a focus on consumer-facing, digital media and retail opportunities leveraging data analytics and investing in emerging consumer technologies, including Web 3.0. Ms. Goldberg has served as a member of the board of directors for Taubman Centers, Inc., Legg Mason and Plum Creek. Ms. Goldberg has M.A. from Harvard University and a B.A. from Columbia University.</w:t>
      </w:r>
    </w:p>
    <w:p>
      <w:pPr>
        <w:spacing w:after="0" w:line="171" w:lineRule="exact"/>
        <w:rPr>
          <w:sz w:val="20"/>
          <w:szCs w:val="20"/>
          <w:color w:val="auto"/>
        </w:rPr>
      </w:pPr>
    </w:p>
    <w:p>
      <w:pPr>
        <w:ind w:left="620" w:right="160"/>
        <w:spacing w:after="0" w:line="291" w:lineRule="auto"/>
        <w:rPr>
          <w:sz w:val="20"/>
          <w:szCs w:val="20"/>
          <w:color w:val="auto"/>
        </w:rPr>
      </w:pPr>
      <w:r>
        <w:rPr>
          <w:rFonts w:ascii="Times New Roman" w:cs="Times New Roman" w:eastAsia="Times New Roman" w:hAnsi="Times New Roman"/>
          <w:sz w:val="16"/>
          <w:szCs w:val="16"/>
          <w:color w:val="auto"/>
        </w:rPr>
        <w:t>We believe that Ms. Goldberg’s previous public board experience, including her focus on environmental, social and governance (ESG) issues, provide her with the leadership experience and background to serve on our board.</w:t>
      </w:r>
    </w:p>
    <w:p>
      <w:pPr>
        <w:spacing w:after="0" w:line="140" w:lineRule="exact"/>
        <w:rPr>
          <w:sz w:val="20"/>
          <w:szCs w:val="20"/>
          <w:color w:val="auto"/>
        </w:rPr>
      </w:pPr>
    </w:p>
    <w:p>
      <w:pPr>
        <w:ind w:left="620" w:right="60"/>
        <w:spacing w:after="0" w:line="263" w:lineRule="auto"/>
        <w:rPr>
          <w:sz w:val="20"/>
          <w:szCs w:val="20"/>
          <w:color w:val="auto"/>
        </w:rPr>
      </w:pPr>
      <w:r>
        <w:rPr>
          <w:rFonts w:ascii="Times New Roman" w:cs="Times New Roman" w:eastAsia="Times New Roman" w:hAnsi="Times New Roman"/>
          <w:sz w:val="16"/>
          <w:szCs w:val="16"/>
          <w:i w:val="1"/>
          <w:iCs w:val="1"/>
          <w:color w:val="auto"/>
        </w:rPr>
        <w:t>Richard Lumb</w:t>
      </w:r>
      <w:r>
        <w:rPr>
          <w:rFonts w:ascii="Times New Roman" w:cs="Times New Roman" w:eastAsia="Times New Roman" w:hAnsi="Times New Roman"/>
          <w:sz w:val="16"/>
          <w:szCs w:val="16"/>
          <w:color w:val="auto"/>
        </w:rPr>
        <w:t>. Richard A. Lumb has served as an Industry Partner at Motive Partners, a private equity firm specializing in enterprise financial services,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software growth and buy-out investments since December 2019. Prior to joining Motive Partners, Mr. Lumb enjoyed a 35-year tenure at Accenture, from November 1984 until August 2019, where he held the position of Group Chief Executive of Financial Services from December 2010 to August 2019, serving clients in the banking, insurance and capital market sectors. During his time at Accenture, Mr. Lumb played a leading role in multiple technology company acquisitions and minority investments, including the 2011 acquisition of Duck Creek Technologies. Mr. Lumb earned a B.Sc. in Mechanical Engineering and an M.B.A. from the University of Bradford.</w:t>
      </w:r>
    </w:p>
    <w:p>
      <w:pPr>
        <w:spacing w:after="0" w:line="165" w:lineRule="exact"/>
        <w:rPr>
          <w:sz w:val="20"/>
          <w:szCs w:val="20"/>
          <w:color w:val="auto"/>
        </w:rPr>
      </w:pPr>
    </w:p>
    <w:p>
      <w:pPr>
        <w:ind w:left="620" w:right="260"/>
        <w:spacing w:after="0" w:line="291" w:lineRule="auto"/>
        <w:rPr>
          <w:sz w:val="20"/>
          <w:szCs w:val="20"/>
          <w:color w:val="auto"/>
        </w:rPr>
      </w:pPr>
      <w:r>
        <w:rPr>
          <w:rFonts w:ascii="Times New Roman" w:cs="Times New Roman" w:eastAsia="Times New Roman" w:hAnsi="Times New Roman"/>
          <w:sz w:val="16"/>
          <w:szCs w:val="16"/>
          <w:color w:val="auto"/>
        </w:rPr>
        <w:t>We believe that Mr. Lumb’s extensive experience across the financial services industry provide him with the financial knowledge and background to serve on the Board.</w:t>
      </w:r>
    </w:p>
    <w:p>
      <w:pPr>
        <w:spacing w:after="0" w:line="140" w:lineRule="exact"/>
        <w:rPr>
          <w:sz w:val="20"/>
          <w:szCs w:val="20"/>
          <w:color w:val="auto"/>
        </w:rPr>
      </w:pPr>
    </w:p>
    <w:p>
      <w:pPr>
        <w:ind w:left="620" w:right="40"/>
        <w:spacing w:after="0" w:line="265" w:lineRule="auto"/>
        <w:rPr>
          <w:sz w:val="20"/>
          <w:szCs w:val="20"/>
          <w:color w:val="auto"/>
        </w:rPr>
      </w:pPr>
      <w:r>
        <w:rPr>
          <w:rFonts w:ascii="Times New Roman" w:cs="Times New Roman" w:eastAsia="Times New Roman" w:hAnsi="Times New Roman"/>
          <w:sz w:val="16"/>
          <w:szCs w:val="16"/>
          <w:i w:val="1"/>
          <w:iCs w:val="1"/>
          <w:color w:val="auto"/>
        </w:rPr>
        <w:t>Andrew Main</w:t>
      </w:r>
      <w:r>
        <w:rPr>
          <w:rFonts w:ascii="Times New Roman" w:cs="Times New Roman" w:eastAsia="Times New Roman" w:hAnsi="Times New Roman"/>
          <w:sz w:val="16"/>
          <w:szCs w:val="16"/>
          <w:color w:val="auto"/>
        </w:rPr>
        <w:t>. Andrew A. Main has served as the Chief Executive Officer of Ogilvy, an advertising, marketing and public relations agency since July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2020. Prior to joining Ogilvy, Mr. Main was the Global Head of Deloitte Digital, the digital consultancy branch of Deloitte from June 2014 to July 2020 where he oversaw the acquisition of multiple creative agencies to grow the brand. Mr. Main has more than 30 years of consulting and marketing agency experience and has extensive experience working with businesses to modernize and bring new ideas to market quickly. Mr. Main earned a Master of Arts from the University of Edinburgh in Business, Marketing and Geography.</w:t>
      </w:r>
    </w:p>
    <w:p>
      <w:pPr>
        <w:spacing w:after="0" w:line="163" w:lineRule="exact"/>
        <w:rPr>
          <w:sz w:val="20"/>
          <w:szCs w:val="20"/>
          <w:color w:val="auto"/>
        </w:rPr>
      </w:pPr>
    </w:p>
    <w:p>
      <w:pPr>
        <w:ind w:left="620" w:right="80"/>
        <w:spacing w:after="0" w:line="291" w:lineRule="auto"/>
        <w:rPr>
          <w:sz w:val="20"/>
          <w:szCs w:val="20"/>
          <w:color w:val="auto"/>
        </w:rPr>
      </w:pPr>
      <w:r>
        <w:rPr>
          <w:rFonts w:ascii="Times New Roman" w:cs="Times New Roman" w:eastAsia="Times New Roman" w:hAnsi="Times New Roman"/>
          <w:sz w:val="16"/>
          <w:szCs w:val="16"/>
          <w:color w:val="auto"/>
        </w:rPr>
        <w:t>We believe that Mr. Main’s experience helping brands grow and modernize and focus on digital consultancy provide him with the experience needed to serve as a director on the Board.</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Gordon Watson</w:t>
      </w:r>
      <w:r>
        <w:rPr>
          <w:rFonts w:ascii="Times New Roman" w:cs="Times New Roman" w:eastAsia="Times New Roman" w:hAnsi="Times New Roman"/>
          <w:sz w:val="16"/>
          <w:szCs w:val="16"/>
          <w:color w:val="auto"/>
        </w:rPr>
        <w:t>. Gordon Watson served as the Company’s President, Chief Operating Officer and Director from its inception through Closing.</w:t>
      </w:r>
    </w:p>
    <w:p>
      <w:pPr>
        <w:spacing w:after="0" w:line="30" w:lineRule="exact"/>
        <w:rPr>
          <w:sz w:val="20"/>
          <w:szCs w:val="20"/>
          <w:color w:val="auto"/>
        </w:rPr>
      </w:pPr>
    </w:p>
    <w:p>
      <w:pPr>
        <w:ind w:left="620"/>
        <w:spacing w:after="0" w:line="258" w:lineRule="auto"/>
        <w:rPr>
          <w:sz w:val="20"/>
          <w:szCs w:val="20"/>
          <w:color w:val="auto"/>
        </w:rPr>
      </w:pPr>
      <w:r>
        <w:rPr>
          <w:rFonts w:ascii="Times New Roman" w:cs="Times New Roman" w:eastAsia="Times New Roman" w:hAnsi="Times New Roman"/>
          <w:sz w:val="16"/>
          <w:szCs w:val="16"/>
          <w:color w:val="auto"/>
        </w:rPr>
        <w:t>Mr. Watson joined Victory Park in 2014 and is currently a Partner. Mr. Watson is a member of Victory Park’s investment committee and helps lead its Fintech investing team. Mr. Watson is the Investment Manager for VIH Specialty Lending Investments PLC (LSE: VSL), a Victory Park-managed, U.K. publicly-listed investment trust focused on opportunities in the Fintech market. Gordon is the Co-Chief Executive Officer of VPC Impact Acquisition Holdings II, a special purpose acquisition company, and VPC Impact Acquisition Holdings III, Inc., a special purpose acquisition company. Previously, Mr. Watson was a portfolio manager focused on distressed debt at GLG Partners, a London-based 31 billion multi-strategy hedge fund that concentrates on a diverse range of alternative investments. Mr. Watson joined GLG when it purchased Ore Hill Partners, a credit focused hedge fund where he was a partner. Mr. Watson received a B.A. in political science from Colgate University and an MBA from Columbia University.</w:t>
      </w:r>
    </w:p>
    <w:p>
      <w:pPr>
        <w:spacing w:after="0" w:line="169" w:lineRule="exact"/>
        <w:rPr>
          <w:sz w:val="20"/>
          <w:szCs w:val="20"/>
          <w:color w:val="auto"/>
        </w:rPr>
      </w:pPr>
    </w:p>
    <w:p>
      <w:pPr>
        <w:ind w:left="620" w:right="160"/>
        <w:spacing w:after="0" w:line="291" w:lineRule="auto"/>
        <w:rPr>
          <w:sz w:val="20"/>
          <w:szCs w:val="20"/>
          <w:color w:val="auto"/>
        </w:rPr>
      </w:pPr>
      <w:r>
        <w:rPr>
          <w:rFonts w:ascii="Times New Roman" w:cs="Times New Roman" w:eastAsia="Times New Roman" w:hAnsi="Times New Roman"/>
          <w:sz w:val="16"/>
          <w:szCs w:val="16"/>
          <w:color w:val="auto"/>
        </w:rPr>
        <w:t>We believe that Mr. Watson’s leadership experience, as well as his experience in fintech, provide him with the financial knowledge and background to serve as a director on the Board.</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Each of our directors has served as such since the Closing.</w:t>
      </w:r>
    </w:p>
    <w:p>
      <w:pPr>
        <w:spacing w:after="0" w:line="1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97</w:t>
      </w:r>
    </w:p>
    <w:p>
      <w:pPr>
        <w:sectPr>
          <w:pgSz w:w="11900" w:h="16838" w:orient="portrait"/>
          <w:cols w:equalWidth="0" w:num="1">
            <w:col w:w="10600"/>
          </w:cols>
          <w:pgMar w:left="320" w:top="453" w:right="979" w:bottom="1440" w:gutter="0" w:footer="0" w:header="0"/>
        </w:sectPr>
      </w:pPr>
    </w:p>
    <w:bookmarkStart w:id="101" w:name="page102"/>
    <w:bookmarkEnd w:id="10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Family Relationships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There are no family relationships among any of our executive officers or directors.</w:t>
      </w:r>
    </w:p>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114"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color w:val="auto"/>
        </w:rPr>
        <w:t xml:space="preserve">Our Board has adopted corporate governance guidelines that address items such as the qualifications and responsibilities of our directors and director candidates and corporate governance policies and standards applicable. In addition, the Board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are posted on the </w:t>
      </w:r>
      <w:r>
        <w:rPr>
          <w:rFonts w:ascii="Times New Roman" w:cs="Times New Roman" w:eastAsia="Times New Roman" w:hAnsi="Times New Roman"/>
          <w:sz w:val="16"/>
          <w:szCs w:val="16"/>
          <w:i w:val="1"/>
          <w:iCs w:val="1"/>
          <w:color w:val="auto"/>
        </w:rPr>
        <w:t>investors.bakkt.com</w:t>
      </w:r>
      <w:r>
        <w:rPr>
          <w:rFonts w:ascii="Times New Roman" w:cs="Times New Roman" w:eastAsia="Times New Roman" w:hAnsi="Times New Roman"/>
          <w:sz w:val="16"/>
          <w:szCs w:val="16"/>
          <w:color w:val="auto"/>
        </w:rPr>
        <w:t xml:space="preserve"> under the “Governance Documents” portion of our website. We will post amendments to our code of business conduct and ethics or waivers of our code of business conduct and ethics for directors and officers on the same website.</w:t>
      </w: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Board Composition</w:t>
      </w:r>
    </w:p>
    <w:p>
      <w:pPr>
        <w:spacing w:after="0" w:line="114" w:lineRule="exact"/>
        <w:rPr>
          <w:sz w:val="20"/>
          <w:szCs w:val="20"/>
          <w:color w:val="auto"/>
        </w:rPr>
      </w:pPr>
    </w:p>
    <w:p>
      <w:pPr>
        <w:ind w:left="620" w:right="20"/>
        <w:spacing w:after="0" w:line="291" w:lineRule="auto"/>
        <w:rPr>
          <w:sz w:val="20"/>
          <w:szCs w:val="20"/>
          <w:color w:val="auto"/>
        </w:rPr>
      </w:pPr>
      <w:r>
        <w:rPr>
          <w:rFonts w:ascii="Times New Roman" w:cs="Times New Roman" w:eastAsia="Times New Roman" w:hAnsi="Times New Roman"/>
          <w:sz w:val="16"/>
          <w:szCs w:val="16"/>
          <w:color w:val="auto"/>
        </w:rPr>
        <w:t>The Board is divided into three staggered classes of directors. Mr. Collins serves as Chairperson of our board of directors. At each annual meeting of our stockholders, a class of directors will be elected for a three-year term to succeed the same class whose term is then expiring, as follows:</w:t>
      </w:r>
    </w:p>
    <w:p>
      <w:pPr>
        <w:spacing w:after="0" w:line="56" w:lineRule="exact"/>
        <w:rPr>
          <w:sz w:val="20"/>
          <w:szCs w:val="20"/>
          <w:color w:val="auto"/>
        </w:rPr>
      </w:pPr>
    </w:p>
    <w:p>
      <w:pPr>
        <w:ind w:left="1500" w:right="20" w:hanging="387"/>
        <w:spacing w:after="0" w:line="291" w:lineRule="auto"/>
        <w:tabs>
          <w:tab w:leader="none" w:pos="15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 directors are Michelle Goldberg and Gavin Michael, whose terms will expire at the annual meeting of stockholders to be held in 2022;</w:t>
      </w:r>
    </w:p>
    <w:p>
      <w:pPr>
        <w:spacing w:after="0" w:line="56" w:lineRule="exact"/>
        <w:rPr>
          <w:rFonts w:ascii="Times New Roman" w:cs="Times New Roman" w:eastAsia="Times New Roman" w:hAnsi="Times New Roman"/>
          <w:sz w:val="16"/>
          <w:szCs w:val="16"/>
          <w:color w:val="auto"/>
        </w:rPr>
      </w:pPr>
    </w:p>
    <w:p>
      <w:pPr>
        <w:ind w:left="1500" w:right="140" w:hanging="387"/>
        <w:spacing w:after="0" w:line="291" w:lineRule="auto"/>
        <w:tabs>
          <w:tab w:leader="none" w:pos="15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 directors are David Clifton, Kristyn Cook and Gordon Watson, whose terms will expire at the annual meeting of stockholders to be held in 2023; and</w:t>
      </w:r>
    </w:p>
    <w:p>
      <w:pPr>
        <w:spacing w:after="0" w:line="56" w:lineRule="exact"/>
        <w:rPr>
          <w:rFonts w:ascii="Times New Roman" w:cs="Times New Roman" w:eastAsia="Times New Roman" w:hAnsi="Times New Roman"/>
          <w:sz w:val="16"/>
          <w:szCs w:val="16"/>
          <w:color w:val="auto"/>
        </w:rPr>
      </w:pPr>
    </w:p>
    <w:p>
      <w:pPr>
        <w:ind w:left="1500" w:hanging="387"/>
        <w:spacing w:after="0" w:line="291" w:lineRule="auto"/>
        <w:tabs>
          <w:tab w:leader="none" w:pos="15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III directors are Sean Collins, Richard Lumb and Andrew A. Main, whose terms will expire at the annual meeting of stockholders to be held in 2024.</w:t>
      </w:r>
    </w:p>
    <w:p>
      <w:pPr>
        <w:spacing w:after="0" w:line="142" w:lineRule="exact"/>
        <w:rPr>
          <w:sz w:val="20"/>
          <w:szCs w:val="20"/>
          <w:color w:val="auto"/>
        </w:rPr>
      </w:pPr>
    </w:p>
    <w:p>
      <w:pPr>
        <w:ind w:left="620" w:right="40"/>
        <w:spacing w:after="0" w:line="264" w:lineRule="auto"/>
        <w:rPr>
          <w:sz w:val="20"/>
          <w:szCs w:val="20"/>
          <w:color w:val="auto"/>
        </w:rPr>
      </w:pPr>
      <w:r>
        <w:rPr>
          <w:rFonts w:ascii="Times New Roman" w:cs="Times New Roman" w:eastAsia="Times New Roman" w:hAnsi="Times New Roman"/>
          <w:sz w:val="16"/>
          <w:szCs w:val="16"/>
          <w:color w:val="auto"/>
        </w:rPr>
        <w:t>The Certificate of Incorporation and By-Laws provide that the Board must consist of one or more members, and the number of directors may be increased or decreased from time to time by a resolution of the Board. 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total number of directors. This classification of the Board may have the effect of delaying or preventing changes in control of the Company.</w:t>
      </w:r>
    </w:p>
    <w:p>
      <w:pPr>
        <w:spacing w:after="0" w:line="165" w:lineRule="exact"/>
        <w:rPr>
          <w:sz w:val="20"/>
          <w:szCs w:val="20"/>
          <w:color w:val="auto"/>
        </w:rPr>
      </w:pPr>
    </w:p>
    <w:p>
      <w:pPr>
        <w:ind w:left="620" w:right="260"/>
        <w:spacing w:after="0" w:line="291" w:lineRule="auto"/>
        <w:rPr>
          <w:sz w:val="20"/>
          <w:szCs w:val="20"/>
          <w:color w:val="auto"/>
        </w:rPr>
      </w:pPr>
      <w:r>
        <w:rPr>
          <w:rFonts w:ascii="Times New Roman" w:cs="Times New Roman" w:eastAsia="Times New Roman" w:hAnsi="Times New Roman"/>
          <w:sz w:val="16"/>
          <w:szCs w:val="16"/>
          <w:color w:val="auto"/>
        </w:rPr>
        <w:t>Each our officers serves at the discretion of the Board and will hold office until his or her successor is duly appointed and qualified or until his or her earlier resignation or removal.</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14" w:lineRule="exact"/>
        <w:rPr>
          <w:sz w:val="20"/>
          <w:szCs w:val="20"/>
          <w:color w:val="auto"/>
        </w:rPr>
      </w:pPr>
    </w:p>
    <w:p>
      <w:pPr>
        <w:ind w:left="620" w:right="140"/>
        <w:spacing w:after="0" w:line="261" w:lineRule="auto"/>
        <w:rPr>
          <w:sz w:val="20"/>
          <w:szCs w:val="20"/>
          <w:color w:val="auto"/>
        </w:rPr>
      </w:pPr>
      <w:r>
        <w:rPr>
          <w:rFonts w:ascii="Times New Roman" w:cs="Times New Roman" w:eastAsia="Times New Roman" w:hAnsi="Times New Roman"/>
          <w:sz w:val="16"/>
          <w:szCs w:val="16"/>
          <w:color w:val="auto"/>
        </w:rPr>
        <w:t>The Board has undertaken a review of the independence of each director. Based on information provided by each director concerning his or her background, employment, and affiliations, the Board has determined that Sean Collins, Kristyn Cook, Michelle Goldberg, Richard Lumb and Andrew A. Main did not have a relationship that would interfere with the exercise of independent judgment in carrying out the responsibilities of a director and that each of these directors is “independent” as that term is defined under the listing standards of NYSE. In making these determinations, the Board considered the current and prior relationships that each non-employee director has with the Company and all other facts and circumstances the Board deemed relevant in determining their independence, including the beneficial ownership of our capital stock by each non-employee director, and the transactions involving them, if any, described in “</w:t>
      </w:r>
      <w:r>
        <w:rPr>
          <w:rFonts w:ascii="Times New Roman" w:cs="Times New Roman" w:eastAsia="Times New Roman" w:hAnsi="Times New Roman"/>
          <w:sz w:val="16"/>
          <w:szCs w:val="16"/>
          <w:i w:val="1"/>
          <w:iCs w:val="1"/>
          <w:color w:val="auto"/>
        </w:rPr>
        <w:t>Certain Relationships and Related Party Transactions</w:t>
      </w: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Committees of Our Board</w:t>
      </w:r>
    </w:p>
    <w:p>
      <w:pPr>
        <w:spacing w:after="0" w:line="114" w:lineRule="exact"/>
        <w:rPr>
          <w:sz w:val="20"/>
          <w:szCs w:val="20"/>
          <w:color w:val="auto"/>
        </w:rPr>
      </w:pPr>
    </w:p>
    <w:p>
      <w:pPr>
        <w:ind w:left="620" w:right="280"/>
        <w:spacing w:after="0" w:line="273" w:lineRule="auto"/>
        <w:rPr>
          <w:sz w:val="20"/>
          <w:szCs w:val="20"/>
          <w:color w:val="auto"/>
        </w:rPr>
      </w:pPr>
      <w:r>
        <w:rPr>
          <w:rFonts w:ascii="Times New Roman" w:cs="Times New Roman" w:eastAsia="Times New Roman" w:hAnsi="Times New Roman"/>
          <w:sz w:val="16"/>
          <w:szCs w:val="16"/>
          <w:color w:val="auto"/>
        </w:rPr>
        <w:t>The Board has an audit committee, a compensation committee and a nominating and corporate governance committee. The composition and responsibilities of each of the committees of the Board is described below. Members will serve on these committees until their resignation or until as otherwise determined by the Board.</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98</w:t>
      </w:r>
    </w:p>
    <w:p>
      <w:pPr>
        <w:sectPr>
          <w:pgSz w:w="11900" w:h="16838" w:orient="portrait"/>
          <w:cols w:equalWidth="0" w:num="1">
            <w:col w:w="10620"/>
          </w:cols>
          <w:pgMar w:left="320" w:top="453" w:right="959" w:bottom="1440" w:gutter="0" w:footer="0" w:header="0"/>
        </w:sectPr>
      </w:pPr>
    </w:p>
    <w:bookmarkStart w:id="102" w:name="page103"/>
    <w:bookmarkEnd w:id="10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114"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color w:val="auto"/>
        </w:rPr>
        <w:t>The audit committee consists of Richard Lumb, Sean Collins and Michelle Goldberg, with Richard Lumb serving as the chair of the committee. Each of the members of the audit committee satisfies the requirements for independence and financial literacy under the applicable rules and regulations of the SEC and rules of the NYSE. We have not made an initial determination as to whether any member qualifies as an “audit committee financial expert”. However, the members of the audit committee individually and collectively have extensive educational and business financial experience and training and, we believe, collectively hold the requisite expertise to perform the committee’s functions. The audit committee is responsible for, among other things:</w:t>
      </w:r>
    </w:p>
    <w:p>
      <w:pPr>
        <w:spacing w:after="0" w:line="279" w:lineRule="exact"/>
        <w:rPr>
          <w:sz w:val="20"/>
          <w:szCs w:val="20"/>
          <w:color w:val="auto"/>
        </w:rPr>
      </w:pPr>
    </w:p>
    <w:p>
      <w:pPr>
        <w:ind w:left="1500" w:hanging="387"/>
        <w:spacing w:after="0"/>
        <w:tabs>
          <w:tab w:leader="none" w:pos="1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a qualified firm to serve as the independent registered public accounting firm to audit our financial statements;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helping to ensure the independence and performance of the independent registered public accounting firm;</w:t>
      </w:r>
    </w:p>
    <w:p>
      <w:pPr>
        <w:spacing w:after="0" w:line="122" w:lineRule="exact"/>
        <w:rPr>
          <w:rFonts w:ascii="Times New Roman" w:cs="Times New Roman" w:eastAsia="Times New Roman" w:hAnsi="Times New Roman"/>
          <w:sz w:val="16"/>
          <w:szCs w:val="16"/>
          <w:color w:val="auto"/>
        </w:rPr>
      </w:pPr>
    </w:p>
    <w:p>
      <w:pPr>
        <w:ind w:left="1500" w:right="80" w:hanging="387"/>
        <w:spacing w:after="0" w:line="291" w:lineRule="auto"/>
        <w:tabs>
          <w:tab w:leader="none" w:pos="1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the scope and results of the audit with the independent registered public accounting firm and reviewing, with management and the independent registered public accounting firm, our interim and year-end financial statements;</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procedures for employees to submit concerns anonymously about questionable accounting or audit matters;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our policies on and oversees risk assessment and risk management, including enterprise risk management;</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related party transactions;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adequacy and effectiveness of internal control policies and procedures and our disclosure controls and procedures; and</w:t>
      </w:r>
    </w:p>
    <w:p>
      <w:pPr>
        <w:spacing w:after="0" w:line="122" w:lineRule="exact"/>
        <w:rPr>
          <w:rFonts w:ascii="Times New Roman" w:cs="Times New Roman" w:eastAsia="Times New Roman" w:hAnsi="Times New Roman"/>
          <w:sz w:val="16"/>
          <w:szCs w:val="16"/>
          <w:color w:val="auto"/>
        </w:rPr>
      </w:pPr>
    </w:p>
    <w:p>
      <w:pPr>
        <w:ind w:left="1500" w:right="140" w:hanging="387"/>
        <w:spacing w:after="0" w:line="291" w:lineRule="auto"/>
        <w:tabs>
          <w:tab w:leader="none" w:pos="1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or, as required, pre-approving, all audit and all permissible non-audit services, other than de minimis non-audit services, to be performed by the independent registered public accounting firm.</w:t>
      </w:r>
    </w:p>
    <w:p>
      <w:pPr>
        <w:spacing w:after="0" w:line="140" w:lineRule="exact"/>
        <w:rPr>
          <w:sz w:val="20"/>
          <w:szCs w:val="20"/>
          <w:color w:val="auto"/>
        </w:rPr>
      </w:pPr>
    </w:p>
    <w:p>
      <w:pPr>
        <w:ind w:left="620" w:right="120"/>
        <w:spacing w:after="0" w:line="294" w:lineRule="auto"/>
        <w:rPr>
          <w:sz w:val="20"/>
          <w:szCs w:val="20"/>
          <w:color w:val="auto"/>
        </w:rPr>
      </w:pPr>
      <w:r>
        <w:rPr>
          <w:rFonts w:ascii="Times New Roman" w:cs="Times New Roman" w:eastAsia="Times New Roman" w:hAnsi="Times New Roman"/>
          <w:sz w:val="16"/>
          <w:szCs w:val="16"/>
          <w:color w:val="auto"/>
        </w:rPr>
        <w:t xml:space="preserve">The Board has adopted a written charter for the audit committee, which is available on our Investor Relations website available at </w:t>
      </w:r>
      <w:r>
        <w:rPr>
          <w:rFonts w:ascii="Times New Roman" w:cs="Times New Roman" w:eastAsia="Times New Roman" w:hAnsi="Times New Roman"/>
          <w:sz w:val="16"/>
          <w:szCs w:val="16"/>
          <w:i w:val="1"/>
          <w:iCs w:val="1"/>
          <w:color w:val="auto"/>
        </w:rPr>
        <w:t>investors.bakkt.com</w:t>
      </w:r>
      <w:r>
        <w:rPr>
          <w:rFonts w:ascii="Times New Roman" w:cs="Times New Roman" w:eastAsia="Times New Roman" w:hAnsi="Times New Roman"/>
          <w:sz w:val="16"/>
          <w:szCs w:val="16"/>
          <w:color w:val="auto"/>
        </w:rPr>
        <w:t xml:space="preserve"> under “Governance Documents.”</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114"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16"/>
          <w:szCs w:val="16"/>
          <w:color w:val="auto"/>
        </w:rPr>
        <w:t>The compensation committee consists of Sean Collins and Andrew Main, with Sean Collins serving as the chair of the committee. Each of the members of the Board’s compensation committee meet the requirements for independence under the under the applicable rules and regulations of the SEC and rules of the NYSE. The compensation committee is responsible for, among other things:</w:t>
      </w:r>
    </w:p>
    <w:p>
      <w:pPr>
        <w:spacing w:after="0" w:line="71" w:lineRule="exact"/>
        <w:rPr>
          <w:sz w:val="20"/>
          <w:szCs w:val="20"/>
          <w:color w:val="auto"/>
        </w:rPr>
      </w:pPr>
    </w:p>
    <w:p>
      <w:pPr>
        <w:ind w:left="1500" w:hanging="387"/>
        <w:spacing w:after="0"/>
        <w:tabs>
          <w:tab w:leader="none" w:pos="15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approving and determining the compensation of our officers and key employees;</w:t>
      </w:r>
    </w:p>
    <w:p>
      <w:pPr>
        <w:spacing w:after="0" w:line="122" w:lineRule="exact"/>
        <w:rPr>
          <w:rFonts w:ascii="Times New Roman" w:cs="Times New Roman" w:eastAsia="Times New Roman" w:hAnsi="Times New Roman"/>
          <w:sz w:val="16"/>
          <w:szCs w:val="16"/>
          <w:color w:val="auto"/>
        </w:rPr>
      </w:pPr>
    </w:p>
    <w:p>
      <w:pPr>
        <w:ind w:left="1500" w:right="220" w:hanging="387"/>
        <w:spacing w:after="0" w:line="291" w:lineRule="auto"/>
        <w:tabs>
          <w:tab w:leader="none" w:pos="15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approving and determining compensation and benefits, including equity awards, to directors for service on the Board or any committee thereof;</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administering our equity compensation plans;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approving and making recommendations to the Board regarding incentive compensation and equity compensation plans;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reviewing general policies relating to compensation and benefits of our employees.</w:t>
      </w:r>
    </w:p>
    <w:p>
      <w:pPr>
        <w:spacing w:after="0" w:line="208" w:lineRule="exact"/>
        <w:rPr>
          <w:sz w:val="20"/>
          <w:szCs w:val="20"/>
          <w:color w:val="auto"/>
        </w:rPr>
      </w:pPr>
    </w:p>
    <w:p>
      <w:pPr>
        <w:ind w:left="620" w:right="2860"/>
        <w:spacing w:after="0" w:line="291" w:lineRule="auto"/>
        <w:rPr>
          <w:sz w:val="20"/>
          <w:szCs w:val="20"/>
          <w:color w:val="auto"/>
        </w:rPr>
      </w:pPr>
      <w:r>
        <w:rPr>
          <w:rFonts w:ascii="Times New Roman" w:cs="Times New Roman" w:eastAsia="Times New Roman" w:hAnsi="Times New Roman"/>
          <w:sz w:val="16"/>
          <w:szCs w:val="16"/>
          <w:color w:val="auto"/>
        </w:rPr>
        <w:t xml:space="preserve">The Board has adopted a written charter for the compensation committee, which is available on our Investor Relations website available at </w:t>
      </w:r>
      <w:r>
        <w:rPr>
          <w:rFonts w:ascii="Times New Roman" w:cs="Times New Roman" w:eastAsia="Times New Roman" w:hAnsi="Times New Roman"/>
          <w:sz w:val="16"/>
          <w:szCs w:val="16"/>
          <w:i w:val="1"/>
          <w:iCs w:val="1"/>
          <w:color w:val="auto"/>
        </w:rPr>
        <w:t>investors.bakkt.com</w:t>
      </w:r>
      <w:r>
        <w:rPr>
          <w:rFonts w:ascii="Times New Roman" w:cs="Times New Roman" w:eastAsia="Times New Roman" w:hAnsi="Times New Roman"/>
          <w:sz w:val="16"/>
          <w:szCs w:val="16"/>
          <w:color w:val="auto"/>
        </w:rPr>
        <w:t xml:space="preserve"> under “Governance Documents.”</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99</w:t>
      </w:r>
    </w:p>
    <w:p>
      <w:pPr>
        <w:sectPr>
          <w:pgSz w:w="11900" w:h="16838" w:orient="portrait"/>
          <w:cols w:equalWidth="0" w:num="1">
            <w:col w:w="10560"/>
          </w:cols>
          <w:pgMar w:left="320" w:top="453" w:right="1019" w:bottom="1440" w:gutter="0" w:footer="0" w:header="0"/>
        </w:sectPr>
      </w:pPr>
    </w:p>
    <w:bookmarkStart w:id="103" w:name="page104"/>
    <w:bookmarkEnd w:id="10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Nominating and Corporate Governance Committee</w:t>
      </w:r>
    </w:p>
    <w:p>
      <w:pPr>
        <w:spacing w:after="0" w:line="114"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The nominating and corporate governance committee consists of Michelle Goldberg, Sean Collins and Kristyn Cook, with Michelle Goldberg serving as the chair of the committee. Each of the members of the nominating and corporate governance committee meet the requirements for independence under the applicable rules and regulations of the SEC and rules of the NYSE. The nominating and corporate governance committee is responsible for, among other things:</w:t>
      </w:r>
    </w:p>
    <w:p>
      <w:pPr>
        <w:spacing w:after="0" w:line="76" w:lineRule="exact"/>
        <w:rPr>
          <w:sz w:val="20"/>
          <w:szCs w:val="20"/>
          <w:color w:val="auto"/>
        </w:rPr>
      </w:pPr>
    </w:p>
    <w:p>
      <w:pPr>
        <w:ind w:left="1500" w:right="440" w:hanging="387"/>
        <w:spacing w:after="0" w:line="291" w:lineRule="auto"/>
        <w:tabs>
          <w:tab w:leader="none" w:pos="15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evaluating and selecting, or making recommendations to the Board regarding, nominees for election to the Board and its committees;</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performance of the Board and of individual directors;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considering, and making recommendations to the Board regarding, the composition of the Board and its committees;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developments in corporate governance practices;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adequacy of the corporate governance practices and reporting;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making recommendations to the Board regarding, corporate governance guidelines and matters.</w:t>
      </w:r>
    </w:p>
    <w:p>
      <w:pPr>
        <w:spacing w:after="0" w:line="208" w:lineRule="exact"/>
        <w:rPr>
          <w:sz w:val="20"/>
          <w:szCs w:val="20"/>
          <w:color w:val="auto"/>
        </w:rPr>
      </w:pPr>
    </w:p>
    <w:p>
      <w:pPr>
        <w:ind w:left="620" w:right="460"/>
        <w:spacing w:after="0" w:line="291" w:lineRule="auto"/>
        <w:rPr>
          <w:sz w:val="20"/>
          <w:szCs w:val="20"/>
          <w:color w:val="auto"/>
        </w:rPr>
      </w:pPr>
      <w:r>
        <w:rPr>
          <w:rFonts w:ascii="Times New Roman" w:cs="Times New Roman" w:eastAsia="Times New Roman" w:hAnsi="Times New Roman"/>
          <w:sz w:val="16"/>
          <w:szCs w:val="16"/>
          <w:color w:val="auto"/>
        </w:rPr>
        <w:t xml:space="preserve">The Board has adopted a written charter for the nominating and corporate governance committee, which is available on the Company’s website at </w:t>
      </w:r>
      <w:r>
        <w:rPr>
          <w:rFonts w:ascii="Times New Roman" w:cs="Times New Roman" w:eastAsia="Times New Roman" w:hAnsi="Times New Roman"/>
          <w:sz w:val="16"/>
          <w:szCs w:val="16"/>
          <w:i w:val="1"/>
          <w:iCs w:val="1"/>
          <w:color w:val="auto"/>
        </w:rPr>
        <w:t xml:space="preserve">investors.bakkt.com </w:t>
      </w:r>
      <w:r>
        <w:rPr>
          <w:rFonts w:ascii="Times New Roman" w:cs="Times New Roman" w:eastAsia="Times New Roman" w:hAnsi="Times New Roman"/>
          <w:sz w:val="16"/>
          <w:szCs w:val="16"/>
          <w:color w:val="auto"/>
        </w:rPr>
        <w:t>under “Governance Documents.”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14" w:lineRule="exact"/>
        <w:rPr>
          <w:sz w:val="20"/>
          <w:szCs w:val="20"/>
          <w:color w:val="auto"/>
        </w:rPr>
      </w:pPr>
    </w:p>
    <w:p>
      <w:pPr>
        <w:ind w:left="620" w:right="140"/>
        <w:spacing w:after="0" w:line="273" w:lineRule="auto"/>
        <w:rPr>
          <w:sz w:val="20"/>
          <w:szCs w:val="20"/>
          <w:color w:val="auto"/>
        </w:rPr>
      </w:pPr>
      <w:r>
        <w:rPr>
          <w:rFonts w:ascii="Times New Roman" w:cs="Times New Roman" w:eastAsia="Times New Roman" w:hAnsi="Times New Roman"/>
          <w:sz w:val="16"/>
          <w:szCs w:val="16"/>
          <w:color w:val="auto"/>
        </w:rPr>
        <w:t>None of our officers currently serves, and in the past year has served, (a) as a member of the compensation committee or the board of directors of another entity, one of whose officers served on our compensation committee, or (b) as a member of the compensation committee of another entity, one of whose officers served on the Board.</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100</w:t>
      </w:r>
    </w:p>
    <w:p>
      <w:pPr>
        <w:sectPr>
          <w:pgSz w:w="11900" w:h="16838" w:orient="portrait"/>
          <w:cols w:equalWidth="0" w:num="1">
            <w:col w:w="10600"/>
          </w:cols>
          <w:pgMar w:left="320" w:top="453" w:right="979" w:bottom="1440" w:gutter="0" w:footer="0" w:header="0"/>
        </w:sectPr>
      </w:pPr>
    </w:p>
    <w:bookmarkStart w:id="104" w:name="page105"/>
    <w:bookmarkEnd w:id="10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12" w:lineRule="exact"/>
        <w:rPr>
          <w:sz w:val="20"/>
          <w:szCs w:val="20"/>
          <w:color w:val="auto"/>
        </w:rPr>
      </w:pPr>
    </w:p>
    <w:p>
      <w:pPr>
        <w:ind w:left="620" w:right="800"/>
        <w:spacing w:after="0" w:line="291" w:lineRule="auto"/>
        <w:rPr>
          <w:sz w:val="20"/>
          <w:szCs w:val="20"/>
          <w:color w:val="auto"/>
        </w:rPr>
      </w:pPr>
      <w:r>
        <w:rPr>
          <w:rFonts w:ascii="Times New Roman" w:cs="Times New Roman" w:eastAsia="Times New Roman" w:hAnsi="Times New Roman"/>
          <w:sz w:val="16"/>
          <w:szCs w:val="16"/>
          <w:color w:val="auto"/>
        </w:rPr>
        <w:t>Our named executive officers for the year ended December 31, 2021, consisting of our principal executive officer, our two other most highly compensated persons serving as executive officers and our former interim principal executive officer were:</w:t>
      </w:r>
    </w:p>
    <w:p>
      <w:pPr>
        <w:spacing w:after="0" w:line="56" w:lineRule="exact"/>
        <w:rPr>
          <w:sz w:val="20"/>
          <w:szCs w:val="20"/>
          <w:color w:val="auto"/>
        </w:rPr>
      </w:pPr>
    </w:p>
    <w:p>
      <w:pPr>
        <w:ind w:left="1500" w:hanging="387"/>
        <w:spacing w:after="0"/>
        <w:tabs>
          <w:tab w:leader="none" w:pos="15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Gavin Michael, Chief Executive Officer and President;</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Andrew LaBenne, Chief Financial Officer;</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Marc D’Annunzio, General Counsel and Secretary;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Clifton, Former Interim Chief Executive Officer.</w:t>
      </w:r>
    </w:p>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14" w:lineRule="exact"/>
        <w:rPr>
          <w:sz w:val="20"/>
          <w:szCs w:val="20"/>
          <w:color w:val="auto"/>
        </w:rPr>
      </w:pPr>
    </w:p>
    <w:p>
      <w:pPr>
        <w:ind w:left="620"/>
        <w:spacing w:after="0" w:line="291" w:lineRule="auto"/>
        <w:rPr>
          <w:sz w:val="20"/>
          <w:szCs w:val="20"/>
          <w:color w:val="auto"/>
        </w:rPr>
      </w:pPr>
      <w:r>
        <w:rPr>
          <w:rFonts w:ascii="Times New Roman" w:cs="Times New Roman" w:eastAsia="Times New Roman" w:hAnsi="Times New Roman"/>
          <w:sz w:val="16"/>
          <w:szCs w:val="16"/>
          <w:color w:val="auto"/>
        </w:rPr>
        <w:t>The following table shows the compensation earned by our named executive officers for the fiscal year ended December 31, 2021 and prior years, where applicable, as determined under the SEC rules.</w:t>
      </w:r>
    </w:p>
    <w:p>
      <w:pPr>
        <w:spacing w:after="0" w:line="146"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Salary</w:t>
            </w: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Stock Awards</w:t>
            </w:r>
          </w:p>
        </w:tc>
        <w:tc>
          <w:tcPr>
            <w:tcW w:w="1180" w:type="dxa"/>
            <w:vAlign w:val="bottom"/>
            <w:gridSpan w:val="2"/>
          </w:tcPr>
          <w:p>
            <w:pPr>
              <w:jc w:val="center"/>
              <w:ind w:right="322"/>
              <w:spacing w:after="0" w:line="135"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1020" w:type="dxa"/>
            <w:vAlign w:val="bottom"/>
            <w:gridSpan w:val="2"/>
            <w:vMerge w:val="continue"/>
          </w:tcPr>
          <w:p>
            <w:pPr>
              <w:spacing w:after="0"/>
              <w:rPr>
                <w:sz w:val="11"/>
                <w:szCs w:val="11"/>
                <w:color w:val="auto"/>
              </w:rPr>
            </w:pP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20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8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80" w:type="dxa"/>
            <w:vAlign w:val="bottom"/>
            <w:gridSpan w:val="2"/>
          </w:tcPr>
          <w:p>
            <w:pPr>
              <w:jc w:val="center"/>
              <w:ind w:right="322"/>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0" w:type="dxa"/>
            <w:vAlign w:val="bottom"/>
          </w:tcPr>
          <w:p>
            <w:pPr>
              <w:jc w:val="center"/>
              <w:ind w:right="62"/>
              <w:spacing w:after="0" w:line="145"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4"/>
                <w:szCs w:val="14"/>
                <w:color w:val="auto"/>
              </w:rPr>
            </w:pPr>
          </w:p>
        </w:tc>
        <w:tc>
          <w:tcPr>
            <w:tcW w:w="780" w:type="dxa"/>
            <w:vAlign w:val="bottom"/>
          </w:tcPr>
          <w:p>
            <w:pPr>
              <w:jc w:val="center"/>
              <w:ind w:right="162"/>
              <w:spacing w:after="0" w:line="145"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9"/>
                <w:szCs w:val="9"/>
                <w:b w:val="1"/>
                <w:bCs w:val="1"/>
                <w:color w:val="auto"/>
              </w:rPr>
              <w:t>(2)</w:t>
            </w:r>
          </w:p>
        </w:tc>
        <w:tc>
          <w:tcPr>
            <w:tcW w:w="240" w:type="dxa"/>
            <w:vAlign w:val="bottom"/>
          </w:tcPr>
          <w:p>
            <w:pPr>
              <w:spacing w:after="0"/>
              <w:rPr>
                <w:sz w:val="14"/>
                <w:szCs w:val="14"/>
                <w:color w:val="auto"/>
              </w:rPr>
            </w:pPr>
          </w:p>
        </w:tc>
        <w:tc>
          <w:tcPr>
            <w:tcW w:w="8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4"/>
                <w:szCs w:val="14"/>
                <w:color w:val="auto"/>
              </w:rPr>
            </w:pPr>
          </w:p>
        </w:tc>
        <w:tc>
          <w:tcPr>
            <w:tcW w:w="78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9"/>
                <w:szCs w:val="9"/>
                <w:b w:val="1"/>
                <w:bCs w:val="1"/>
                <w:color w:val="auto"/>
              </w:rPr>
              <w:t>(7)</w:t>
            </w:r>
          </w:p>
        </w:tc>
        <w:tc>
          <w:tcPr>
            <w:tcW w:w="240" w:type="dxa"/>
            <w:vAlign w:val="bottom"/>
          </w:tcPr>
          <w:p>
            <w:pPr>
              <w:spacing w:after="0"/>
              <w:rPr>
                <w:sz w:val="14"/>
                <w:szCs w:val="14"/>
                <w:color w:val="auto"/>
              </w:rPr>
            </w:pPr>
          </w:p>
        </w:tc>
        <w:tc>
          <w:tcPr>
            <w:tcW w:w="720" w:type="dxa"/>
            <w:vAlign w:val="bottom"/>
          </w:tcPr>
          <w:p>
            <w:pPr>
              <w:jc w:val="right"/>
              <w:ind w:right="202"/>
              <w:spacing w:after="0" w:line="145"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0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Gavin Michael</w:t>
            </w:r>
            <w:r>
              <w:rPr>
                <w:rFonts w:ascii="Times New Roman" w:cs="Times New Roman" w:eastAsia="Times New Roman" w:hAnsi="Times New Roman"/>
                <w:sz w:val="20"/>
                <w:szCs w:val="20"/>
                <w:color w:val="auto"/>
                <w:vertAlign w:val="superscript"/>
              </w:rPr>
              <w:t>(3)</w:t>
            </w:r>
          </w:p>
        </w:tc>
        <w:tc>
          <w:tcPr>
            <w:tcW w:w="27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ind w:left="60"/>
              <w:spacing w:after="0" w:line="181" w:lineRule="exact"/>
              <w:rPr>
                <w:sz w:val="20"/>
                <w:szCs w:val="20"/>
                <w:color w:val="auto"/>
              </w:rPr>
            </w:pPr>
            <w:r>
              <w:rPr>
                <w:rFonts w:ascii="Times New Roman" w:cs="Times New Roman" w:eastAsia="Times New Roman" w:hAnsi="Times New Roman"/>
                <w:sz w:val="16"/>
                <w:szCs w:val="16"/>
                <w:color w:val="auto"/>
                <w:w w:val="93"/>
              </w:rPr>
              <w:t>2021</w:t>
            </w: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471,153</w:t>
            </w: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6,370,920</w:t>
            </w: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1,042,000</w:t>
            </w:r>
          </w:p>
        </w:tc>
        <w:tc>
          <w:tcPr>
            <w:tcW w:w="380" w:type="dxa"/>
            <w:vAlign w:val="bottom"/>
            <w:tcBorders>
              <w:top w:val="single" w:sz="8" w:color="CCEEFF"/>
            </w:tcBorders>
            <w:shd w:val="clear" w:color="auto" w:fill="CCEEFF"/>
          </w:tcPr>
          <w:p>
            <w:pPr>
              <w:jc w:val="right"/>
              <w:ind w:right="182"/>
              <w:spacing w:after="0" w:line="129" w:lineRule="exact"/>
              <w:rPr>
                <w:sz w:val="20"/>
                <w:szCs w:val="20"/>
                <w:color w:val="auto"/>
              </w:rPr>
            </w:pPr>
            <w:r>
              <w:rPr>
                <w:rFonts w:ascii="Times New Roman" w:cs="Times New Roman" w:eastAsia="Times New Roman" w:hAnsi="Times New Roman"/>
                <w:sz w:val="12"/>
                <w:szCs w:val="12"/>
                <w:color w:val="auto"/>
                <w:w w:val="85"/>
              </w:rPr>
              <w:t>(8)</w:t>
            </w:r>
          </w:p>
        </w:tc>
        <w:tc>
          <w:tcPr>
            <w:tcW w:w="780" w:type="dxa"/>
            <w:vAlign w:val="bottom"/>
            <w:tcBorders>
              <w:top w:val="single" w:sz="8" w:color="auto"/>
            </w:tcBorders>
            <w:shd w:val="clear" w:color="auto" w:fill="CCEEFF"/>
          </w:tcPr>
          <w:p>
            <w:pPr>
              <w:ind w:left="540"/>
              <w:spacing w:after="0" w:line="181" w:lineRule="exact"/>
              <w:rPr>
                <w:sz w:val="20"/>
                <w:szCs w:val="20"/>
                <w:color w:val="auto"/>
              </w:rPr>
            </w:pPr>
            <w:r>
              <w:rPr>
                <w:rFonts w:ascii="Times New Roman" w:cs="Times New Roman" w:eastAsia="Times New Roman" w:hAnsi="Times New Roman"/>
                <w:sz w:val="16"/>
                <w:szCs w:val="16"/>
                <w:color w:val="auto"/>
                <w:w w:val="91"/>
              </w:rPr>
              <w:t>447</w:t>
            </w: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7,884,520</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Chief Executive Officer and President</w:t>
            </w:r>
          </w:p>
        </w:tc>
        <w:tc>
          <w:tcPr>
            <w:tcW w:w="8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2020</w:t>
            </w: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8"/>
        </w:trPr>
        <w:tc>
          <w:tcPr>
            <w:tcW w:w="4360" w:type="dxa"/>
            <w:vAlign w:val="bottom"/>
            <w:gridSpan w:val="2"/>
          </w:tcPr>
          <w:p>
            <w:pPr>
              <w:spacing w:after="0" w:line="178" w:lineRule="exact"/>
              <w:rPr>
                <w:sz w:val="20"/>
                <w:szCs w:val="20"/>
                <w:color w:val="auto"/>
              </w:rPr>
            </w:pPr>
            <w:r>
              <w:rPr>
                <w:rFonts w:ascii="Times New Roman" w:cs="Times New Roman" w:eastAsia="Times New Roman" w:hAnsi="Times New Roman"/>
                <w:sz w:val="14"/>
                <w:szCs w:val="14"/>
                <w:color w:val="auto"/>
              </w:rPr>
              <w:t>Andrew LaBenne</w:t>
            </w:r>
            <w:r>
              <w:rPr>
                <w:rFonts w:ascii="Times New Roman" w:cs="Times New Roman" w:eastAsia="Times New Roman" w:hAnsi="Times New Roman"/>
                <w:sz w:val="20"/>
                <w:szCs w:val="20"/>
                <w:color w:val="auto"/>
                <w:vertAlign w:val="superscript"/>
              </w:rPr>
              <w:t>(4)</w:t>
            </w:r>
          </w:p>
        </w:tc>
        <w:tc>
          <w:tcPr>
            <w:tcW w:w="820" w:type="dxa"/>
            <w:vAlign w:val="bottom"/>
            <w:gridSpan w:val="3"/>
          </w:tcPr>
          <w:p>
            <w:pPr>
              <w:ind w:left="260"/>
              <w:spacing w:after="0" w:line="178" w:lineRule="exact"/>
              <w:rPr>
                <w:sz w:val="20"/>
                <w:szCs w:val="20"/>
                <w:color w:val="auto"/>
              </w:rPr>
            </w:pPr>
            <w:r>
              <w:rPr>
                <w:rFonts w:ascii="Times New Roman" w:cs="Times New Roman" w:eastAsia="Times New Roman" w:hAnsi="Times New Roman"/>
                <w:sz w:val="16"/>
                <w:szCs w:val="16"/>
                <w:color w:val="auto"/>
              </w:rPr>
              <w:t>2021</w:t>
            </w:r>
          </w:p>
        </w:tc>
        <w:tc>
          <w:tcPr>
            <w:tcW w:w="840" w:type="dxa"/>
            <w:vAlign w:val="bottom"/>
            <w:gridSpan w:val="2"/>
          </w:tcPr>
          <w:p>
            <w:pPr>
              <w:jc w:val="right"/>
              <w:ind w:right="240"/>
              <w:spacing w:after="0" w:line="178" w:lineRule="exact"/>
              <w:rPr>
                <w:sz w:val="20"/>
                <w:szCs w:val="20"/>
                <w:color w:val="auto"/>
              </w:rPr>
            </w:pPr>
            <w:r>
              <w:rPr>
                <w:rFonts w:ascii="Times New Roman" w:cs="Times New Roman" w:eastAsia="Times New Roman" w:hAnsi="Times New Roman"/>
                <w:sz w:val="16"/>
                <w:szCs w:val="16"/>
                <w:color w:val="auto"/>
              </w:rPr>
              <w:t>260,000</w:t>
            </w:r>
          </w:p>
        </w:tc>
        <w:tc>
          <w:tcPr>
            <w:tcW w:w="1020" w:type="dxa"/>
            <w:vAlign w:val="bottom"/>
            <w:gridSpan w:val="2"/>
          </w:tcPr>
          <w:p>
            <w:pPr>
              <w:jc w:val="right"/>
              <w:ind w:right="240"/>
              <w:spacing w:after="0" w:line="178" w:lineRule="exact"/>
              <w:rPr>
                <w:sz w:val="20"/>
                <w:szCs w:val="20"/>
                <w:color w:val="auto"/>
              </w:rPr>
            </w:pPr>
            <w:r>
              <w:rPr>
                <w:rFonts w:ascii="Times New Roman" w:cs="Times New Roman" w:eastAsia="Times New Roman" w:hAnsi="Times New Roman"/>
                <w:sz w:val="16"/>
                <w:szCs w:val="16"/>
                <w:color w:val="auto"/>
              </w:rPr>
              <w:t>612,003</w:t>
            </w: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400,000</w:t>
            </w:r>
          </w:p>
        </w:tc>
        <w:tc>
          <w:tcPr>
            <w:tcW w:w="380" w:type="dxa"/>
            <w:vAlign w:val="bottom"/>
          </w:tcPr>
          <w:p>
            <w:pPr>
              <w:spacing w:after="0"/>
              <w:rPr>
                <w:sz w:val="15"/>
                <w:szCs w:val="15"/>
                <w:color w:val="auto"/>
              </w:rPr>
            </w:pPr>
          </w:p>
        </w:tc>
        <w:tc>
          <w:tcPr>
            <w:tcW w:w="1020" w:type="dxa"/>
            <w:vAlign w:val="bottom"/>
            <w:gridSpan w:val="2"/>
          </w:tcPr>
          <w:p>
            <w:pPr>
              <w:jc w:val="right"/>
              <w:ind w:right="240"/>
              <w:spacing w:after="0" w:line="178" w:lineRule="exact"/>
              <w:rPr>
                <w:sz w:val="20"/>
                <w:szCs w:val="20"/>
                <w:color w:val="auto"/>
              </w:rPr>
            </w:pPr>
            <w:r>
              <w:rPr>
                <w:rFonts w:ascii="Times New Roman" w:cs="Times New Roman" w:eastAsia="Times New Roman" w:hAnsi="Times New Roman"/>
                <w:sz w:val="16"/>
                <w:szCs w:val="16"/>
                <w:color w:val="auto"/>
              </w:rPr>
              <w:t>7,883</w:t>
            </w:r>
          </w:p>
        </w:tc>
        <w:tc>
          <w:tcPr>
            <w:tcW w:w="7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1,279,886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82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2020</w:t>
            </w: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436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Marc D’Annunzio</w:t>
            </w:r>
            <w:r>
              <w:rPr>
                <w:rFonts w:ascii="Times New Roman" w:cs="Times New Roman" w:eastAsia="Times New Roman" w:hAnsi="Times New Roman"/>
                <w:sz w:val="22"/>
                <w:szCs w:val="22"/>
                <w:color w:val="auto"/>
                <w:vertAlign w:val="superscript"/>
              </w:rPr>
              <w:t>(5)</w:t>
            </w:r>
          </w:p>
        </w:tc>
        <w:tc>
          <w:tcPr>
            <w:tcW w:w="8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2021</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402,590</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11,469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814,059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General Counsel and Secretary</w:t>
            </w:r>
          </w:p>
        </w:tc>
        <w:tc>
          <w:tcPr>
            <w:tcW w:w="8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2020</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425,000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973,750</w:t>
            </w:r>
          </w:p>
        </w:tc>
        <w:tc>
          <w:tcPr>
            <w:tcW w:w="1180" w:type="dxa"/>
            <w:vAlign w:val="bottom"/>
            <w:gridSpan w:val="2"/>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17,100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1,415,850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360" w:type="dxa"/>
            <w:vAlign w:val="bottom"/>
            <w:gridSpan w:val="2"/>
          </w:tcPr>
          <w:p>
            <w:pPr>
              <w:spacing w:after="0" w:line="178" w:lineRule="exact"/>
              <w:rPr>
                <w:sz w:val="20"/>
                <w:szCs w:val="20"/>
                <w:color w:val="auto"/>
              </w:rPr>
            </w:pPr>
            <w:r>
              <w:rPr>
                <w:rFonts w:ascii="Times New Roman" w:cs="Times New Roman" w:eastAsia="Times New Roman" w:hAnsi="Times New Roman"/>
                <w:sz w:val="14"/>
                <w:szCs w:val="14"/>
                <w:color w:val="auto"/>
              </w:rPr>
              <w:t>David Clifton</w:t>
            </w:r>
            <w:r>
              <w:rPr>
                <w:rFonts w:ascii="Times New Roman" w:cs="Times New Roman" w:eastAsia="Times New Roman" w:hAnsi="Times New Roman"/>
                <w:sz w:val="20"/>
                <w:szCs w:val="20"/>
                <w:color w:val="auto"/>
                <w:vertAlign w:val="superscript"/>
              </w:rPr>
              <w:t>(6)</w:t>
            </w:r>
          </w:p>
        </w:tc>
        <w:tc>
          <w:tcPr>
            <w:tcW w:w="820" w:type="dxa"/>
            <w:vAlign w:val="bottom"/>
            <w:gridSpan w:val="3"/>
          </w:tcPr>
          <w:p>
            <w:pPr>
              <w:ind w:left="260"/>
              <w:spacing w:after="0" w:line="178" w:lineRule="exact"/>
              <w:rPr>
                <w:sz w:val="20"/>
                <w:szCs w:val="20"/>
                <w:color w:val="auto"/>
              </w:rPr>
            </w:pPr>
            <w:r>
              <w:rPr>
                <w:rFonts w:ascii="Times New Roman" w:cs="Times New Roman" w:eastAsia="Times New Roman" w:hAnsi="Times New Roman"/>
                <w:sz w:val="16"/>
                <w:szCs w:val="16"/>
                <w:color w:val="auto"/>
              </w:rPr>
              <w:t>2021</w:t>
            </w:r>
          </w:p>
        </w:tc>
        <w:tc>
          <w:tcPr>
            <w:tcW w:w="840" w:type="dxa"/>
            <w:vAlign w:val="bottom"/>
            <w:gridSpan w:val="2"/>
          </w:tcPr>
          <w:p>
            <w:pPr>
              <w:ind w:left="360"/>
              <w:spacing w:after="0" w:line="178"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520"/>
              <w:spacing w:after="0" w:line="178"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402"/>
              <w:spacing w:after="0" w:line="178"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540"/>
              <w:spacing w:after="0" w:line="178"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80"/>
              <w:spacing w:after="0" w:line="17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6"/>
                <w:szCs w:val="16"/>
                <w:i w:val="1"/>
                <w:iCs w:val="1"/>
                <w:color w:val="auto"/>
              </w:rPr>
              <w:t>Former Interim Chief Executive Officer</w:t>
            </w:r>
          </w:p>
        </w:tc>
        <w:tc>
          <w:tcPr>
            <w:tcW w:w="82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2020</w:t>
            </w: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1,131,000</w:t>
            </w:r>
          </w:p>
        </w:tc>
        <w:tc>
          <w:tcPr>
            <w:tcW w:w="1180" w:type="dxa"/>
            <w:vAlign w:val="bottom"/>
            <w:gridSpan w:val="2"/>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78740</wp:posOffset>
            </wp:positionV>
            <wp:extent cx="70040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136" w:lineRule="exact"/>
        <w:rPr>
          <w:sz w:val="20"/>
          <w:szCs w:val="20"/>
          <w:color w:val="auto"/>
        </w:rPr>
      </w:pPr>
    </w:p>
    <w:p>
      <w:pPr>
        <w:ind w:left="1020" w:hanging="397"/>
        <w:spacing w:after="0"/>
        <w:tabs>
          <w:tab w:leader="none" w:pos="10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annual base salary paid for fiscal year 2020 or 2021.</w:t>
      </w:r>
    </w:p>
    <w:p>
      <w:pPr>
        <w:spacing w:after="0" w:line="27" w:lineRule="exact"/>
        <w:rPr>
          <w:rFonts w:ascii="Times New Roman" w:cs="Times New Roman" w:eastAsia="Times New Roman" w:hAnsi="Times New Roman"/>
          <w:sz w:val="16"/>
          <w:szCs w:val="16"/>
          <w:color w:val="auto"/>
        </w:rPr>
      </w:pPr>
    </w:p>
    <w:p>
      <w:pPr>
        <w:ind w:left="1020" w:right="80" w:hanging="397"/>
        <w:spacing w:after="0" w:line="255" w:lineRule="auto"/>
        <w:tabs>
          <w:tab w:leader="none" w:pos="10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represent the grant date fair value of equity-based awards granted in fiscal year 2020 and 2021, calculated in accordance with ASC 718, and do not necessarily correspond to the actual value that may be recognized from the equity-based awards. Assumptions used in the calculation of these amounts are described in </w:t>
      </w:r>
      <w:r>
        <w:rPr>
          <w:rFonts w:ascii="Times New Roman" w:cs="Times New Roman" w:eastAsia="Times New Roman" w:hAnsi="Times New Roman"/>
          <w:sz w:val="16"/>
          <w:szCs w:val="16"/>
          <w:i w:val="1"/>
          <w:iCs w:val="1"/>
          <w:color w:val="auto"/>
        </w:rPr>
        <w:t>Note 11—Share-Based and Unit-Based Compensation</w:t>
      </w:r>
      <w:r>
        <w:rPr>
          <w:rFonts w:ascii="Times New Roman" w:cs="Times New Roman" w:eastAsia="Times New Roman" w:hAnsi="Times New Roman"/>
          <w:sz w:val="16"/>
          <w:szCs w:val="16"/>
          <w:color w:val="auto"/>
        </w:rPr>
        <w:t xml:space="preserve"> of our audited consolidated financial statements included in this prospectus.</w:t>
      </w:r>
    </w:p>
    <w:p>
      <w:pPr>
        <w:spacing w:after="0" w:line="2"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Michael was not a named executive officer in 2020. Dr. Michael joined Opco as Chief Executive Officer on January 11, 2021.</w:t>
      </w:r>
    </w:p>
    <w:p>
      <w:pPr>
        <w:spacing w:after="0" w:line="12"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LaBenne was not a named executive officer in 2020. Mr. LaBenne joined Opco as Chief Executive Officer on April 27, 2021.</w:t>
      </w:r>
    </w:p>
    <w:p>
      <w:pPr>
        <w:spacing w:after="0" w:line="12"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D’Annunzio was not a named executive officer in 2020. Mr. D’Annunzio joined Opco as General Counsel and Secretary in May 2019.</w:t>
      </w:r>
    </w:p>
    <w:p>
      <w:pPr>
        <w:spacing w:after="0" w:line="12" w:lineRule="exact"/>
        <w:rPr>
          <w:rFonts w:ascii="Times New Roman" w:cs="Times New Roman" w:eastAsia="Times New Roman" w:hAnsi="Times New Roman"/>
          <w:sz w:val="16"/>
          <w:szCs w:val="16"/>
          <w:color w:val="auto"/>
        </w:rPr>
      </w:pPr>
    </w:p>
    <w:p>
      <w:pPr>
        <w:ind w:left="1020" w:right="220" w:hanging="397"/>
        <w:spacing w:after="0" w:line="255" w:lineRule="auto"/>
        <w:tabs>
          <w:tab w:leader="none" w:pos="10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Clifton was Chief Executive Officer of Opco from April 2020 until January 11, 2021, when Gavin Michael became our Chief Executive Officer. Mr. Clifton received no other compensation for his services as Opco’s interim Chief Executive Officer other than profits interests in the form of 975,000 preferred incentive units.</w:t>
      </w:r>
    </w:p>
    <w:p>
      <w:pPr>
        <w:spacing w:after="0" w:line="1" w:lineRule="exact"/>
        <w:rPr>
          <w:rFonts w:ascii="Times New Roman" w:cs="Times New Roman" w:eastAsia="Times New Roman" w:hAnsi="Times New Roman"/>
          <w:sz w:val="16"/>
          <w:szCs w:val="16"/>
          <w:color w:val="auto"/>
        </w:rPr>
      </w:pPr>
    </w:p>
    <w:p>
      <w:pPr>
        <w:jc w:val="both"/>
        <w:ind w:left="1020" w:right="180" w:hanging="397"/>
        <w:spacing w:after="0" w:line="255" w:lineRule="auto"/>
        <w:tabs>
          <w:tab w:leader="none" w:pos="10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“All other compensation” amounts include: (i) for Dr. Michael, life insurance premiums; (ii) for Mr. LaBenne, life insurance premiums and employer 401(k) plan contributions; and (iii) for Mr. D’Annunzio, (A) in 2021, life insurance premiums and employer 401(k) plan contributions and (B) in 2020, employer 401(k) plan contributions.</w:t>
      </w:r>
    </w:p>
    <w:p>
      <w:pPr>
        <w:spacing w:after="0" w:line="1"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$542,000 sign on bonus.</w:t>
      </w:r>
    </w:p>
    <w:p>
      <w:pPr>
        <w:spacing w:after="0" w:line="1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101</w:t>
      </w:r>
    </w:p>
    <w:p>
      <w:pPr>
        <w:sectPr>
          <w:pgSz w:w="11900" w:h="16838" w:orient="portrait"/>
          <w:cols w:equalWidth="0" w:num="1">
            <w:col w:w="10620"/>
          </w:cols>
          <w:pgMar w:left="320" w:top="453" w:right="959" w:bottom="1440" w:gutter="0" w:footer="0" w:header="0"/>
        </w:sectPr>
      </w:pPr>
    </w:p>
    <w:bookmarkStart w:id="105" w:name="page106"/>
    <w:bookmarkEnd w:id="10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Narrative Disclosure to Summary Compensation Table</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Elements of Compensation</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Base Salary</w:t>
      </w:r>
    </w:p>
    <w:p>
      <w:pPr>
        <w:spacing w:after="0" w:line="112" w:lineRule="exact"/>
        <w:rPr>
          <w:sz w:val="20"/>
          <w:szCs w:val="20"/>
          <w:color w:val="auto"/>
        </w:rPr>
      </w:pPr>
    </w:p>
    <w:p>
      <w:pPr>
        <w:ind w:left="620" w:right="100"/>
        <w:spacing w:after="0" w:line="273" w:lineRule="auto"/>
        <w:rPr>
          <w:sz w:val="20"/>
          <w:szCs w:val="20"/>
          <w:color w:val="auto"/>
        </w:rPr>
      </w:pPr>
      <w:r>
        <w:rPr>
          <w:rFonts w:ascii="Times New Roman" w:cs="Times New Roman" w:eastAsia="Times New Roman" w:hAnsi="Times New Roman"/>
          <w:sz w:val="16"/>
          <w:szCs w:val="16"/>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named executive officer’s scope of responsibility and accountability.</w:t>
      </w:r>
    </w:p>
    <w:p>
      <w:pPr>
        <w:spacing w:after="0" w:line="2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Annual Bonus</w:t>
      </w:r>
    </w:p>
    <w:p>
      <w:pPr>
        <w:spacing w:after="0" w:line="112" w:lineRule="exact"/>
        <w:rPr>
          <w:sz w:val="20"/>
          <w:szCs w:val="20"/>
          <w:color w:val="auto"/>
        </w:rPr>
      </w:pPr>
    </w:p>
    <w:p>
      <w:pPr>
        <w:ind w:left="620" w:right="140"/>
        <w:spacing w:after="0" w:line="267" w:lineRule="auto"/>
        <w:rPr>
          <w:sz w:val="20"/>
          <w:szCs w:val="20"/>
          <w:color w:val="auto"/>
        </w:rPr>
      </w:pPr>
      <w:r>
        <w:rPr>
          <w:rFonts w:ascii="Times New Roman" w:cs="Times New Roman" w:eastAsia="Times New Roman" w:hAnsi="Times New Roman"/>
          <w:sz w:val="16"/>
          <w:szCs w:val="16"/>
          <w:color w:val="auto"/>
        </w:rPr>
        <w:t>We provide annual cash bonuses to our executive officers, including the named executive officers, based on performance for the completed fiscal year. Bonuses are determined based on achievement of goals relating to our financial and operating performance and each executive officer’s individual performance. The actual annual cash bonuses awarded to each of the named executive officers for 2021 performance are set forth above in the 2021 Summary Compensation Table in the column titled “Non-equity Incentive Plan Compensation.</w:t>
      </w:r>
    </w:p>
    <w:p>
      <w:pPr>
        <w:spacing w:after="0" w:line="2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Equity-based Compensation</w:t>
      </w:r>
    </w:p>
    <w:p>
      <w:pPr>
        <w:spacing w:after="0" w:line="112" w:lineRule="exact"/>
        <w:rPr>
          <w:sz w:val="20"/>
          <w:szCs w:val="20"/>
          <w:color w:val="auto"/>
        </w:rPr>
      </w:pPr>
    </w:p>
    <w:p>
      <w:pPr>
        <w:ind w:left="620" w:right="40"/>
        <w:spacing w:after="0" w:line="291" w:lineRule="auto"/>
        <w:rPr>
          <w:sz w:val="20"/>
          <w:szCs w:val="20"/>
          <w:color w:val="auto"/>
        </w:rPr>
      </w:pPr>
      <w:r>
        <w:rPr>
          <w:rFonts w:ascii="Times New Roman" w:cs="Times New Roman" w:eastAsia="Times New Roman" w:hAnsi="Times New Roman"/>
          <w:sz w:val="16"/>
          <w:szCs w:val="16"/>
          <w:color w:val="auto"/>
        </w:rPr>
        <w:t>In December 2021, the Company granted restricted stock units to each of Dr. Michael and Mr. LaBenne. The vesting terms of the awards are set forth in the “</w:t>
      </w:r>
      <w:r>
        <w:rPr>
          <w:rFonts w:ascii="Times New Roman" w:cs="Times New Roman" w:eastAsia="Times New Roman" w:hAnsi="Times New Roman"/>
          <w:sz w:val="16"/>
          <w:szCs w:val="16"/>
          <w:i w:val="1"/>
          <w:iCs w:val="1"/>
          <w:color w:val="auto"/>
        </w:rPr>
        <w:t>Outstanding Equity Awards at Fiscal Year End</w:t>
      </w:r>
      <w:r>
        <w:rPr>
          <w:rFonts w:ascii="Times New Roman" w:cs="Times New Roman" w:eastAsia="Times New Roman" w:hAnsi="Times New Roman"/>
          <w:sz w:val="16"/>
          <w:szCs w:val="16"/>
          <w:color w:val="auto"/>
        </w:rPr>
        <w:t>” table below.</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Employment Arrangements with the Named Executive Officers of Bakkt</w:t>
      </w:r>
    </w:p>
    <w:p>
      <w:pPr>
        <w:spacing w:after="0" w:line="114" w:lineRule="exact"/>
        <w:rPr>
          <w:sz w:val="20"/>
          <w:szCs w:val="20"/>
          <w:color w:val="auto"/>
        </w:rPr>
      </w:pPr>
    </w:p>
    <w:p>
      <w:pPr>
        <w:ind w:left="620" w:right="420"/>
        <w:spacing w:after="0" w:line="273" w:lineRule="auto"/>
        <w:rPr>
          <w:sz w:val="20"/>
          <w:szCs w:val="20"/>
          <w:color w:val="auto"/>
        </w:rPr>
      </w:pPr>
      <w:r>
        <w:rPr>
          <w:rFonts w:ascii="Times New Roman" w:cs="Times New Roman" w:eastAsia="Times New Roman" w:hAnsi="Times New Roman"/>
          <w:sz w:val="16"/>
          <w:szCs w:val="16"/>
          <w:color w:val="auto"/>
        </w:rPr>
        <w:t>Each of our named executive officers (except for Mr. Clifton) is a party to a written employment arrangement. The material terms of each of those arrangements are summarized below. For a description of the compensation actually paid to the named executive officers for the year ended December 31, 2021, please refer to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under “</w:t>
      </w:r>
      <w:r>
        <w:rPr>
          <w:rFonts w:ascii="Times New Roman" w:cs="Times New Roman" w:eastAsia="Times New Roman" w:hAnsi="Times New Roman"/>
          <w:sz w:val="16"/>
          <w:szCs w:val="16"/>
          <w:i w:val="1"/>
          <w:iCs w:val="1"/>
          <w:color w:val="auto"/>
        </w:rPr>
        <w:t>Executive Compensation.</w:t>
      </w:r>
      <w:r>
        <w:rPr>
          <w:rFonts w:ascii="Times New Roman" w:cs="Times New Roman" w:eastAsia="Times New Roman" w:hAnsi="Times New Roman"/>
          <w:sz w:val="16"/>
          <w:szCs w:val="16"/>
          <w:color w:val="auto"/>
        </w:rPr>
        <w:t>”</w:t>
      </w:r>
    </w:p>
    <w:p>
      <w:pPr>
        <w:spacing w:after="0" w:line="2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Gavin Michael</w:t>
      </w:r>
    </w:p>
    <w:p>
      <w:pPr>
        <w:spacing w:after="0" w:line="112" w:lineRule="exact"/>
        <w:rPr>
          <w:sz w:val="20"/>
          <w:szCs w:val="20"/>
          <w:color w:val="auto"/>
        </w:rPr>
      </w:pPr>
    </w:p>
    <w:p>
      <w:pPr>
        <w:ind w:left="620" w:right="260"/>
        <w:spacing w:after="0" w:line="262" w:lineRule="auto"/>
        <w:rPr>
          <w:sz w:val="20"/>
          <w:szCs w:val="20"/>
          <w:color w:val="auto"/>
        </w:rPr>
      </w:pPr>
      <w:r>
        <w:rPr>
          <w:rFonts w:ascii="Times New Roman" w:cs="Times New Roman" w:eastAsia="Times New Roman" w:hAnsi="Times New Roman"/>
          <w:sz w:val="16"/>
          <w:szCs w:val="16"/>
          <w:color w:val="auto"/>
        </w:rPr>
        <w:t>Dr. Michael, the Company and Opco entered into an employment agreement on January 9, 2021. The agreement sets forth Dr. Michael’s title, annual base salary, annual target bonus of 100% of base salary, terms of an initial grant, paid in 2022, of 4,164,000 Company time- and performance-based vesting restricted stock units, employee benefit plan eligibility and vacation accrual. The agreement provides a one (1) year term with automatic one</w:t>
      </w:r>
    </w:p>
    <w:p>
      <w:pPr>
        <w:spacing w:after="0" w:line="1" w:lineRule="exact"/>
        <w:rPr>
          <w:sz w:val="20"/>
          <w:szCs w:val="20"/>
          <w:color w:val="auto"/>
        </w:rPr>
      </w:pPr>
    </w:p>
    <w:p>
      <w:pPr>
        <w:ind w:left="620" w:firstLine="3"/>
        <w:spacing w:after="0" w:line="255" w:lineRule="auto"/>
        <w:tabs>
          <w:tab w:leader="none" w:pos="851"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year extensions unless either party provides notice of non-renewal. If Dr. Michael’s employment is terminated by the Company other than for Cause or Disability or due to the Company’s non-renewal of the employment agreement, or Dr. Michael resigns for Good Reason and such termination is unrelated to a Change in Control (as such terms are defined in the employment agreement) Dr. Michael is entitled to (i) a lump sum payment equal to two times base salary; (ii) a lump sum payment equal to one (1) times the greater of (a) the average of the last three annual bonus payments or (b) the last annual bonus payment; (iii) with respect to awards granted under the 2021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Dr. Michael’s employment is terminated by the Company other than for Cause or Disability or due to the Company’s non-renewal of the employment agreement, or Dr. Michael resigns for Good Reason in each case within two (2) years following a Change in Control, Dr. Michael is entitled to (i) a lump sum payment equal to two times base salary; (ii) a lump sum payment equal to one (1) times the greatest of (a) the average of the last three annual bonus payments,</w:t>
      </w:r>
    </w:p>
    <w:p>
      <w:pPr>
        <w:spacing w:after="0" w:line="6" w:lineRule="exact"/>
        <w:rPr>
          <w:rFonts w:ascii="Times New Roman" w:cs="Times New Roman" w:eastAsia="Times New Roman" w:hAnsi="Times New Roman"/>
          <w:sz w:val="16"/>
          <w:szCs w:val="16"/>
          <w:color w:val="auto"/>
        </w:rPr>
      </w:pPr>
    </w:p>
    <w:p>
      <w:pPr>
        <w:ind w:left="62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the last annual bonus payment, or (c) the last bonus prior to the Change in Control; (iii) with respect to awards granted under the 2021 Plan and any successor plan, full vesting acceleration of outstanding Company options and equity-based grants with vesting of performance-based equity grants based on greater of target level or actual performance through the Change in</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102</w:t>
      </w:r>
    </w:p>
    <w:p>
      <w:pPr>
        <w:sectPr>
          <w:pgSz w:w="11900" w:h="16838" w:orient="portrait"/>
          <w:cols w:equalWidth="0" w:num="1">
            <w:col w:w="10600"/>
          </w:cols>
          <w:pgMar w:left="320" w:top="452" w:right="979" w:bottom="1440" w:gutter="0" w:footer="0" w:header="0"/>
        </w:sectPr>
      </w:pPr>
    </w:p>
    <w:bookmarkStart w:id="106" w:name="page107"/>
    <w:bookmarkEnd w:id="10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80"/>
        <w:spacing w:after="0" w:line="273" w:lineRule="auto"/>
        <w:rPr>
          <w:sz w:val="20"/>
          <w:szCs w:val="20"/>
          <w:color w:val="auto"/>
        </w:rPr>
      </w:pPr>
      <w:r>
        <w:rPr>
          <w:rFonts w:ascii="Times New Roman" w:cs="Times New Roman" w:eastAsia="Times New Roman" w:hAnsi="Times New Roman"/>
          <w:sz w:val="16"/>
          <w:szCs w:val="16"/>
          <w:color w:val="auto"/>
        </w:rPr>
        <w:t>Control and of a one-year post-termination exercise period for Company options, and (iv) a lump sum cash payment equal to one year of COBRA coverage premiums. Payment of the severance is conditioned on execution of a release of claims agreement by Dr. Michael. The agreement includes a confidential information agreement and one (1) year post-termination non-solicit and non-competition covenants.</w:t>
      </w:r>
    </w:p>
    <w:p>
      <w:pPr>
        <w:spacing w:after="0" w:line="2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Andrew LaBenne</w:t>
      </w:r>
    </w:p>
    <w:p>
      <w:pPr>
        <w:spacing w:after="0" w:line="112" w:lineRule="exact"/>
        <w:rPr>
          <w:sz w:val="20"/>
          <w:szCs w:val="20"/>
          <w:color w:val="auto"/>
        </w:rPr>
      </w:pPr>
    </w:p>
    <w:p>
      <w:pPr>
        <w:ind w:left="620" w:right="100"/>
        <w:spacing w:after="0" w:line="262" w:lineRule="auto"/>
        <w:rPr>
          <w:sz w:val="20"/>
          <w:szCs w:val="20"/>
          <w:color w:val="auto"/>
        </w:rPr>
      </w:pPr>
      <w:r>
        <w:rPr>
          <w:rFonts w:ascii="Times New Roman" w:cs="Times New Roman" w:eastAsia="Times New Roman" w:hAnsi="Times New Roman"/>
          <w:sz w:val="16"/>
          <w:szCs w:val="16"/>
          <w:color w:val="auto"/>
        </w:rPr>
        <w:t>Mr. LaBenne, the Company and Opco entered into an employment agreement on March 16, 2021. The agreement sets forth Mr. LaBenne’s title, annual base salary, annual target bonus of 100% of base salary, terms of an initial grant, paid in 2022, of 400,000 Company time- and performance-based vesting restricted stock units, employee benefit plan eligibility and vacation accrual. The agreement provides a one (1) year term with automatic one</w:t>
      </w:r>
    </w:p>
    <w:p>
      <w:pPr>
        <w:spacing w:after="0" w:line="1" w:lineRule="exact"/>
        <w:rPr>
          <w:sz w:val="20"/>
          <w:szCs w:val="20"/>
          <w:color w:val="auto"/>
        </w:rPr>
      </w:pPr>
    </w:p>
    <w:p>
      <w:pPr>
        <w:ind w:left="620" w:firstLine="3"/>
        <w:spacing w:after="0" w:line="255" w:lineRule="auto"/>
        <w:tabs>
          <w:tab w:leader="none" w:pos="851"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year extensions unless either party provides notice of non-renewal. If Mr. LaBenne’s employment is terminated by the Company other than for Cause or Disability or due to the Company’s non-renewal of the employment agreement, or Mr. LaBenne resigns for Good Reason and such termination is unrelated to a Change in Control (as such terms are defined in the employment agreement) Mr. LaBenne is entitled to (i) a lump sum payment equal to two times base salary; (ii) a lump sum payment equal to one (1) times the greater of (a) the average of the last three annual bonus payments or (b) the last annual bonus payment; (iii) with respect to awards granted under the 2021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w:t>
      </w:r>
    </w:p>
    <w:p>
      <w:pPr>
        <w:spacing w:after="0" w:line="4" w:lineRule="exact"/>
        <w:rPr>
          <w:rFonts w:ascii="Times New Roman" w:cs="Times New Roman" w:eastAsia="Times New Roman" w:hAnsi="Times New Roman"/>
          <w:sz w:val="16"/>
          <w:szCs w:val="16"/>
          <w:color w:val="auto"/>
        </w:rPr>
      </w:pPr>
    </w:p>
    <w:p>
      <w:pPr>
        <w:ind w:left="620" w:right="2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LaBenne’s employment is terminated by the Company other than for Cause or Disability or due to the Company’s non-renewal of the employment agreement, or Mr. LaBenne resigns for Good Reason, in each case within two (2) years following a Change in Control, Mr. LaBenne is entitled to (i) a lump sum payment equal to two times base salary; (ii) a lump sum payment equal to one (1) times the greatest of (a) the average of the last three annual bonus payments, (b) the last annual bonus payment, or (c) the last bonus prior to the Change in Control; (iii) with respect to awards granted under the 2021 Plan and any successor plan, full vesting acceleration of outstanding Company options and equity-based grants with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Mr. LaBenne. The agreement includes a confidential information agreement and one (1) year post-termination non-solicit and non-competition covenants.</w:t>
      </w:r>
    </w:p>
    <w:p>
      <w:pPr>
        <w:spacing w:after="0" w:line="2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Marc D’Annunzio</w:t>
      </w:r>
    </w:p>
    <w:p>
      <w:pPr>
        <w:spacing w:after="0" w:line="112" w:lineRule="exact"/>
        <w:rPr>
          <w:sz w:val="20"/>
          <w:szCs w:val="20"/>
          <w:color w:val="auto"/>
        </w:rPr>
      </w:pPr>
    </w:p>
    <w:p>
      <w:pPr>
        <w:ind w:left="620" w:right="40"/>
        <w:spacing w:after="0" w:line="262" w:lineRule="auto"/>
        <w:rPr>
          <w:sz w:val="20"/>
          <w:szCs w:val="20"/>
          <w:color w:val="auto"/>
        </w:rPr>
      </w:pPr>
      <w:r>
        <w:rPr>
          <w:rFonts w:ascii="Times New Roman" w:cs="Times New Roman" w:eastAsia="Times New Roman" w:hAnsi="Times New Roman"/>
          <w:sz w:val="16"/>
          <w:szCs w:val="16"/>
          <w:color w:val="auto"/>
        </w:rPr>
        <w:t>Mr. D’Annunzio and the Company entered into an employment agreement on August 10, 2021. The agreement sets forth Mr. D’Annunzio’s title, annual base salary, annual target bonus of 100% of base salary, terms of an initial grant, paid in 2022, of 400,000 Company time- and performance-based vesting restricted stock units, employee benefit plan eligibility and vacation accrual. The agreement provides a one (1) year term with automatic one</w:t>
      </w:r>
    </w:p>
    <w:p>
      <w:pPr>
        <w:spacing w:after="0" w:line="1" w:lineRule="exact"/>
        <w:rPr>
          <w:sz w:val="20"/>
          <w:szCs w:val="20"/>
          <w:color w:val="auto"/>
        </w:rPr>
      </w:pPr>
    </w:p>
    <w:p>
      <w:pPr>
        <w:ind w:left="620" w:right="20" w:firstLine="3"/>
        <w:spacing w:after="0" w:line="257" w:lineRule="auto"/>
        <w:tabs>
          <w:tab w:leader="none" w:pos="851"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year extensions unless either party provides notice of non-renewal. If Mr. D’Annunzio’s employment is terminated by the Company other than for Cause or Disability or due to the Company’s non-renewal of the employment agreement, or Mr. D’Annunzio’s resigns for Good Reason and such termination is unrelated to a Change in Control (as such terms are defined in the employment agreement) Mr. D’Annunzio is entitled to (i) a lump sum payment equal to two times base salary; (ii) a lump sum payment equal to one (1) times the greater of (a) the average of the last three annual bonus payments or (b) the last annual bonus payment; (iii) with respect to awards granted under the 2021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Mr. D’Annunzio’s employment is terminated by the Company other than for Cause or Disability or due to the Company’s non-renewal of the employment agreement, or Mr. D’Annunzio resigns for Good Reason, in each case within two (2) years following a Change in Control, Mr. D’Annunzio is entitled to (i) a lump sum payment equal to two times base</w:t>
      </w:r>
    </w:p>
    <w:p>
      <w:pPr>
        <w:spacing w:after="0" w:line="1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103</w:t>
      </w:r>
    </w:p>
    <w:p>
      <w:pPr>
        <w:sectPr>
          <w:pgSz w:w="11900" w:h="16838" w:orient="portrait"/>
          <w:cols w:equalWidth="0" w:num="1">
            <w:col w:w="10620"/>
          </w:cols>
          <w:pgMar w:left="320" w:top="452" w:right="959" w:bottom="1440" w:gutter="0" w:footer="0" w:header="0"/>
        </w:sectPr>
      </w:pPr>
    </w:p>
    <w:bookmarkStart w:id="107" w:name="page108"/>
    <w:bookmarkEnd w:id="10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line="260" w:lineRule="auto"/>
        <w:rPr>
          <w:sz w:val="20"/>
          <w:szCs w:val="20"/>
          <w:color w:val="auto"/>
        </w:rPr>
      </w:pPr>
      <w:r>
        <w:rPr>
          <w:rFonts w:ascii="Times New Roman" w:cs="Times New Roman" w:eastAsia="Times New Roman" w:hAnsi="Times New Roman"/>
          <w:sz w:val="16"/>
          <w:szCs w:val="16"/>
          <w:color w:val="auto"/>
        </w:rPr>
        <w:t>salary; (ii) a lump sum payment equal to one (1) times the greatest of (a) the average of the last three annual bonus payments, (b) the last annual bonus payment, or (c) the last bonus prior to the Change in Control; (iii) with respect to awards granted under the 2021 Plan and any successor plan, full vesting acceleration of outstanding time-vested Company options and equity-based grants and vesting of performance-based equity grants based on greater of target level or actual performance through the Change in Control and of a one-year post-termination exercise period for Company options, and</w:t>
      </w:r>
    </w:p>
    <w:p>
      <w:pPr>
        <w:spacing w:after="0" w:line="3" w:lineRule="exact"/>
        <w:rPr>
          <w:sz w:val="20"/>
          <w:szCs w:val="20"/>
          <w:color w:val="auto"/>
        </w:rPr>
      </w:pPr>
    </w:p>
    <w:p>
      <w:pPr>
        <w:ind w:left="620" w:right="200" w:firstLine="3"/>
        <w:spacing w:after="0" w:line="263" w:lineRule="auto"/>
        <w:tabs>
          <w:tab w:leader="none" w:pos="897"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 sum cash payment equal to one year of COBRA coverage premiums. Payment of the severance is conditioned on execution of a release of claims agreement by Mr. D’Annunzio. The employment agreement includes a confidential information agreement and one (1) year post-termination non-solicit and non-competition covenants.</w:t>
      </w:r>
    </w:p>
    <w:p>
      <w:pPr>
        <w:spacing w:after="0" w:line="2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David Clifton</w:t>
      </w:r>
    </w:p>
    <w:p>
      <w:pPr>
        <w:spacing w:after="0" w:line="112" w:lineRule="exact"/>
        <w:rPr>
          <w:sz w:val="20"/>
          <w:szCs w:val="20"/>
          <w:color w:val="auto"/>
        </w:rPr>
      </w:pPr>
    </w:p>
    <w:p>
      <w:pPr>
        <w:ind w:left="620" w:right="40"/>
        <w:spacing w:after="0" w:line="271" w:lineRule="auto"/>
        <w:rPr>
          <w:sz w:val="20"/>
          <w:szCs w:val="20"/>
          <w:color w:val="auto"/>
        </w:rPr>
      </w:pPr>
      <w:r>
        <w:rPr>
          <w:rFonts w:ascii="Times New Roman" w:cs="Times New Roman" w:eastAsia="Times New Roman" w:hAnsi="Times New Roman"/>
          <w:sz w:val="16"/>
          <w:szCs w:val="16"/>
          <w:color w:val="auto"/>
        </w:rPr>
        <w:t>Mr. Clifton did not have a written arrangement with Opco or ICE regarding his services to Opco as interim CEO. Mr. Clifton commenced his services in this role in April 2020 and received no additional compensation from ICE for such services. In recognition of Mr. Clifton’s services to Opco in fiscal year 2020, Opco granted profits interests in the form of 975,000 preferred incentive units on December 4, 2020 subject to the Opco Plan (as described below).</w:t>
      </w:r>
    </w:p>
    <w:p>
      <w:pPr>
        <w:spacing w:after="0" w:line="200" w:lineRule="exact"/>
        <w:rPr>
          <w:sz w:val="20"/>
          <w:szCs w:val="20"/>
          <w:color w:val="auto"/>
        </w:rPr>
      </w:pP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 End</w:t>
      </w:r>
    </w:p>
    <w:p>
      <w:pPr>
        <w:spacing w:after="0" w:line="114"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color w:val="auto"/>
        </w:rPr>
        <w:t>Opco maintained a profits interests plan, the Opco Plan, for the award of Opco Incentive Units, through Opco Management, to participants, and Opco Participation Units, directly to participants. Awards of Opco Incentive Units included awards of common incentive units and preferred incentive units, each intended to represent a “profits interests” for U.S. tax purposes and each corresponded to incentive units of Opco Management issued by Opco Management to participants. The purpose of the Opco Plan was to promote the interests of Opco by attracting and retaining key employees, directors, independent contractors or other service providers of Opco and to enable such individuals to acquire an equity interest in and participate in the long-term growth and financial success of Opco.</w:t>
      </w:r>
    </w:p>
    <w:p>
      <w:pPr>
        <w:spacing w:after="0" w:line="163" w:lineRule="exact"/>
        <w:rPr>
          <w:sz w:val="20"/>
          <w:szCs w:val="20"/>
          <w:color w:val="auto"/>
        </w:rPr>
      </w:pPr>
    </w:p>
    <w:p>
      <w:pPr>
        <w:ind w:left="620" w:right="60"/>
        <w:spacing w:after="0" w:line="267" w:lineRule="auto"/>
        <w:rPr>
          <w:sz w:val="20"/>
          <w:szCs w:val="20"/>
          <w:color w:val="auto"/>
        </w:rPr>
      </w:pPr>
      <w:r>
        <w:rPr>
          <w:rFonts w:ascii="Times New Roman" w:cs="Times New Roman" w:eastAsia="Times New Roman" w:hAnsi="Times New Roman"/>
          <w:sz w:val="16"/>
          <w:szCs w:val="16"/>
          <w:color w:val="auto"/>
        </w:rPr>
        <w:t xml:space="preserve">The profits interests represented a membership interest in Opco and entitled the holder to receive distributions in Opco once a specified threshold equity value of Opco had been reached, in each case as provided in the Opco operating agreement. The preferred incentive units are also entitled to disproportionate distributions once the participant’s applicable threshold equity value has been reduced to zero in order to “catch-up” such participant’s total distributions to its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share.</w:t>
      </w:r>
    </w:p>
    <w:p>
      <w:pPr>
        <w:spacing w:after="0" w:line="162" w:lineRule="exact"/>
        <w:rPr>
          <w:sz w:val="20"/>
          <w:szCs w:val="20"/>
          <w:color w:val="auto"/>
        </w:rPr>
      </w:pPr>
    </w:p>
    <w:p>
      <w:pPr>
        <w:ind w:left="620" w:right="60"/>
        <w:spacing w:after="0" w:line="291" w:lineRule="auto"/>
        <w:rPr>
          <w:sz w:val="20"/>
          <w:szCs w:val="20"/>
          <w:color w:val="auto"/>
        </w:rPr>
      </w:pPr>
      <w:r>
        <w:rPr>
          <w:rFonts w:ascii="Times New Roman" w:cs="Times New Roman" w:eastAsia="Times New Roman" w:hAnsi="Times New Roman"/>
          <w:sz w:val="16"/>
          <w:szCs w:val="16"/>
          <w:color w:val="auto"/>
        </w:rPr>
        <w:t>The Company also granted equity awards in 2021 pursuant to the 2021 Omnibus Incentive Plan (the “2021 Plan”), which became effective immediately upon the Closing.</w:t>
      </w:r>
    </w:p>
    <w:p>
      <w:pPr>
        <w:spacing w:after="0" w:line="142" w:lineRule="exact"/>
        <w:rPr>
          <w:sz w:val="20"/>
          <w:szCs w:val="20"/>
          <w:color w:val="auto"/>
        </w:rPr>
      </w:pPr>
    </w:p>
    <w:p>
      <w:pPr>
        <w:ind w:left="620" w:right="520"/>
        <w:spacing w:after="0" w:line="291" w:lineRule="auto"/>
        <w:rPr>
          <w:sz w:val="20"/>
          <w:szCs w:val="20"/>
          <w:color w:val="auto"/>
        </w:rPr>
      </w:pPr>
      <w:r>
        <w:rPr>
          <w:rFonts w:ascii="Times New Roman" w:cs="Times New Roman" w:eastAsia="Times New Roman" w:hAnsi="Times New Roman"/>
          <w:sz w:val="16"/>
          <w:szCs w:val="16"/>
          <w:color w:val="auto"/>
        </w:rPr>
        <w:t>The following table summarizes the number of outstanding equity awards held by each of the Company’s named executive officers, each granted pursuant to the Opco Plan or the 2021 Plan, as indicated.</w:t>
      </w:r>
    </w:p>
    <w:p>
      <w:pPr>
        <w:spacing w:after="0" w:line="146"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Market value</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Market value</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profits</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profits</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10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interests</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of profits</w:t>
            </w: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profit</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9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shares or</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units that</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that</w:t>
            </w: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interests that</w:t>
            </w: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units of stock</w:t>
            </w:r>
          </w:p>
        </w:tc>
        <w:tc>
          <w:tcPr>
            <w:tcW w:w="9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units of stock</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w:t>
            </w:r>
          </w:p>
        </w:tc>
        <w:tc>
          <w:tcPr>
            <w:tcW w:w="12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units that</w:t>
            </w: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have not</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 not</w:t>
            </w:r>
          </w:p>
        </w:tc>
        <w:tc>
          <w:tcPr>
            <w:tcW w:w="9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 not</w:t>
            </w:r>
          </w:p>
        </w:tc>
        <w:tc>
          <w:tcPr>
            <w:tcW w:w="0" w:type="dxa"/>
            <w:vAlign w:val="bottom"/>
          </w:tcPr>
          <w:p>
            <w:pPr>
              <w:spacing w:after="0"/>
              <w:rPr>
                <w:sz w:val="1"/>
                <w:szCs w:val="1"/>
                <w:color w:val="auto"/>
              </w:rPr>
            </w:pPr>
          </w:p>
        </w:tc>
      </w:tr>
      <w:tr>
        <w:trPr>
          <w:trHeight w:val="135"/>
        </w:trPr>
        <w:tc>
          <w:tcPr>
            <w:tcW w:w="1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9"/>
              </w:rPr>
              <w:t>Name and Principal Position</w:t>
            </w:r>
          </w:p>
        </w:tc>
        <w:tc>
          <w:tcPr>
            <w:tcW w:w="24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vested</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have vested</w:t>
            </w: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vested</w:t>
            </w: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vested</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vested</w:t>
            </w:r>
          </w:p>
        </w:tc>
        <w:tc>
          <w:tcPr>
            <w:tcW w:w="9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vested</w:t>
            </w:r>
          </w:p>
        </w:tc>
        <w:tc>
          <w:tcPr>
            <w:tcW w:w="0" w:type="dxa"/>
            <w:vAlign w:val="bottom"/>
          </w:tcPr>
          <w:p>
            <w:pPr>
              <w:spacing w:after="0"/>
              <w:rPr>
                <w:sz w:val="1"/>
                <w:szCs w:val="1"/>
                <w:color w:val="auto"/>
              </w:rPr>
            </w:pPr>
          </w:p>
        </w:tc>
      </w:tr>
      <w:tr>
        <w:trPr>
          <w:trHeight w:val="165"/>
        </w:trPr>
        <w:tc>
          <w:tcPr>
            <w:tcW w:w="1600" w:type="dxa"/>
            <w:vAlign w:val="bottom"/>
            <w:tcBorders>
              <w:bottom w:val="single" w:sz="8" w:color="auto"/>
            </w:tcBorders>
            <w:vMerge w:val="continue"/>
          </w:tcPr>
          <w:p>
            <w:pPr>
              <w:spacing w:after="0"/>
              <w:rPr>
                <w:sz w:val="14"/>
                <w:szCs w:val="14"/>
                <w:color w:val="auto"/>
              </w:rPr>
            </w:pPr>
          </w:p>
        </w:tc>
        <w:tc>
          <w:tcPr>
            <w:tcW w:w="3060" w:type="dxa"/>
            <w:vAlign w:val="bottom"/>
            <w:gridSpan w:val="2"/>
          </w:tcPr>
          <w:p>
            <w:pPr>
              <w:jc w:val="center"/>
              <w:ind w:left="2324"/>
              <w:spacing w:after="0" w:line="14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4"/>
                <w:szCs w:val="14"/>
                <w:color w:val="auto"/>
              </w:rPr>
            </w:pPr>
          </w:p>
        </w:tc>
        <w:tc>
          <w:tcPr>
            <w:tcW w:w="940" w:type="dxa"/>
            <w:vAlign w:val="bottom"/>
            <w:gridSpan w:val="2"/>
          </w:tcPr>
          <w:p>
            <w:pPr>
              <w:jc w:val="center"/>
              <w:ind w:left="42"/>
              <w:spacing w:after="0" w:line="145"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4"/>
                <w:szCs w:val="14"/>
                <w:color w:val="auto"/>
              </w:rPr>
            </w:pPr>
          </w:p>
        </w:tc>
        <w:tc>
          <w:tcPr>
            <w:tcW w:w="7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8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4"/>
                <w:szCs w:val="14"/>
                <w:color w:val="auto"/>
              </w:rPr>
            </w:pPr>
          </w:p>
        </w:tc>
        <w:tc>
          <w:tcPr>
            <w:tcW w:w="82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84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9"/>
                <w:szCs w:val="9"/>
                <w:b w:val="1"/>
                <w:bCs w:val="1"/>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0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Gavin Michael</w:t>
            </w:r>
          </w:p>
        </w:tc>
        <w:tc>
          <w:tcPr>
            <w:tcW w:w="24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1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ind w:left="5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9"/>
              <w:spacing w:after="0" w:line="18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ind w:left="5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694,000</w:t>
            </w: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5,905,940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Andrew LaBenne</w:t>
            </w:r>
          </w:p>
        </w:tc>
        <w:tc>
          <w:tcPr>
            <w:tcW w:w="24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66,667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567,336</w:t>
            </w:r>
          </w:p>
        </w:tc>
        <w:tc>
          <w:tcPr>
            <w:tcW w:w="0" w:type="dxa"/>
            <w:vAlign w:val="bottom"/>
          </w:tcPr>
          <w:p>
            <w:pPr>
              <w:spacing w:after="0"/>
              <w:rPr>
                <w:sz w:val="1"/>
                <w:szCs w:val="1"/>
                <w:color w:val="auto"/>
              </w:rPr>
            </w:pPr>
          </w:p>
        </w:tc>
      </w:tr>
      <w:tr>
        <w:trPr>
          <w:trHeight w:val="196"/>
        </w:trPr>
        <w:tc>
          <w:tcPr>
            <w:tcW w:w="16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Marc D’Annunzio</w:t>
            </w:r>
            <w:r>
              <w:rPr>
                <w:rFonts w:ascii="Times New Roman" w:cs="Times New Roman" w:eastAsia="Times New Roman" w:hAnsi="Times New Roman"/>
                <w:sz w:val="22"/>
                <w:szCs w:val="22"/>
                <w:color w:val="auto"/>
                <w:vertAlign w:val="superscript"/>
              </w:rPr>
              <w:t>(2)</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518,237</w:t>
            </w: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4,410,197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1,036,475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8,820,402</w:t>
            </w:r>
          </w:p>
        </w:tc>
        <w:tc>
          <w:tcPr>
            <w:tcW w:w="10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2"/>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David Clifton</w:t>
            </w:r>
            <w:r>
              <w:rPr>
                <w:rFonts w:ascii="Times New Roman" w:cs="Times New Roman" w:eastAsia="Times New Roman" w:hAnsi="Times New Roman"/>
                <w:sz w:val="23"/>
                <w:szCs w:val="23"/>
                <w:color w:val="auto"/>
                <w:vertAlign w:val="superscript"/>
              </w:rPr>
              <w:t>(3)</w:t>
            </w:r>
          </w:p>
        </w:tc>
        <w:tc>
          <w:tcPr>
            <w:tcW w:w="31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37,544</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319,499</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125,064</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1,064,295</w:t>
            </w: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530"/>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452" w:right="959" w:bottom="1440" w:gutter="0" w:footer="0" w:header="0"/>
        </w:sectPr>
      </w:pPr>
    </w:p>
    <w:bookmarkStart w:id="108" w:name="page109"/>
    <w:bookmarkEnd w:id="10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020" w:right="140" w:hanging="397"/>
        <w:spacing w:after="0" w:line="265" w:lineRule="auto"/>
        <w:tabs>
          <w:tab w:leader="none" w:pos="10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market value of the units of stock based on the $8.51 per unit value of the Company’s Class A common stock as of December 31, 2021.</w:t>
      </w:r>
    </w:p>
    <w:p>
      <w:pPr>
        <w:spacing w:after="0" w:line="1" w:lineRule="exact"/>
        <w:rPr>
          <w:rFonts w:ascii="Times New Roman" w:cs="Times New Roman" w:eastAsia="Times New Roman" w:hAnsi="Times New Roman"/>
          <w:sz w:val="16"/>
          <w:szCs w:val="16"/>
          <w:color w:val="auto"/>
        </w:rPr>
      </w:pPr>
    </w:p>
    <w:p>
      <w:pPr>
        <w:ind w:left="1020" w:right="80" w:hanging="397"/>
        <w:spacing w:after="0" w:line="255" w:lineRule="auto"/>
        <w:tabs>
          <w:tab w:leader="none" w:pos="10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D’Annunzio was granted profits interests in the form of preferred incentive units on February 28, 2020, one-third of which vested at Closing, and one-third of which will vest on each of the first and second anniversaries of the Closing. At Closing, each profits interest was exchanged for the right to receive a Paired Interest.</w:t>
      </w:r>
    </w:p>
    <w:p>
      <w:pPr>
        <w:spacing w:after="0" w:line="1" w:lineRule="exact"/>
        <w:rPr>
          <w:rFonts w:ascii="Times New Roman" w:cs="Times New Roman" w:eastAsia="Times New Roman" w:hAnsi="Times New Roman"/>
          <w:sz w:val="16"/>
          <w:szCs w:val="16"/>
          <w:color w:val="auto"/>
        </w:rPr>
      </w:pPr>
    </w:p>
    <w:p>
      <w:pPr>
        <w:jc w:val="both"/>
        <w:ind w:left="1020" w:right="160" w:hanging="397"/>
        <w:spacing w:after="0" w:line="263" w:lineRule="auto"/>
        <w:tabs>
          <w:tab w:leader="none" w:pos="10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Clifton was granted profits interests in the form of preferred incentive units on December 4, 2020, one-third of which vested at Closing, and one-third of which will vest on each of the first and second anniversaries of the Closing. At Closing, each profits interest was exchanged for the right to receive a Paired Interest.</w:t>
      </w:r>
    </w:p>
    <w:p>
      <w:pPr>
        <w:spacing w:after="0" w:line="2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2021 Plan</w:t>
      </w:r>
    </w:p>
    <w:p>
      <w:pPr>
        <w:spacing w:after="0" w:line="114" w:lineRule="exact"/>
        <w:rPr>
          <w:sz w:val="20"/>
          <w:szCs w:val="20"/>
          <w:color w:val="auto"/>
        </w:rPr>
      </w:pPr>
    </w:p>
    <w:p>
      <w:pPr>
        <w:ind w:left="620" w:right="360"/>
        <w:spacing w:after="0" w:line="291" w:lineRule="auto"/>
        <w:rPr>
          <w:sz w:val="20"/>
          <w:szCs w:val="20"/>
          <w:color w:val="auto"/>
        </w:rPr>
      </w:pPr>
      <w:r>
        <w:rPr>
          <w:rFonts w:ascii="Times New Roman" w:cs="Times New Roman" w:eastAsia="Times New Roman" w:hAnsi="Times New Roman"/>
          <w:sz w:val="16"/>
          <w:szCs w:val="16"/>
          <w:color w:val="auto"/>
        </w:rPr>
        <w:t>The following paragraphs provide a summary of the principal features of the 2021 Plan and its operation. However, this summary is not a complete description of all of the provisions of the 2021 Plan and is qualified in its entirety by the specific language of the 2021 Plan.</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Purposes of the 2021 Plan</w:t>
      </w:r>
    </w:p>
    <w:p>
      <w:pPr>
        <w:spacing w:after="0" w:line="114"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The purposes of the 2021 Plan are to attract, retain and motivate officers and key employees (including prospective employees), directors, consultants and others who may perform services for the Company to compensate them for their contributions to the long-term growth and profits of the Company and to encourage them to acquire a proprietary interest in the success of the Company. These incentives are provided through the grant of stock options (including incentive stock options intended to be qualified under Section 422 of the Code), stock appreciation rights, restricted stock, restricted stock units, dividend equivalent rights and other stock-based awards. Any of these awards may, but need not, be made as performance-based incentive awards.</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Eligibility</w:t>
      </w:r>
    </w:p>
    <w:p>
      <w:pPr>
        <w:spacing w:after="0" w:line="114" w:lineRule="exact"/>
        <w:rPr>
          <w:sz w:val="20"/>
          <w:szCs w:val="20"/>
          <w:color w:val="auto"/>
        </w:rPr>
      </w:pPr>
    </w:p>
    <w:p>
      <w:pPr>
        <w:ind w:left="620" w:right="20"/>
        <w:spacing w:after="0" w:line="273" w:lineRule="auto"/>
        <w:rPr>
          <w:sz w:val="20"/>
          <w:szCs w:val="20"/>
          <w:color w:val="auto"/>
        </w:rPr>
      </w:pPr>
      <w:r>
        <w:rPr>
          <w:rFonts w:ascii="Times New Roman" w:cs="Times New Roman" w:eastAsia="Times New Roman" w:hAnsi="Times New Roman"/>
          <w:sz w:val="16"/>
          <w:szCs w:val="16"/>
          <w:color w:val="auto"/>
        </w:rPr>
        <w:t>Awards may be granted to employees, non-employee directors, consultants and advisors of the Company and any parent or subsidiary corporation of the Company. Incentive stock options may be granted only to employees who, as of the time of grant, are employees of the Company or any parent or subsidiary of the Company.</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Authorized Shares</w:t>
      </w:r>
    </w:p>
    <w:p>
      <w:pPr>
        <w:spacing w:after="0" w:line="114" w:lineRule="exact"/>
        <w:rPr>
          <w:sz w:val="20"/>
          <w:szCs w:val="20"/>
          <w:color w:val="auto"/>
        </w:rPr>
      </w:pPr>
    </w:p>
    <w:p>
      <w:pPr>
        <w:ind w:left="620"/>
        <w:spacing w:after="0" w:line="261" w:lineRule="auto"/>
        <w:rPr>
          <w:sz w:val="20"/>
          <w:szCs w:val="20"/>
          <w:color w:val="auto"/>
        </w:rPr>
      </w:pPr>
      <w:r>
        <w:rPr>
          <w:rFonts w:ascii="Times New Roman" w:cs="Times New Roman" w:eastAsia="Times New Roman" w:hAnsi="Times New Roman"/>
          <w:sz w:val="16"/>
          <w:szCs w:val="16"/>
          <w:color w:val="auto"/>
        </w:rPr>
        <w:t>Subject to the adjustment provisions contained in the 2021 Plan, the maximum number of shares of Company Common Stock that may be issued pursuant to the 2021 Plan is 25,816,946 shares. If shares covered by an award are not purchased or are forfeited or expire, or otherwise terminate without delivery of any shares subject thereto, then such shares will, to the extent of any such forfeiture, termination, cash-settlement or expiration, be available for future grant under the 2021 Plan. The payment of dividend equivalent rights in cash in conjunction with any outstanding awards will not be counted against the shares available for issuance under the 2021 Plan. Shares tendered by a participant, repurchased by the Company using proceeds from the exercise of stock options or withheld by the Company in payment of the exercise price of a stock option or to satisfy any tax withholding obligation for an award will not again be available for future awards.</w:t>
      </w: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Adjustments</w:t>
      </w:r>
    </w:p>
    <w:p>
      <w:pPr>
        <w:spacing w:after="0" w:line="114" w:lineRule="exact"/>
        <w:rPr>
          <w:sz w:val="20"/>
          <w:szCs w:val="20"/>
          <w:color w:val="auto"/>
        </w:rPr>
      </w:pPr>
    </w:p>
    <w:p>
      <w:pPr>
        <w:ind w:left="620" w:right="20"/>
        <w:spacing w:after="0" w:line="267" w:lineRule="auto"/>
        <w:rPr>
          <w:sz w:val="20"/>
          <w:szCs w:val="20"/>
          <w:color w:val="auto"/>
        </w:rPr>
      </w:pPr>
      <w:r>
        <w:rPr>
          <w:rFonts w:ascii="Times New Roman" w:cs="Times New Roman" w:eastAsia="Times New Roman" w:hAnsi="Times New Roman"/>
          <w:sz w:val="16"/>
          <w:szCs w:val="16"/>
          <w:color w:val="auto"/>
        </w:rPr>
        <w:t>In the event of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that results in any increase or decrease in the number of issued shares, the administrator (as defined below) will make appropriate adjustments to the aggregate number of shares and class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105</w:t>
      </w:r>
    </w:p>
    <w:p>
      <w:pPr>
        <w:sectPr>
          <w:pgSz w:w="11900" w:h="16838" w:orient="portrait"/>
          <w:cols w:equalWidth="0" w:num="1">
            <w:col w:w="10600"/>
          </w:cols>
          <w:pgMar w:left="320" w:top="452" w:right="979" w:bottom="1440" w:gutter="0" w:footer="0" w:header="0"/>
        </w:sectPr>
      </w:pPr>
    </w:p>
    <w:bookmarkStart w:id="109" w:name="page110"/>
    <w:bookmarkEnd w:id="10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60"/>
        <w:spacing w:after="0" w:line="273" w:lineRule="auto"/>
        <w:rPr>
          <w:sz w:val="20"/>
          <w:szCs w:val="20"/>
          <w:color w:val="auto"/>
        </w:rPr>
      </w:pPr>
      <w:r>
        <w:rPr>
          <w:rFonts w:ascii="Times New Roman" w:cs="Times New Roman" w:eastAsia="Times New Roman" w:hAnsi="Times New Roman"/>
          <w:sz w:val="16"/>
          <w:szCs w:val="16"/>
          <w:color w:val="auto"/>
        </w:rPr>
        <w:t>of shares as to which awards may be granted, the limitations as to grants to non-employee directors, the number of shares covered by each outstanding award and the option price for each related outstanding option and stock appreciation right, in such manner as it deems appropriate, to prevent enlargement or dilution of rights intended to be provided under the 2021 Plan.</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Administration</w:t>
      </w:r>
    </w:p>
    <w:p>
      <w:pPr>
        <w:spacing w:after="0" w:line="114" w:lineRule="exact"/>
        <w:rPr>
          <w:sz w:val="20"/>
          <w:szCs w:val="20"/>
          <w:color w:val="auto"/>
        </w:rPr>
      </w:pPr>
    </w:p>
    <w:p>
      <w:pPr>
        <w:ind w:left="620"/>
        <w:spacing w:after="0" w:line="261" w:lineRule="auto"/>
        <w:rPr>
          <w:sz w:val="20"/>
          <w:szCs w:val="20"/>
          <w:color w:val="auto"/>
        </w:rPr>
      </w:pPr>
      <w:r>
        <w:rPr>
          <w:rFonts w:ascii="Times New Roman" w:cs="Times New Roman" w:eastAsia="Times New Roman" w:hAnsi="Times New Roman"/>
          <w:sz w:val="16"/>
          <w:szCs w:val="16"/>
          <w:color w:val="auto"/>
        </w:rPr>
        <w:t>The compensation committee of the Company Board administers the 2021 Plan (referred to as the “administrator”). Subject to the provisions of the 2021 Plan, the administrator has the power to administer the 2021 Plan, including but not limited to, the authority to (a) construe, interpret and implement the 2021 Plan and each award, (b) make all determinations necessary or advisable in administering the 2021 Plan, (c) direct the Company to grant awards pursuant to the 2021 Plan, (d) determine the grantees to whom and the times at which awards will be granted, (e) determine the price at which options are granted, (f) determine the type of option to be awarded and the number of shares subject to such option, (g) determine the number of shares granted pursuant to each award and (h) approve the form and terms and conditions of the award documents and of each award. The administrator’s interpretation and construction of any provisions of the 2021 Plan or any award are final, binding and conclusive.</w:t>
      </w: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114" w:lineRule="exact"/>
        <w:rPr>
          <w:sz w:val="20"/>
          <w:szCs w:val="20"/>
          <w:color w:val="auto"/>
        </w:rPr>
      </w:pPr>
    </w:p>
    <w:p>
      <w:pPr>
        <w:ind w:left="620"/>
        <w:spacing w:after="0" w:line="260" w:lineRule="auto"/>
        <w:rPr>
          <w:sz w:val="20"/>
          <w:szCs w:val="20"/>
          <w:color w:val="auto"/>
        </w:rPr>
      </w:pPr>
      <w:r>
        <w:rPr>
          <w:rFonts w:ascii="Times New Roman" w:cs="Times New Roman" w:eastAsia="Times New Roman" w:hAnsi="Times New Roman"/>
          <w:sz w:val="16"/>
          <w:szCs w:val="16"/>
          <w:color w:val="auto"/>
        </w:rPr>
        <w:t>Stock options in the form of nonstatutory stock options or incentive stock options may be granted under the 2021 Plan. The administrator determines the number of shares subject to each option. The administrator determines the exercise price of options granted under the 2021 Plan; provided that the exercise price must at least be equal to the fair market value of the Company’s shares on the date of grant. The term of a stock option may not exceed ten years, except that with respect to any participant who owns more than 10% of the voting power of all classes of the Company’s outstanding stock, the term of an incentive stock option must not exceed five years and the exercise price must equal at least 110% of the fair market value on the grant date. The grantee may pay the exercise price of an option (a) by personal check, (b) shares of the same class as those to be granted by exercise of the stock option, (c) any other form of consideration approved by the Company and permitted by applicable law, or (d) any combination of the foregoing. An option may not be exercised later than the expiration of its term. Subject to the provisions of the 2021 Plan, the administrator determines the other terms of options.</w:t>
      </w:r>
    </w:p>
    <w:p>
      <w:pPr>
        <w:spacing w:after="0" w:line="200" w:lineRule="exact"/>
        <w:rPr>
          <w:sz w:val="20"/>
          <w:szCs w:val="20"/>
          <w:color w:val="auto"/>
        </w:rPr>
      </w:pP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Stock Appreciation Rights</w:t>
      </w:r>
    </w:p>
    <w:p>
      <w:pPr>
        <w:spacing w:after="0" w:line="114" w:lineRule="exact"/>
        <w:rPr>
          <w:sz w:val="20"/>
          <w:szCs w:val="20"/>
          <w:color w:val="auto"/>
        </w:rPr>
      </w:pPr>
    </w:p>
    <w:p>
      <w:pPr>
        <w:ind w:left="620" w:right="60"/>
        <w:spacing w:after="0" w:line="267" w:lineRule="auto"/>
        <w:rPr>
          <w:sz w:val="20"/>
          <w:szCs w:val="20"/>
          <w:color w:val="auto"/>
        </w:rPr>
      </w:pPr>
      <w:r>
        <w:rPr>
          <w:rFonts w:ascii="Times New Roman" w:cs="Times New Roman" w:eastAsia="Times New Roman" w:hAnsi="Times New Roman"/>
          <w:sz w:val="16"/>
          <w:szCs w:val="16"/>
          <w:color w:val="auto"/>
        </w:rPr>
        <w:t>Stock appreciation rights may be granted under the 2021 Plan. Stock appreciation rights allow the recipient to receive the appreciation in the fair market value of the Company’s shares between the exercise date and the date of grant. Stock appreciation rights may not have a term exceeding ten years. The grant price for a stock appreciation right may not be less than 100% of the fair market value per share on the date of grant. Subject to the provisions of the, the administrator determines the other terms of stock appreciation rights, including when such rights become exercisable.</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Awards</w:t>
      </w:r>
    </w:p>
    <w:p>
      <w:pPr>
        <w:spacing w:after="0" w:line="114" w:lineRule="exact"/>
        <w:rPr>
          <w:sz w:val="20"/>
          <w:szCs w:val="20"/>
          <w:color w:val="auto"/>
        </w:rPr>
      </w:pPr>
    </w:p>
    <w:p>
      <w:pPr>
        <w:ind w:left="620" w:right="80"/>
        <w:spacing w:after="0" w:line="261" w:lineRule="auto"/>
        <w:rPr>
          <w:sz w:val="20"/>
          <w:szCs w:val="20"/>
          <w:color w:val="auto"/>
        </w:rPr>
      </w:pPr>
      <w:r>
        <w:rPr>
          <w:rFonts w:ascii="Times New Roman" w:cs="Times New Roman" w:eastAsia="Times New Roman" w:hAnsi="Times New Roman"/>
          <w:sz w:val="16"/>
          <w:szCs w:val="16"/>
          <w:color w:val="auto"/>
        </w:rPr>
        <w:t>Restricted stock may be granted under the 2021 Plan. Restricted stock awards are grants of shares of Company Common Stock that vest in accordance with terms and conditions established by the administrator. The administrator will determine the number of shares of restricted stock granted to any employee, director, consultant or advisor and, subject to the provisions of the 2021 Plan, will determine the terms and conditions of such awards. The administrator may impose whatever conditions to vesting it determines to be appropriate. The administrator, in its sole discretion, may accelerate the time at which any restrictions will lapse or be removed. Recipients of restricted stock awards generally will have voting rights with respect to such shares upon grant unless the administrator provides otherwise. Unless the administrator determines otherwise, during the restricted period, all dividends or other distributions paid upon any restricted stock awards will be retained by the Company</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106</w:t>
      </w:r>
    </w:p>
    <w:p>
      <w:pPr>
        <w:sectPr>
          <w:pgSz w:w="11900" w:h="16838" w:orient="portrait"/>
          <w:cols w:equalWidth="0" w:num="1">
            <w:col w:w="10620"/>
          </w:cols>
          <w:pgMar w:left="320" w:top="452" w:right="959" w:bottom="1440" w:gutter="0" w:footer="0" w:header="0"/>
        </w:sectPr>
      </w:pPr>
    </w:p>
    <w:bookmarkStart w:id="110" w:name="page111"/>
    <w:bookmarkEnd w:id="11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16"/>
          <w:szCs w:val="16"/>
          <w:color w:val="auto"/>
        </w:rPr>
        <w:t>for the account of the recipient. Such dividends or other distributions will revert to the Company if for any reason the restricted stock award upon which such dividends or other distributions were paid reverts to the Company. Upon the expiration of the restricted period, all such dividends or other distributions made on such restricted share and retained by the Company will be paid, without interest, to the recipient.</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114" w:lineRule="exact"/>
        <w:rPr>
          <w:sz w:val="20"/>
          <w:szCs w:val="20"/>
          <w:color w:val="auto"/>
        </w:rPr>
      </w:pPr>
    </w:p>
    <w:p>
      <w:pPr>
        <w:ind w:left="620" w:right="360"/>
        <w:spacing w:after="0" w:line="263" w:lineRule="auto"/>
        <w:rPr>
          <w:sz w:val="20"/>
          <w:szCs w:val="20"/>
          <w:color w:val="auto"/>
        </w:rPr>
      </w:pPr>
      <w:r>
        <w:rPr>
          <w:rFonts w:ascii="Times New Roman" w:cs="Times New Roman" w:eastAsia="Times New Roman" w:hAnsi="Times New Roman"/>
          <w:sz w:val="16"/>
          <w:szCs w:val="16"/>
          <w:color w:val="auto"/>
        </w:rPr>
        <w:t>Restricted stock units may be granted under the 2021 Plan. Restricted stock units are bookkeeping entries representing an amount equal to the fair market value of one share of Company Common Stock. Subject to the provisions of the 2021 Plan, the administrator determines the terms and conditions of restricted stock units, including the vesting criteria, which may include time-based and performance-based criteria, and the form and timing of payment. A holder of restricted stock units will have only the rights of a general unsecured creditor of the Company, until the delivery of shares, cash or other securities or property. On the delivery date, the holder of each restricted stock unit not previously forfeited or terminated will receive one share, cash or other securities or property equal in value to one share or a combination thereof, as specified by the administrator.</w:t>
      </w: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Dividend Equivalent Rights</w:t>
      </w:r>
    </w:p>
    <w:p>
      <w:pPr>
        <w:spacing w:after="0" w:line="114" w:lineRule="exact"/>
        <w:rPr>
          <w:sz w:val="20"/>
          <w:szCs w:val="20"/>
          <w:color w:val="auto"/>
        </w:rPr>
      </w:pPr>
    </w:p>
    <w:p>
      <w:pPr>
        <w:ind w:left="620" w:right="100"/>
        <w:spacing w:after="0" w:line="267" w:lineRule="auto"/>
        <w:rPr>
          <w:sz w:val="20"/>
          <w:szCs w:val="20"/>
          <w:color w:val="auto"/>
        </w:rPr>
      </w:pPr>
      <w:r>
        <w:rPr>
          <w:rFonts w:ascii="Times New Roman" w:cs="Times New Roman" w:eastAsia="Times New Roman" w:hAnsi="Times New Roman"/>
          <w:sz w:val="16"/>
          <w:szCs w:val="16"/>
          <w:color w:val="auto"/>
        </w:rPr>
        <w:t>Dividend equivalent rights may be granted under the 2021 Plan. Dividend equivalent rights are entitlements to receive credits based on cash distributions that would have been paid on the shares of Company Common Stock subject to an equity-based award granted to an individual as though such shares had been issued to and held by the grantee. Subject to the terms of the 2021 Plan, the administrator determines the terms and conditions of dividend equivalent rights.</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Other Stock-Based or Cash-Based Awards</w:t>
      </w:r>
    </w:p>
    <w:p>
      <w:pPr>
        <w:spacing w:after="0" w:line="114" w:lineRule="exact"/>
        <w:rPr>
          <w:sz w:val="20"/>
          <w:szCs w:val="20"/>
          <w:color w:val="auto"/>
        </w:rPr>
      </w:pPr>
    </w:p>
    <w:p>
      <w:pPr>
        <w:ind w:left="620" w:right="40"/>
        <w:spacing w:after="0" w:line="291" w:lineRule="auto"/>
        <w:rPr>
          <w:sz w:val="20"/>
          <w:szCs w:val="20"/>
          <w:color w:val="auto"/>
        </w:rPr>
      </w:pPr>
      <w:r>
        <w:rPr>
          <w:rFonts w:ascii="Times New Roman" w:cs="Times New Roman" w:eastAsia="Times New Roman" w:hAnsi="Times New Roman"/>
          <w:sz w:val="16"/>
          <w:szCs w:val="16"/>
          <w:color w:val="auto"/>
        </w:rPr>
        <w:t>Other types of stock-based, stock-related or cash-based awards (including the grant or offer for sale of unrestricted shares of Company Common Stock, performance share awards, or performance units settled in cash) in amounts and under terms and conditions determined by the administrator.</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Transferability of Awards</w:t>
      </w:r>
    </w:p>
    <w:p>
      <w:pPr>
        <w:spacing w:after="0" w:line="114" w:lineRule="exact"/>
        <w:rPr>
          <w:sz w:val="20"/>
          <w:szCs w:val="20"/>
          <w:color w:val="auto"/>
        </w:rPr>
      </w:pPr>
    </w:p>
    <w:p>
      <w:pPr>
        <w:ind w:left="620" w:right="20"/>
        <w:spacing w:after="0" w:line="264" w:lineRule="auto"/>
        <w:rPr>
          <w:sz w:val="20"/>
          <w:szCs w:val="20"/>
          <w:color w:val="auto"/>
        </w:rPr>
      </w:pPr>
      <w:r>
        <w:rPr>
          <w:rFonts w:ascii="Times New Roman" w:cs="Times New Roman" w:eastAsia="Times New Roman" w:hAnsi="Times New Roman"/>
          <w:sz w:val="16"/>
          <w:szCs w:val="16"/>
          <w:color w:val="auto"/>
        </w:rPr>
        <w:t>Unless otherwise determined by the administrator in its sole discretion, no award (or any rights and obligations thereunder) granted to any person under the 2021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recipient only by the recipient or the recipient’s legal representative.</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Grants to Non-Employee Directors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Grants made to non-employee directors may be in any form other than incentive stock options. The 2021 Plan provides that in any calendar year,</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no non-employee director may be granted equity awards (including equity awards under the 2021 Plan) (the value of which will be based on their grant</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date fair value) and be provided any other compensation (including without limitation any cash retainers and fees) that in the aggregate exceed</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$750,000, provided that in the calendar year of the individual’s initial service as a non-employee director, such amount is increased to $1,000,000.</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Equity awards or other compensation for service as an employee, a consultant other than a non-employee director or as a member of the board of</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managers of Bakkt Trust will not count toward this limit.</w:t>
      </w:r>
    </w:p>
    <w:p>
      <w:pPr>
        <w:spacing w:after="0" w:line="2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Change in Control</w:t>
      </w:r>
    </w:p>
    <w:p>
      <w:pPr>
        <w:spacing w:after="0" w:line="114" w:lineRule="exact"/>
        <w:rPr>
          <w:sz w:val="20"/>
          <w:szCs w:val="20"/>
          <w:color w:val="auto"/>
        </w:rPr>
      </w:pPr>
    </w:p>
    <w:p>
      <w:pPr>
        <w:ind w:left="620" w:right="700"/>
        <w:spacing w:after="0" w:line="291" w:lineRule="auto"/>
        <w:rPr>
          <w:sz w:val="20"/>
          <w:szCs w:val="20"/>
          <w:color w:val="auto"/>
        </w:rPr>
      </w:pPr>
      <w:r>
        <w:rPr>
          <w:rFonts w:ascii="Times New Roman" w:cs="Times New Roman" w:eastAsia="Times New Roman" w:hAnsi="Times New Roman"/>
          <w:sz w:val="16"/>
          <w:szCs w:val="16"/>
          <w:color w:val="auto"/>
        </w:rPr>
        <w:t>The 2021 Plan provides that in the event of a change in control, as defined under the 2021 Plan, each outstanding award will be treated as the administrator determines, including accelerating the expiration or termination date or</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107</w:t>
      </w:r>
    </w:p>
    <w:p>
      <w:pPr>
        <w:sectPr>
          <w:pgSz w:w="11900" w:h="16838" w:orient="portrait"/>
          <w:cols w:equalWidth="0" w:num="1">
            <w:col w:w="10560"/>
          </w:cols>
          <w:pgMar w:left="320" w:top="453" w:right="1019" w:bottom="1440" w:gutter="0" w:footer="0" w:header="0"/>
        </w:sectPr>
      </w:pPr>
    </w:p>
    <w:bookmarkStart w:id="111" w:name="page112"/>
    <w:bookmarkEnd w:id="11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line="260" w:lineRule="auto"/>
        <w:rPr>
          <w:sz w:val="20"/>
          <w:szCs w:val="20"/>
          <w:color w:val="auto"/>
        </w:rPr>
      </w:pPr>
      <w:r>
        <w:rPr>
          <w:rFonts w:ascii="Times New Roman" w:cs="Times New Roman" w:eastAsia="Times New Roman" w:hAnsi="Times New Roman"/>
          <w:sz w:val="16"/>
          <w:szCs w:val="16"/>
          <w:color w:val="auto"/>
        </w:rPr>
        <w:t>the date of exercisability of an award, settling any award by means of a cash payment, or removing any restrictions from or imposing any additional restrictions on any outstanding awards. Notwithstanding the foregoing, and unless otherwise determined by the administrator (or unless otherwise provided in the applicable award agreement), in the event that a participant is terminated by the Company other than for Cause (as defined in the 2021 Plan) or by the participant for Good Reason (as defined in the 2021 Plan), in either case, on or within two years following a change in control, then each of the participant’s outstanding awards granted prior to the change in control will become fully vested, any restrictions thereon lapse and any risk of forfeiture thereon lapse, in each case, as to all of the shares of Company Common Stock subject to the award. In the event of a change in control, any outstanding awards subject to performance goals will be deemed earned at the greater of the target level and the actual performance level through the change in control date and will cease to be subject to any further performance conditions, but will continue to be subject to time-based vesting following the change in control in accordance with the original vesting period.</w:t>
      </w: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Amendment; Termination</w:t>
      </w:r>
    </w:p>
    <w:p>
      <w:pPr>
        <w:spacing w:after="0" w:line="114" w:lineRule="exact"/>
        <w:rPr>
          <w:sz w:val="20"/>
          <w:szCs w:val="20"/>
          <w:color w:val="auto"/>
        </w:rPr>
      </w:pPr>
    </w:p>
    <w:p>
      <w:pPr>
        <w:ind w:left="620" w:right="40"/>
        <w:spacing w:after="0" w:line="267" w:lineRule="auto"/>
        <w:rPr>
          <w:sz w:val="20"/>
          <w:szCs w:val="20"/>
          <w:color w:val="auto"/>
        </w:rPr>
      </w:pPr>
      <w:r>
        <w:rPr>
          <w:rFonts w:ascii="Times New Roman" w:cs="Times New Roman" w:eastAsia="Times New Roman" w:hAnsi="Times New Roman"/>
          <w:sz w:val="16"/>
          <w:szCs w:val="16"/>
          <w:color w:val="auto"/>
        </w:rPr>
        <w:t>The Company Board has the authority to amend the 2021 Plan from time to time; provided that such amendment does not materially adversely impair the rights of the recipient of any award without the recipient’s consent. Stockholder approval also is required to the extent necessary to comply with any applicable laws, regulations or rules of a securities exchange or self-regulatory agency. The Company Board has also reserved the right to terminate the 2021 Plan at any time. The 2021 Plan will automatically terminate in 2031.</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Forfeiture and Clawback</w:t>
      </w:r>
    </w:p>
    <w:p>
      <w:pPr>
        <w:spacing w:after="0" w:line="114" w:lineRule="exact"/>
        <w:rPr>
          <w:sz w:val="20"/>
          <w:szCs w:val="20"/>
          <w:color w:val="auto"/>
        </w:rPr>
      </w:pPr>
    </w:p>
    <w:p>
      <w:pPr>
        <w:ind w:left="620"/>
        <w:spacing w:after="0" w:line="291" w:lineRule="auto"/>
        <w:rPr>
          <w:sz w:val="20"/>
          <w:szCs w:val="20"/>
          <w:color w:val="auto"/>
        </w:rPr>
      </w:pPr>
      <w:r>
        <w:rPr>
          <w:rFonts w:ascii="Times New Roman" w:cs="Times New Roman" w:eastAsia="Times New Roman" w:hAnsi="Times New Roman"/>
          <w:sz w:val="16"/>
          <w:szCs w:val="16"/>
          <w:color w:val="auto"/>
        </w:rPr>
        <w:t>All awards granted under the 2021 Plan will be subject to any clawback or recapture policy that the Company may adopt from time to time, to the extent provided in such policy.</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Retirement Plans</w:t>
      </w:r>
    </w:p>
    <w:p>
      <w:pPr>
        <w:spacing w:after="0" w:line="114" w:lineRule="exact"/>
        <w:rPr>
          <w:sz w:val="20"/>
          <w:szCs w:val="20"/>
          <w:color w:val="auto"/>
        </w:rPr>
      </w:pPr>
    </w:p>
    <w:p>
      <w:pPr>
        <w:ind w:left="620" w:right="20"/>
        <w:spacing w:after="0" w:line="264" w:lineRule="auto"/>
        <w:rPr>
          <w:sz w:val="20"/>
          <w:szCs w:val="20"/>
          <w:color w:val="auto"/>
        </w:rPr>
      </w:pPr>
      <w:r>
        <w:rPr>
          <w:rFonts w:ascii="Times New Roman" w:cs="Times New Roman" w:eastAsia="Times New Roman" w:hAnsi="Times New Roman"/>
          <w:sz w:val="16"/>
          <w:szCs w:val="16"/>
          <w:color w:val="auto"/>
        </w:rPr>
        <w:t>All employees are eligible to participate in broad-based and comprehensive employee benefit programs, including medical, dental, vision, life and disability insurance and a 401(k) plan with matching contributions. Our named executive officers of are eligible to participate in these plans on the same basis as our other employees and do not participate in executive-level programs. We do not sponsor or maintain any deferred compensation or supplemental retirement plans in addition to our 401(k) plan. The 401(k) matching contributions earned by each named executive officer in fiscal 2020 and 2021 are shown in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under “</w:t>
      </w:r>
      <w:r>
        <w:rPr>
          <w:rFonts w:ascii="Times New Roman" w:cs="Times New Roman" w:eastAsia="Times New Roman" w:hAnsi="Times New Roman"/>
          <w:sz w:val="16"/>
          <w:szCs w:val="16"/>
          <w:i w:val="1"/>
          <w:iCs w:val="1"/>
          <w:color w:val="auto"/>
        </w:rPr>
        <w:t>Executive Compensation</w:t>
      </w:r>
      <w:r>
        <w:rPr>
          <w:rFonts w:ascii="Times New Roman" w:cs="Times New Roman" w:eastAsia="Times New Roman" w:hAnsi="Times New Roman"/>
          <w:sz w:val="16"/>
          <w:szCs w:val="16"/>
          <w:color w:val="auto"/>
        </w:rPr>
        <w:t>.”</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14"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The following table sets forth information regarding the total compensation awarded to, earned by or paid to our non-employee directors for their service on our Board, for the fiscal year ended December 31, 2021. None of our directors received any compensation prior to the Closing, other than Mr. Clifton for his service as interim Chief Executive Officer of Opco, which is described above. Directors who are also our employees receive no additional compensation for their service as directors. During 2021, Dr. Michael was an employee and an executive officer and therefore, did not receive compensation as a director. See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Narrative</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108</w:t>
      </w:r>
    </w:p>
    <w:p>
      <w:pPr>
        <w:sectPr>
          <w:pgSz w:w="11900" w:h="16838" w:orient="portrait"/>
          <w:cols w:equalWidth="0" w:num="1">
            <w:col w:w="10600"/>
          </w:cols>
          <w:pgMar w:left="320" w:top="453" w:right="979" w:bottom="1440" w:gutter="0" w:footer="0" w:header="0"/>
        </w:sectPr>
      </w:pPr>
    </w:p>
    <w:bookmarkStart w:id="112" w:name="page113"/>
    <w:bookmarkEnd w:id="11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Disclosure to Summary Compensation Table—Elements of Compensation</w:t>
      </w:r>
      <w:r>
        <w:rPr>
          <w:rFonts w:ascii="Times New Roman" w:cs="Times New Roman" w:eastAsia="Times New Roman" w:hAnsi="Times New Roman"/>
          <w:sz w:val="16"/>
          <w:szCs w:val="16"/>
          <w:color w:val="auto"/>
        </w:rPr>
        <w:t>” for additional information regarding Dr. Michael’s compensation.</w:t>
      </w:r>
    </w:p>
    <w:p>
      <w:pPr>
        <w:spacing w:after="0" w:line="214"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9"/>
              </w:rPr>
              <w:t>Fees Paid or</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2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6"/>
              </w:rPr>
              <w:t>All other</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Earned in</w:t>
            </w:r>
          </w:p>
        </w:tc>
        <w:tc>
          <w:tcPr>
            <w:tcW w:w="12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7"/>
              </w:rPr>
              <w:t>Stock Awards</w:t>
            </w: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26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1200" w:type="dxa"/>
            <w:vAlign w:val="bottom"/>
            <w:gridSpan w:val="2"/>
            <w:vMerge w:val="continue"/>
          </w:tcPr>
          <w:p>
            <w:pPr>
              <w:spacing w:after="0"/>
              <w:rPr>
                <w:sz w:val="11"/>
                <w:szCs w:val="11"/>
                <w:color w:val="auto"/>
              </w:rPr>
            </w:pPr>
          </w:p>
        </w:tc>
        <w:tc>
          <w:tcPr>
            <w:tcW w:w="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2920" w:type="dxa"/>
            <w:vAlign w:val="bottom"/>
            <w:vMerge w:val="restart"/>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Cash</w:t>
            </w:r>
          </w:p>
        </w:tc>
        <w:tc>
          <w:tcPr>
            <w:tcW w:w="122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6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20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4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7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440" w:type="dxa"/>
            <w:vAlign w:val="bottom"/>
          </w:tcPr>
          <w:p>
            <w:pPr>
              <w:spacing w:after="0"/>
              <w:rPr>
                <w:sz w:val="14"/>
                <w:szCs w:val="14"/>
                <w:color w:val="auto"/>
              </w:rPr>
            </w:pPr>
          </w:p>
        </w:tc>
        <w:tc>
          <w:tcPr>
            <w:tcW w:w="780" w:type="dxa"/>
            <w:vAlign w:val="bottom"/>
          </w:tcPr>
          <w:p>
            <w:pPr>
              <w:jc w:val="right"/>
              <w:ind w:right="122"/>
              <w:spacing w:after="0" w:line="145"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9"/>
                <w:szCs w:val="9"/>
                <w:b w:val="1"/>
                <w:bCs w:val="1"/>
                <w:color w:val="auto"/>
              </w:rPr>
              <w:t>(1) (2)</w:t>
            </w:r>
          </w:p>
        </w:tc>
        <w:tc>
          <w:tcPr>
            <w:tcW w:w="440" w:type="dxa"/>
            <w:vAlign w:val="bottom"/>
          </w:tcPr>
          <w:p>
            <w:pPr>
              <w:spacing w:after="0"/>
              <w:rPr>
                <w:sz w:val="14"/>
                <w:szCs w:val="14"/>
                <w:color w:val="auto"/>
              </w:rPr>
            </w:pPr>
          </w:p>
        </w:tc>
        <w:tc>
          <w:tcPr>
            <w:tcW w:w="840" w:type="dxa"/>
            <w:vAlign w:val="bottom"/>
          </w:tcPr>
          <w:p>
            <w:pPr>
              <w:ind w:left="340"/>
              <w:spacing w:after="0" w:line="145"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4"/>
                <w:szCs w:val="14"/>
                <w:color w:val="auto"/>
              </w:rPr>
            </w:pPr>
          </w:p>
        </w:tc>
        <w:tc>
          <w:tcPr>
            <w:tcW w:w="82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440" w:type="dxa"/>
            <w:vAlign w:val="bottom"/>
          </w:tcPr>
          <w:p>
            <w:pPr>
              <w:spacing w:after="0"/>
              <w:rPr>
                <w:sz w:val="14"/>
                <w:szCs w:val="14"/>
                <w:color w:val="auto"/>
              </w:rPr>
            </w:pPr>
          </w:p>
        </w:tc>
        <w:tc>
          <w:tcPr>
            <w:tcW w:w="7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4"/>
                <w:szCs w:val="14"/>
                <w:color w:val="auto"/>
              </w:rPr>
            </w:pPr>
          </w:p>
        </w:tc>
        <w:tc>
          <w:tcPr>
            <w:tcW w:w="600" w:type="dxa"/>
            <w:vAlign w:val="bottom"/>
          </w:tcPr>
          <w:p>
            <w:pPr>
              <w:jc w:val="right"/>
              <w:ind w:right="142"/>
              <w:spacing w:after="0" w:line="145"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260" w:type="dxa"/>
            <w:vAlign w:val="bottom"/>
            <w:tcBorders>
              <w:top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David Clifton</w:t>
            </w:r>
            <w:r>
              <w:rPr>
                <w:rFonts w:ascii="Times New Roman" w:cs="Times New Roman" w:eastAsia="Times New Roman" w:hAnsi="Times New Roman"/>
                <w:sz w:val="20"/>
                <w:szCs w:val="20"/>
                <w:color w:val="auto"/>
                <w:vertAlign w:val="superscript"/>
              </w:rPr>
              <w:t>(3)</w:t>
            </w:r>
          </w:p>
        </w:tc>
        <w:tc>
          <w:tcPr>
            <w:tcW w:w="700" w:type="dxa"/>
            <w:vAlign w:val="bottom"/>
            <w:tcBorders>
              <w:top w:val="single" w:sz="8" w:color="auto"/>
            </w:tcBorders>
            <w:shd w:val="clear" w:color="auto" w:fill="CCEEFF"/>
          </w:tcPr>
          <w:p>
            <w:pPr>
              <w:jc w:val="right"/>
              <w:ind w:right="4"/>
              <w:spacing w:after="0" w:line="181"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2"/>
              <w:spacing w:after="0" w:line="181"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ind w:left="6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4"/>
              <w:spacing w:after="0" w:line="181"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5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2"/>
              <w:spacing w:after="0" w:line="18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Sean Collins</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46,250</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93,000</w:t>
            </w:r>
          </w:p>
        </w:tc>
        <w:tc>
          <w:tcPr>
            <w:tcW w:w="12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Kristyn Cook</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13,750</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93,000</w:t>
            </w:r>
          </w:p>
        </w:tc>
        <w:tc>
          <w:tcPr>
            <w:tcW w:w="12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Michelle Goldberg</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18,000</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93,000</w:t>
            </w:r>
          </w:p>
        </w:tc>
        <w:tc>
          <w:tcPr>
            <w:tcW w:w="12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111,000</w:t>
            </w:r>
          </w:p>
        </w:tc>
        <w:tc>
          <w:tcPr>
            <w:tcW w:w="0" w:type="dxa"/>
            <w:vAlign w:val="bottom"/>
          </w:tcPr>
          <w:p>
            <w:pPr>
              <w:spacing w:after="0"/>
              <w:rPr>
                <w:sz w:val="1"/>
                <w:szCs w:val="1"/>
                <w:color w:val="auto"/>
              </w:rPr>
            </w:pPr>
          </w:p>
        </w:tc>
      </w:tr>
      <w:tr>
        <w:trPr>
          <w:trHeight w:val="19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Lumb</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18,750</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93,000</w:t>
            </w:r>
          </w:p>
        </w:tc>
        <w:tc>
          <w:tcPr>
            <w:tcW w:w="12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111,750</w:t>
            </w:r>
          </w:p>
        </w:tc>
        <w:tc>
          <w:tcPr>
            <w:tcW w:w="0" w:type="dxa"/>
            <w:vAlign w:val="bottom"/>
          </w:tcPr>
          <w:p>
            <w:pPr>
              <w:spacing w:after="0"/>
              <w:rPr>
                <w:sz w:val="1"/>
                <w:szCs w:val="1"/>
                <w:color w:val="auto"/>
              </w:rPr>
            </w:pPr>
          </w:p>
        </w:tc>
      </w:tr>
      <w:tr>
        <w:trPr>
          <w:trHeight w:val="196"/>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Andrew A. Main</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15,625</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93,000</w:t>
            </w:r>
          </w:p>
        </w:tc>
        <w:tc>
          <w:tcPr>
            <w:tcW w:w="12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Gordon Watson</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12,500</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93,000</w:t>
            </w:r>
          </w:p>
        </w:tc>
        <w:tc>
          <w:tcPr>
            <w:tcW w:w="12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020" w:right="100" w:hanging="397"/>
        <w:spacing w:after="0" w:line="260" w:lineRule="auto"/>
        <w:tabs>
          <w:tab w:leader="none" w:pos="10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represent the aggregate grant date fair value of restricted stock unit awards granted to each non-employee director, computed in accordance with FASB ASC Topic 718. See Note 11—Share-Based and Unit-Based Compensation to our audited consolidated financial statements included elsewhere in this prospectus for a discussion of the assumptions made by us in determining the grant-date fair value of our RSU awards to non-employee directors.</w:t>
      </w:r>
    </w:p>
    <w:p>
      <w:pPr>
        <w:spacing w:after="0" w:line="2"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these RSU awards were granted pursuant to the 2021 Plan.</w:t>
      </w:r>
    </w:p>
    <w:p>
      <w:pPr>
        <w:spacing w:after="0" w:line="12" w:lineRule="exact"/>
        <w:rPr>
          <w:rFonts w:ascii="Times New Roman" w:cs="Times New Roman" w:eastAsia="Times New Roman" w:hAnsi="Times New Roman"/>
          <w:sz w:val="16"/>
          <w:szCs w:val="16"/>
          <w:color w:val="auto"/>
        </w:rPr>
      </w:pPr>
    </w:p>
    <w:p>
      <w:pPr>
        <w:ind w:left="1020" w:right="160" w:hanging="397"/>
        <w:spacing w:after="0" w:line="263" w:lineRule="auto"/>
        <w:tabs>
          <w:tab w:leader="none" w:pos="10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only compensation received as a director. Mr. Clifton did not receive compensation from the Company for his service on our Board during fiscal year 2021 due to his affiliation with ICE. For information on Mr. Clifton’s compensation as interim Chief Executive Officer, please see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Narrative Disclosure to Summary Compensation Table—Elements of Compensation</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lists all outstanding equity awards held by non-employee directors as of December 31, 2021:</w:t>
      </w:r>
    </w:p>
    <w:p>
      <w:pPr>
        <w:spacing w:after="0" w:line="212"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80" w:type="dxa"/>
            <w:vAlign w:val="bottom"/>
            <w:gridSpan w:val="2"/>
          </w:tcPr>
          <w:p>
            <w:pPr>
              <w:jc w:val="center"/>
              <w:ind w:right="102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80" w:type="dxa"/>
            <w:vAlign w:val="bottom"/>
            <w:gridSpan w:val="2"/>
          </w:tcPr>
          <w:p>
            <w:pPr>
              <w:jc w:val="center"/>
              <w:ind w:right="10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06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4120" w:type="dxa"/>
            <w:vAlign w:val="bottom"/>
            <w:vMerge w:val="restart"/>
          </w:tcPr>
          <w:p>
            <w:pPr>
              <w:spacing w:after="0"/>
              <w:rPr>
                <w:sz w:val="11"/>
                <w:szCs w:val="11"/>
                <w:color w:val="auto"/>
              </w:rPr>
            </w:pPr>
          </w:p>
        </w:tc>
        <w:tc>
          <w:tcPr>
            <w:tcW w:w="2080" w:type="dxa"/>
            <w:vAlign w:val="bottom"/>
            <w:gridSpan w:val="2"/>
          </w:tcPr>
          <w:p>
            <w:pPr>
              <w:jc w:val="right"/>
              <w:ind w:right="10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Outstanding Stock</w:t>
            </w:r>
          </w:p>
        </w:tc>
        <w:tc>
          <w:tcPr>
            <w:tcW w:w="106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65"/>
        </w:trPr>
        <w:tc>
          <w:tcPr>
            <w:tcW w:w="340" w:type="dxa"/>
            <w:vAlign w:val="bottom"/>
            <w:tcBorders>
              <w:bottom w:val="single" w:sz="8" w:color="auto"/>
            </w:tcBorders>
            <w:vMerge w:val="continue"/>
          </w:tcPr>
          <w:p>
            <w:pPr>
              <w:spacing w:after="0"/>
              <w:rPr>
                <w:sz w:val="14"/>
                <w:szCs w:val="14"/>
                <w:color w:val="auto"/>
              </w:rPr>
            </w:pPr>
          </w:p>
        </w:tc>
        <w:tc>
          <w:tcPr>
            <w:tcW w:w="4120" w:type="dxa"/>
            <w:vAlign w:val="bottom"/>
            <w:vMerge w:val="continue"/>
          </w:tcPr>
          <w:p>
            <w:pPr>
              <w:spacing w:after="0"/>
              <w:rPr>
                <w:sz w:val="14"/>
                <w:szCs w:val="14"/>
                <w:color w:val="auto"/>
              </w:rPr>
            </w:pPr>
          </w:p>
        </w:tc>
        <w:tc>
          <w:tcPr>
            <w:tcW w:w="208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9"/>
                <w:szCs w:val="9"/>
                <w:b w:val="1"/>
                <w:bCs w:val="1"/>
                <w:color w:val="auto"/>
              </w:rPr>
              <w:t>(1)</w:t>
            </w:r>
          </w:p>
        </w:tc>
        <w:tc>
          <w:tcPr>
            <w:tcW w:w="106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0" w:type="dxa"/>
            <w:vAlign w:val="bottom"/>
          </w:tcPr>
          <w:p>
            <w:pPr>
              <w:spacing w:after="0"/>
              <w:rPr>
                <w:sz w:val="1"/>
                <w:szCs w:val="1"/>
                <w:color w:val="auto"/>
              </w:rPr>
            </w:pPr>
          </w:p>
        </w:tc>
      </w:tr>
      <w:tr>
        <w:trPr>
          <w:trHeight w:val="181"/>
        </w:trPr>
        <w:tc>
          <w:tcPr>
            <w:tcW w:w="4460" w:type="dxa"/>
            <w:vAlign w:val="bottom"/>
            <w:tcBorders>
              <w:top w:val="single" w:sz="8" w:color="CCEEFF"/>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David Clifton</w:t>
            </w:r>
            <w:r>
              <w:rPr>
                <w:rFonts w:ascii="Times New Roman" w:cs="Times New Roman" w:eastAsia="Times New Roman" w:hAnsi="Times New Roman"/>
                <w:sz w:val="20"/>
                <w:szCs w:val="20"/>
                <w:color w:val="auto"/>
                <w:vertAlign w:val="superscript"/>
              </w:rPr>
              <w:t>(2)</w:t>
            </w:r>
          </w:p>
        </w:tc>
        <w:tc>
          <w:tcPr>
            <w:tcW w:w="1040" w:type="dxa"/>
            <w:vAlign w:val="bottom"/>
            <w:tcBorders>
              <w:top w:val="single" w:sz="8" w:color="auto"/>
            </w:tcBorders>
            <w:shd w:val="clear" w:color="auto" w:fill="CCEEFF"/>
          </w:tcPr>
          <w:p>
            <w:pPr>
              <w:ind w:left="8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ind w:left="7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Sean Collins</w:t>
            </w:r>
          </w:p>
        </w:tc>
        <w:tc>
          <w:tcPr>
            <w:tcW w:w="2080" w:type="dxa"/>
            <w:vAlign w:val="bottom"/>
            <w:gridSpan w:val="2"/>
          </w:tcPr>
          <w:p>
            <w:pPr>
              <w:jc w:val="right"/>
              <w:ind w:right="1040"/>
              <w:spacing w:after="0"/>
              <w:rPr>
                <w:sz w:val="20"/>
                <w:szCs w:val="20"/>
                <w:color w:val="auto"/>
              </w:rPr>
            </w:pPr>
            <w:r>
              <w:rPr>
                <w:rFonts w:ascii="Times New Roman" w:cs="Times New Roman" w:eastAsia="Times New Roman" w:hAnsi="Times New Roman"/>
                <w:sz w:val="16"/>
                <w:szCs w:val="16"/>
                <w:color w:val="auto"/>
              </w:rPr>
              <w:t>10,000</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Kristyn Cook</w:t>
            </w:r>
          </w:p>
        </w:tc>
        <w:tc>
          <w:tcPr>
            <w:tcW w:w="208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6"/>
                <w:szCs w:val="16"/>
                <w:color w:val="auto"/>
              </w:rPr>
              <w:t>10,000</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Michelle Goldberg</w:t>
            </w:r>
          </w:p>
        </w:tc>
        <w:tc>
          <w:tcPr>
            <w:tcW w:w="2080" w:type="dxa"/>
            <w:vAlign w:val="bottom"/>
            <w:gridSpan w:val="2"/>
          </w:tcPr>
          <w:p>
            <w:pPr>
              <w:jc w:val="right"/>
              <w:ind w:right="1040"/>
              <w:spacing w:after="0"/>
              <w:rPr>
                <w:sz w:val="20"/>
                <w:szCs w:val="20"/>
                <w:color w:val="auto"/>
              </w:rPr>
            </w:pPr>
            <w:r>
              <w:rPr>
                <w:rFonts w:ascii="Times New Roman" w:cs="Times New Roman" w:eastAsia="Times New Roman" w:hAnsi="Times New Roman"/>
                <w:sz w:val="16"/>
                <w:szCs w:val="16"/>
                <w:color w:val="auto"/>
              </w:rPr>
              <w:t>10,000</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Lumb</w:t>
            </w:r>
          </w:p>
        </w:tc>
        <w:tc>
          <w:tcPr>
            <w:tcW w:w="208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6"/>
                <w:szCs w:val="16"/>
                <w:color w:val="auto"/>
              </w:rPr>
              <w:t>10,000</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Andrew A. Main</w:t>
            </w:r>
          </w:p>
        </w:tc>
        <w:tc>
          <w:tcPr>
            <w:tcW w:w="2080" w:type="dxa"/>
            <w:vAlign w:val="bottom"/>
            <w:gridSpan w:val="2"/>
          </w:tcPr>
          <w:p>
            <w:pPr>
              <w:jc w:val="right"/>
              <w:ind w:right="1040"/>
              <w:spacing w:after="0"/>
              <w:rPr>
                <w:sz w:val="20"/>
                <w:szCs w:val="20"/>
                <w:color w:val="auto"/>
              </w:rPr>
            </w:pPr>
            <w:r>
              <w:rPr>
                <w:rFonts w:ascii="Times New Roman" w:cs="Times New Roman" w:eastAsia="Times New Roman" w:hAnsi="Times New Roman"/>
                <w:sz w:val="16"/>
                <w:szCs w:val="16"/>
                <w:color w:val="auto"/>
              </w:rPr>
              <w:t>10,000</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Gordon Watson</w:t>
            </w:r>
          </w:p>
        </w:tc>
        <w:tc>
          <w:tcPr>
            <w:tcW w:w="208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6"/>
                <w:szCs w:val="16"/>
                <w:color w:val="auto"/>
              </w:rPr>
              <w:t>10,000</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020" w:hanging="397"/>
        <w:spacing w:after="0"/>
        <w:tabs>
          <w:tab w:leader="none" w:pos="10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RSUs shall vest in full on the date of the Company’s 2022 annual meeting of stockholders.</w:t>
      </w:r>
    </w:p>
    <w:p>
      <w:pPr>
        <w:spacing w:after="0" w:line="27" w:lineRule="exact"/>
        <w:rPr>
          <w:rFonts w:ascii="Times New Roman" w:cs="Times New Roman" w:eastAsia="Times New Roman" w:hAnsi="Times New Roman"/>
          <w:sz w:val="16"/>
          <w:szCs w:val="16"/>
          <w:color w:val="auto"/>
        </w:rPr>
      </w:pPr>
    </w:p>
    <w:p>
      <w:pPr>
        <w:ind w:left="1020" w:right="500" w:hanging="397"/>
        <w:spacing w:after="0" w:line="271" w:lineRule="auto"/>
        <w:tabs>
          <w:tab w:leader="none" w:pos="10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reflect the grant that Mr. Clifton received during his service as Opco’s interim Chief Executive Officer. For more information, see “</w:t>
      </w:r>
      <w:r>
        <w:rPr>
          <w:rFonts w:ascii="Times New Roman" w:cs="Times New Roman" w:eastAsia="Times New Roman" w:hAnsi="Times New Roman"/>
          <w:sz w:val="16"/>
          <w:szCs w:val="16"/>
          <w:i w:val="1"/>
          <w:iCs w:val="1"/>
          <w:color w:val="auto"/>
        </w:rPr>
        <w:t>Outstanding Equity Awards at Fiscal Year End</w:t>
      </w:r>
      <w:r>
        <w:rPr>
          <w:rFonts w:ascii="Times New Roman" w:cs="Times New Roman" w:eastAsia="Times New Roman" w:hAnsi="Times New Roman"/>
          <w:sz w:val="16"/>
          <w:szCs w:val="16"/>
          <w:color w:val="auto"/>
        </w:rPr>
        <w:t>” for Mr. Clifton’s outstanding equity awards as of December 31, 2021.</w:t>
      </w:r>
    </w:p>
    <w:p>
      <w:pPr>
        <w:spacing w:after="0" w:line="59" w:lineRule="exact"/>
        <w:rPr>
          <w:sz w:val="20"/>
          <w:szCs w:val="20"/>
          <w:color w:val="auto"/>
        </w:rPr>
      </w:pPr>
    </w:p>
    <w:p>
      <w:pPr>
        <w:ind w:left="620" w:right="140"/>
        <w:spacing w:after="0" w:line="273" w:lineRule="auto"/>
        <w:rPr>
          <w:sz w:val="20"/>
          <w:szCs w:val="20"/>
          <w:color w:val="auto"/>
        </w:rPr>
      </w:pPr>
      <w:r>
        <w:rPr>
          <w:rFonts w:ascii="Times New Roman" w:cs="Times New Roman" w:eastAsia="Times New Roman" w:hAnsi="Times New Roman"/>
          <w:sz w:val="16"/>
          <w:szCs w:val="16"/>
          <w:color w:val="auto"/>
        </w:rPr>
        <w:t>In connection with the Business Combination, we adopted a non-employee director compensation program (the “Outside Director Compensation Program”) based on recommendations and findings regarding comparable market practices, which were provided by Compensation Advisory Partners. The Outside Director Compensation Program provides for the following cash compensation program for our non-employee directors:</w:t>
      </w:r>
    </w:p>
    <w:p>
      <w:pPr>
        <w:spacing w:after="0" w:line="71" w:lineRule="exact"/>
        <w:rPr>
          <w:sz w:val="20"/>
          <w:szCs w:val="20"/>
          <w:color w:val="auto"/>
        </w:rPr>
      </w:pPr>
    </w:p>
    <w:p>
      <w:pPr>
        <w:ind w:left="1500" w:hanging="387"/>
        <w:spacing w:after="0"/>
        <w:tabs>
          <w:tab w:leader="none" w:pos="15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 per year for service as a non-employee director;</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$100,000 per year for service as non-executive chair of the Board of Directors;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$25,000 per year for service as chair of the audit committee;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$10,000 per year for service as a member of the audit committee;</w:t>
      </w:r>
    </w:p>
    <w:p>
      <w:pPr>
        <w:spacing w:after="0" w:line="1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109</w:t>
      </w:r>
    </w:p>
    <w:p>
      <w:pPr>
        <w:sectPr>
          <w:pgSz w:w="11900" w:h="16838" w:orient="portrait"/>
          <w:cols w:equalWidth="0" w:num="1">
            <w:col w:w="10620"/>
          </w:cols>
          <w:pgMar w:left="320" w:top="452" w:right="959" w:bottom="1440" w:gutter="0" w:footer="0" w:header="0"/>
        </w:sectPr>
      </w:pPr>
    </w:p>
    <w:bookmarkStart w:id="113" w:name="page114"/>
    <w:bookmarkEnd w:id="11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500" w:hanging="387"/>
        <w:spacing w:after="0"/>
        <w:tabs>
          <w:tab w:leader="none" w:pos="15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$20,000 per year for service as chair of the compensation committee;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$7,500 per year for service as a member of the compensation committee;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$12,000 per year for service as chair of the corporate governance and nominating committee;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 per year for service as a member of the corporate governance and nominating committee.</w:t>
      </w:r>
    </w:p>
    <w:p>
      <w:pPr>
        <w:spacing w:after="0" w:line="208" w:lineRule="exact"/>
        <w:rPr>
          <w:sz w:val="20"/>
          <w:szCs w:val="20"/>
          <w:color w:val="auto"/>
        </w:rPr>
      </w:pPr>
    </w:p>
    <w:p>
      <w:pPr>
        <w:ind w:left="620" w:right="100"/>
        <w:spacing w:after="0" w:line="263" w:lineRule="auto"/>
        <w:rPr>
          <w:sz w:val="20"/>
          <w:szCs w:val="20"/>
          <w:color w:val="auto"/>
        </w:rPr>
      </w:pPr>
      <w:r>
        <w:rPr>
          <w:rFonts w:ascii="Times New Roman" w:cs="Times New Roman" w:eastAsia="Times New Roman" w:hAnsi="Times New Roman"/>
          <w:sz w:val="16"/>
          <w:szCs w:val="16"/>
          <w:color w:val="auto"/>
        </w:rPr>
        <w:t>Each non-employee director who serves as a committee chair will receive only the cash retainer fee as the chair of the committee but not the cash retainer fee as a member of that committee, except that a non-employee director who serves as the non-executive chair of the Board will receive the annual cash fee for services provided in such role as well as the annual cash fee as a non-employee director. These fees to our non-employee directors are paid quarterly in arrears on a prorated basis. Under the Outside Director Compensation Program, we also reimburse non-employee directors for reasonable travel expenses to attend meetings of the Board and its committees. The above-listed fees for service as chair or members of committees are payable in addition to the annual non-employee director retainer fee.</w:t>
      </w:r>
    </w:p>
    <w:p>
      <w:pPr>
        <w:spacing w:after="0" w:line="163" w:lineRule="exact"/>
        <w:rPr>
          <w:sz w:val="20"/>
          <w:szCs w:val="20"/>
          <w:color w:val="auto"/>
        </w:rPr>
      </w:pPr>
    </w:p>
    <w:p>
      <w:pPr>
        <w:ind w:left="620"/>
        <w:spacing w:after="0" w:line="259" w:lineRule="auto"/>
        <w:rPr>
          <w:sz w:val="20"/>
          <w:szCs w:val="20"/>
          <w:color w:val="auto"/>
        </w:rPr>
      </w:pPr>
      <w:r>
        <w:rPr>
          <w:rFonts w:ascii="Times New Roman" w:cs="Times New Roman" w:eastAsia="Times New Roman" w:hAnsi="Times New Roman"/>
          <w:sz w:val="16"/>
          <w:szCs w:val="16"/>
          <w:color w:val="auto"/>
        </w:rPr>
        <w:t>Each non-employee director will automatically receive, on the date of each annual meeting of our stockholders, an annual award (the “Annual Equity Award”) of restricted stock units having a value of $200,000. Each Annual Equity Award is expected to be scheduled to vest on the one-year anniversary of the grant date, subject to continued services to us through the applicable vesting date. In the event of a change in control of the Company, as defined in the 2021 Plan, each non-employee director’s then outstanding equity awards covering the Company’s Class A Common Stock are expected to accelerate vesting in full, provided that he or she remains a non-employee director through the date of the consummation of such change in control. With respect to outstanding equity awards that are subject to performance-based vesting, all performance goals or other vesting criteria will be deemed achieved at 100% of target levels and all other terms and conditions met unless otherwise provided in a separate agreement. Each Annual Equity Award is expected to be granted under the 2021 Plan and form of award agreement under such plan. We may allow non-employee directors to elect to receive all or a portion of the annual cash retainer fees in the form of restricted stock units. All compensation payable under the Outside Director Compensation Program is expected to be subject to any limits on the maximum amount of non-employee director compensation as set forth in the 2021 Plan.</w:t>
      </w:r>
    </w:p>
    <w:p>
      <w:pPr>
        <w:spacing w:after="0" w:line="2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Executive Compensation Prior to the Business Combination</w:t>
      </w:r>
    </w:p>
    <w:p>
      <w:pPr>
        <w:spacing w:after="0" w:line="114" w:lineRule="exact"/>
        <w:rPr>
          <w:sz w:val="20"/>
          <w:szCs w:val="20"/>
          <w:color w:val="auto"/>
        </w:rPr>
      </w:pPr>
    </w:p>
    <w:p>
      <w:pPr>
        <w:ind w:left="620" w:right="20"/>
        <w:spacing w:after="0" w:line="263" w:lineRule="auto"/>
        <w:rPr>
          <w:sz w:val="20"/>
          <w:szCs w:val="20"/>
          <w:color w:val="auto"/>
        </w:rPr>
      </w:pPr>
      <w:r>
        <w:rPr>
          <w:rFonts w:ascii="Times New Roman" w:cs="Times New Roman" w:eastAsia="Times New Roman" w:hAnsi="Times New Roman"/>
          <w:sz w:val="16"/>
          <w:szCs w:val="16"/>
          <w:color w:val="auto"/>
        </w:rPr>
        <w:t>Prior to the consummation of the Business Combination, none of the officers or directors of VIH received any compensation for services rendered to VIH. Until the consummation of the Business Combination, VIH paid an affiliate of the Sponsor a total of $10,000 per month for office space, administrative and support services. Prior to the consummation of the Business Combination, the Sponsor, officers and directors, and their respective affiliates, were reimbursed for any out-of-pocket expenses incurred in connection with activities on behalf of VIH, such as identifying potential target businesses and performing due diligence on suitable business combinations. VIH’s audit committee reviewed on a quarterly basis all payments that were made to the Sponsor, officers, directors or VIH’s or its affiliates.</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110</w:t>
      </w:r>
    </w:p>
    <w:p>
      <w:pPr>
        <w:sectPr>
          <w:pgSz w:w="11900" w:h="16838" w:orient="portrait"/>
          <w:cols w:equalWidth="0" w:num="1">
            <w:col w:w="10620"/>
          </w:cols>
          <w:pgMar w:left="320" w:top="452" w:right="959" w:bottom="1440" w:gutter="0" w:footer="0" w:header="0"/>
        </w:sectPr>
      </w:pPr>
    </w:p>
    <w:bookmarkStart w:id="114" w:name="page115"/>
    <w:bookmarkEnd w:id="11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is a description of each transaction since January 1, 2019, and each currently proposed transaction, in which:</w:t>
      </w:r>
    </w:p>
    <w:p>
      <w:pPr>
        <w:spacing w:after="0" w:line="122" w:lineRule="exact"/>
        <w:rPr>
          <w:sz w:val="20"/>
          <w:szCs w:val="20"/>
          <w:color w:val="auto"/>
        </w:rPr>
      </w:pPr>
    </w:p>
    <w:p>
      <w:pPr>
        <w:ind w:left="1500" w:hanging="387"/>
        <w:spacing w:after="0"/>
        <w:tabs>
          <w:tab w:leader="none" w:pos="15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were or are to be, or the Company or Opco was, a participant;</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involved exceeded or exceeds $120,000;</w:t>
      </w:r>
    </w:p>
    <w:p>
      <w:pPr>
        <w:spacing w:after="0" w:line="122" w:lineRule="exact"/>
        <w:rPr>
          <w:rFonts w:ascii="Times New Roman" w:cs="Times New Roman" w:eastAsia="Times New Roman" w:hAnsi="Times New Roman"/>
          <w:sz w:val="16"/>
          <w:szCs w:val="16"/>
          <w:color w:val="auto"/>
        </w:rPr>
      </w:pPr>
    </w:p>
    <w:p>
      <w:pPr>
        <w:jc w:val="both"/>
        <w:ind w:left="1500" w:right="240" w:hanging="387"/>
        <w:spacing w:after="0" w:line="273" w:lineRule="auto"/>
        <w:tabs>
          <w:tab w:leader="none" w:pos="15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the Company’s or Opco’s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Company Related Person Transactions</w:t>
      </w:r>
    </w:p>
    <w:p>
      <w:pPr>
        <w:spacing w:after="0" w:line="114"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color w:val="auto"/>
        </w:rPr>
        <w:t>In August 2020, the Sponsor purchased 5,750,000 Class B Ordinary Shares for an aggregate purchase price of $25,000, or approximately $0.004 per share. In September 2020, the Sponsor transferred an aggregate of 60,000 Class B Ordinary Shares to then members of the Board, resulting in the Sponsor holding 5,690,000 Class B Ordinary Shares. As a result of the underwriters’ not exercising the over-allotment option in full in connection with the IPO, the Sponsor forfeited 585,700 Class B Ordinary Shares, resulting in an aggregate of 5,184,300 Class B Ordinary Shares issued and outstanding. In connection with the closing of the Business Combination, such Class B Ordinary Shares automatically converted into shares of Class A Common Stock on a one-for-one basis.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Sponsor purchased an aggregate of 6,147,440 Private Placement Warrants, at a price of $1.00 per warrant for an aggregate purchase price of</w:t>
      </w:r>
    </w:p>
    <w:p>
      <w:pPr>
        <w:spacing w:after="0" w:line="28" w:lineRule="exact"/>
        <w:rPr>
          <w:sz w:val="20"/>
          <w:szCs w:val="20"/>
          <w:color w:val="auto"/>
        </w:rPr>
      </w:pPr>
    </w:p>
    <w:p>
      <w:pPr>
        <w:ind w:left="620" w:right="100"/>
        <w:spacing w:after="0" w:line="259" w:lineRule="auto"/>
        <w:rPr>
          <w:sz w:val="20"/>
          <w:szCs w:val="20"/>
          <w:color w:val="auto"/>
        </w:rPr>
      </w:pPr>
      <w:r>
        <w:rPr>
          <w:rFonts w:ascii="Times New Roman" w:cs="Times New Roman" w:eastAsia="Times New Roman" w:hAnsi="Times New Roman"/>
          <w:sz w:val="16"/>
          <w:szCs w:val="16"/>
          <w:color w:val="auto"/>
        </w:rPr>
        <w:t>$6,147,440 in a private placement that closed simultaneously with the closing of the IPO. Prior to the Domestication, each Private Placement Warrant entitled the holder upon exercise to purchase one Class A Ordinary Share at a price of $11.50 per share, subject to adjustment. On November 17, 2021, in accordance with the terms of the Warrant Agreement, the Company issued and delivered 3,967,362 Private Warrant Shares to the Sponsor in satisfaction of the “cashless exercise” of all 6,147,440 of the Private Placement Warrants. The Company received no consideration from the delivery of the Private Warrant Shares.</w:t>
      </w:r>
    </w:p>
    <w:p>
      <w:pPr>
        <w:spacing w:after="0" w:line="168" w:lineRule="exact"/>
        <w:rPr>
          <w:sz w:val="20"/>
          <w:szCs w:val="20"/>
          <w:color w:val="auto"/>
        </w:rPr>
      </w:pPr>
    </w:p>
    <w:p>
      <w:pPr>
        <w:ind w:left="620" w:right="160"/>
        <w:spacing w:after="0" w:line="264" w:lineRule="auto"/>
        <w:rPr>
          <w:sz w:val="20"/>
          <w:szCs w:val="20"/>
          <w:color w:val="auto"/>
        </w:rPr>
      </w:pPr>
      <w:r>
        <w:rPr>
          <w:rFonts w:ascii="Times New Roman" w:cs="Times New Roman" w:eastAsia="Times New Roman" w:hAnsi="Times New Roman"/>
          <w:sz w:val="16"/>
          <w:szCs w:val="16"/>
          <w:color w:val="auto"/>
        </w:rPr>
        <w:t>The Company entered into an Administrative Services Agreement with the Sponsor pursuant to which the Company paid a total of $10,000 per month for office space, administrative and support services to such affiliate. The Sponsor, officers and directors of the Company, or any of their respective affiliates, were entitled to reimbursement for any out-of-pocket expenses incurred in connection with activities on behalf of the Company, such as identifying potential target businesses and performing due diligence on suitable business combinations. There was no cap or ceiling on the reimbursement of out-of-pocket expenses incurred by such persons in connection with activities on behalf of the Company.</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Sponsor loaned the Company $82,729, which was used for a portion of the expenses of the IPO. This loan was repaid upon the closing of the IPO.</w:t>
      </w:r>
    </w:p>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Insider Letter Agreement</w:t>
      </w:r>
    </w:p>
    <w:p>
      <w:pPr>
        <w:spacing w:after="0" w:line="114" w:lineRule="exact"/>
        <w:rPr>
          <w:sz w:val="20"/>
          <w:szCs w:val="20"/>
          <w:color w:val="auto"/>
        </w:rPr>
      </w:pPr>
    </w:p>
    <w:p>
      <w:pPr>
        <w:jc w:val="both"/>
        <w:ind w:left="620" w:right="260"/>
        <w:spacing w:after="0" w:line="273" w:lineRule="auto"/>
        <w:rPr>
          <w:sz w:val="20"/>
          <w:szCs w:val="20"/>
          <w:color w:val="auto"/>
        </w:rPr>
      </w:pPr>
      <w:r>
        <w:rPr>
          <w:rFonts w:ascii="Times New Roman" w:cs="Times New Roman" w:eastAsia="Times New Roman" w:hAnsi="Times New Roman"/>
          <w:sz w:val="16"/>
          <w:szCs w:val="16"/>
          <w:color w:val="auto"/>
        </w:rPr>
        <w:t>On September 22, 2020, the Sponsor, the Company, and the Insiders entered into a letter agreement (as amended, the “Insider Letter Agreement”) in relation to the IPO. Simultaneously with the execution of the Merger Agreement, on January 11, 2021, the Insider Letter Agreement was amended to add Opco as a party and include certain provisions with respect to the Merger Agreement.</w:t>
      </w:r>
    </w:p>
    <w:p>
      <w:pPr>
        <w:spacing w:after="0" w:line="157" w:lineRule="exact"/>
        <w:rPr>
          <w:sz w:val="20"/>
          <w:szCs w:val="20"/>
          <w:color w:val="auto"/>
        </w:rPr>
      </w:pPr>
    </w:p>
    <w:p>
      <w:pPr>
        <w:jc w:val="both"/>
        <w:ind w:left="620" w:right="240"/>
        <w:spacing w:after="0" w:line="291" w:lineRule="auto"/>
        <w:rPr>
          <w:sz w:val="20"/>
          <w:szCs w:val="20"/>
          <w:color w:val="auto"/>
        </w:rPr>
      </w:pPr>
      <w:r>
        <w:rPr>
          <w:rFonts w:ascii="Times New Roman" w:cs="Times New Roman" w:eastAsia="Times New Roman" w:hAnsi="Times New Roman"/>
          <w:sz w:val="16"/>
          <w:szCs w:val="16"/>
          <w:color w:val="auto"/>
        </w:rPr>
        <w:t>Pursuant to the Insider Letter Agreement, the Sponsor and the Insiders agreed to waive certain anti-dilution rights under the Company’s Cayman-law constitutional documents that otherwise may have been triggered upon the completion of the transactions contemplated by the Merger Agreement.</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111</w:t>
      </w:r>
    </w:p>
    <w:p>
      <w:pPr>
        <w:sectPr>
          <w:pgSz w:w="11900" w:h="16838" w:orient="portrait"/>
          <w:cols w:equalWidth="0" w:num="1">
            <w:col w:w="10600"/>
          </w:cols>
          <w:pgMar w:left="320" w:top="453" w:right="979" w:bottom="1440" w:gutter="0" w:footer="0" w:header="0"/>
        </w:sectPr>
      </w:pPr>
    </w:p>
    <w:bookmarkStart w:id="115" w:name="page116"/>
    <w:bookmarkEnd w:id="11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20"/>
        <w:spacing w:after="0" w:line="264" w:lineRule="auto"/>
        <w:rPr>
          <w:sz w:val="20"/>
          <w:szCs w:val="20"/>
          <w:color w:val="auto"/>
        </w:rPr>
      </w:pPr>
      <w:r>
        <w:rPr>
          <w:rFonts w:ascii="Times New Roman" w:cs="Times New Roman" w:eastAsia="Times New Roman" w:hAnsi="Times New Roman"/>
          <w:sz w:val="16"/>
          <w:szCs w:val="16"/>
          <w:color w:val="auto"/>
        </w:rPr>
        <w:t>The Sponsor and Insiders also agreed not to transfer, assign or sell any of their Class A Common Stock until the earlier of (a) one year following the Closing and (b) subsequent to the Closing, (i) if the closing price of the Class A Common Stock equals or exceeds $12.00 per share (subject to adjustment) for any 20 trading days within any 30-trading day period commencing at least 150 days after the Closing or (ii) the date on which we complete a liquidation, merger amalgamation, capital stock exchange, reorganization or other similar transaction that results in all of the holders of our Class A Common Stock having the right to exchange their Class A Common Stock for cash, securities or other property.</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Opco Related Person Transactions</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Transition Services Agreement</w:t>
      </w:r>
    </w:p>
    <w:p>
      <w:pPr>
        <w:spacing w:after="0" w:line="114"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On November 10, 2021, Opco entered into the Transition Services Agreement, which provides for the transition to Opco of services previously provided by ICE to Opco, including technology and data center services. These services historically were provided under the ISA, which was amended, restated and superseded by the Transition Services Agreement. The Transition Services Agreement is expected to remain in place through June 2023, with the possibility to be extended until December 31, 2023.</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Triparty Agreement</w:t>
      </w:r>
    </w:p>
    <w:p>
      <w:pPr>
        <w:spacing w:after="0" w:line="114"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On August 29, 2019, Bakkt Trust entered the Triparty Agreement with IFUS and ICUS, which the parties amended on September 11, 2019, December 5, 2019, July 14, 2020 and February 3, 2021. Pursuant to the Triparty Agreement, IFUS provides services related to the listing for trading one or more digital currency futures and/or options contracts, ICUS provides clearing and related services for such contracts and Bakkt Trust provides certain custody, settlement and ancillary services relating to digital currencies.</w:t>
      </w:r>
    </w:p>
    <w:p>
      <w:pPr>
        <w:spacing w:after="0" w:line="162" w:lineRule="exact"/>
        <w:rPr>
          <w:sz w:val="20"/>
          <w:szCs w:val="20"/>
          <w:color w:val="auto"/>
        </w:rPr>
      </w:pPr>
    </w:p>
    <w:p>
      <w:pPr>
        <w:ind w:left="620"/>
        <w:spacing w:after="0" w:line="291" w:lineRule="auto"/>
        <w:rPr>
          <w:sz w:val="20"/>
          <w:szCs w:val="20"/>
          <w:color w:val="auto"/>
        </w:rPr>
      </w:pPr>
      <w:r>
        <w:rPr>
          <w:rFonts w:ascii="Times New Roman" w:cs="Times New Roman" w:eastAsia="Times New Roman" w:hAnsi="Times New Roman"/>
          <w:sz w:val="16"/>
          <w:szCs w:val="16"/>
          <w:color w:val="auto"/>
        </w:rPr>
        <w:t>Pursuant to the Triparty Agreement, all revenues of IFUS and ICUS with respect to the trading and clearing of digital currency contracts, after deduction of any applicable rebates and liquidity payments, are remitted to us.</w:t>
      </w:r>
    </w:p>
    <w:p>
      <w:pPr>
        <w:spacing w:after="0" w:line="142" w:lineRule="exact"/>
        <w:rPr>
          <w:sz w:val="20"/>
          <w:szCs w:val="20"/>
          <w:color w:val="auto"/>
        </w:rPr>
      </w:pPr>
    </w:p>
    <w:p>
      <w:pPr>
        <w:ind w:left="620" w:right="20"/>
        <w:spacing w:after="0" w:line="263" w:lineRule="auto"/>
        <w:rPr>
          <w:sz w:val="20"/>
          <w:szCs w:val="20"/>
          <w:color w:val="auto"/>
        </w:rPr>
      </w:pPr>
      <w:r>
        <w:rPr>
          <w:rFonts w:ascii="Times New Roman" w:cs="Times New Roman" w:eastAsia="Times New Roman" w:hAnsi="Times New Roman"/>
          <w:sz w:val="16"/>
          <w:szCs w:val="16"/>
          <w:color w:val="auto"/>
        </w:rPr>
        <w:t>Opco entered into the Singapore Triparty Agreement with IFS and ICS on March 11, 2020, in connection with certain bitcoin cash-settled futures contract traded on IFS. Pursuant to the Singapore Triparty Agreement, IFS provides services related to the listing for trading one or more cash-settled digital currency futures and/or options contracts (“digital currency contracts”), ICSG provides clearing and related services for such contracts, and Opco licenses certain trademarks and information and provides certain ancillary services relating to digital currencies. Pursuant to the Singapore Triparty Agreement, 35% of the revenues of IFS and ICS with respect to the trading and clearing of digital currency contracts, after deduction of any applicable rebates and liquidity payments, are remitted to us. To date, no revenues have been generated under the Singapore Triparty Agreement.</w:t>
      </w: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Insider Letter Agreement</w:t>
      </w:r>
    </w:p>
    <w:p>
      <w:pPr>
        <w:spacing w:after="0" w:line="112" w:lineRule="exact"/>
        <w:rPr>
          <w:sz w:val="20"/>
          <w:szCs w:val="20"/>
          <w:color w:val="auto"/>
        </w:rPr>
      </w:pPr>
    </w:p>
    <w:p>
      <w:pPr>
        <w:ind w:left="620" w:right="240"/>
        <w:spacing w:after="0" w:line="294" w:lineRule="auto"/>
        <w:rPr>
          <w:sz w:val="20"/>
          <w:szCs w:val="20"/>
          <w:color w:val="auto"/>
        </w:rPr>
      </w:pPr>
      <w:r>
        <w:rPr>
          <w:rFonts w:ascii="Times New Roman" w:cs="Times New Roman" w:eastAsia="Times New Roman" w:hAnsi="Times New Roman"/>
          <w:sz w:val="16"/>
          <w:szCs w:val="16"/>
          <w:color w:val="auto"/>
        </w:rPr>
        <w:t>Simultaneously with the execution of the Merger Agreement, Opco became a party to the Inside Letter Agreement, as described in more detail in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Company Related Person Transactions—Insider Letter Agreement</w:t>
      </w:r>
      <w:r>
        <w:rPr>
          <w:rFonts w:ascii="Times New Roman" w:cs="Times New Roman" w:eastAsia="Times New Roman" w:hAnsi="Times New Roman"/>
          <w:sz w:val="16"/>
          <w:szCs w:val="16"/>
          <w:color w:val="auto"/>
        </w:rPr>
        <w:t>.”</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Transactions Related to the Business Combination</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Opco LLC Agreement</w:t>
      </w:r>
    </w:p>
    <w:p>
      <w:pPr>
        <w:spacing w:after="0" w:line="114" w:lineRule="exact"/>
        <w:rPr>
          <w:sz w:val="20"/>
          <w:szCs w:val="20"/>
          <w:color w:val="auto"/>
        </w:rPr>
      </w:pPr>
    </w:p>
    <w:p>
      <w:pPr>
        <w:ind w:left="620" w:right="200"/>
        <w:spacing w:after="0" w:line="267" w:lineRule="auto"/>
        <w:rPr>
          <w:sz w:val="20"/>
          <w:szCs w:val="20"/>
          <w:color w:val="auto"/>
        </w:rPr>
      </w:pPr>
      <w:r>
        <w:rPr>
          <w:rFonts w:ascii="Times New Roman" w:cs="Times New Roman" w:eastAsia="Times New Roman" w:hAnsi="Times New Roman"/>
          <w:sz w:val="16"/>
          <w:szCs w:val="16"/>
          <w:color w:val="auto"/>
        </w:rPr>
        <w:t>At the Closing, the existing second amended and restated limited liability company agreement of Opco was amended and restated in its entirety in accordance with its terms, and the Opco LLC Agreement was adopted. The Company, as the managing member of Opco, has the sole vote on matters that require a vote of members under the Opco LLC Agreement or applicable law, except that holders constituting the Required Interest have certain consent rights. “Required Interest” means one or more members (excluding the managing member)</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112</w:t>
      </w:r>
    </w:p>
    <w:p>
      <w:pPr>
        <w:sectPr>
          <w:pgSz w:w="11900" w:h="16838" w:orient="portrait"/>
          <w:cols w:equalWidth="0" w:num="1">
            <w:col w:w="10600"/>
          </w:cols>
          <w:pgMar w:left="320" w:top="452" w:right="979" w:bottom="1440" w:gutter="0" w:footer="0" w:header="0"/>
        </w:sectPr>
      </w:pPr>
    </w:p>
    <w:bookmarkStart w:id="116" w:name="page117"/>
    <w:bookmarkEnd w:id="11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40"/>
        <w:spacing w:after="0" w:line="260" w:lineRule="auto"/>
        <w:rPr>
          <w:sz w:val="20"/>
          <w:szCs w:val="20"/>
          <w:color w:val="auto"/>
        </w:rPr>
      </w:pPr>
      <w:r>
        <w:rPr>
          <w:rFonts w:ascii="Times New Roman" w:cs="Times New Roman" w:eastAsia="Times New Roman" w:hAnsi="Times New Roman"/>
          <w:sz w:val="16"/>
          <w:szCs w:val="16"/>
          <w:color w:val="auto"/>
        </w:rPr>
        <w:t>holding a majority of the Opco Common Units then owned by all of the members, excluding the Opco Common Units held by the managing member or any members controlled by the managing member (unless no person other than the managing member holds Opco Common Units, then the Required Interest will be the managing member). For example, the managing member may not, without the prior written consent of a Required Interest, engage in any transaction that results in the direct or indirect transfer of all or any portion of the managing member’s interest in Opco in connection with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Opco, subject to certain exceptions.</w:t>
      </w:r>
    </w:p>
    <w:p>
      <w:pPr>
        <w:spacing w:after="0" w:line="170" w:lineRule="exact"/>
        <w:rPr>
          <w:sz w:val="20"/>
          <w:szCs w:val="20"/>
          <w:color w:val="auto"/>
        </w:rPr>
      </w:pPr>
    </w:p>
    <w:p>
      <w:pPr>
        <w:ind w:left="620" w:right="240"/>
        <w:spacing w:after="0" w:line="273" w:lineRule="auto"/>
        <w:rPr>
          <w:sz w:val="20"/>
          <w:szCs w:val="20"/>
          <w:color w:val="auto"/>
        </w:rPr>
      </w:pPr>
      <w:r>
        <w:rPr>
          <w:rFonts w:ascii="Times New Roman" w:cs="Times New Roman" w:eastAsia="Times New Roman" w:hAnsi="Times New Roman"/>
          <w:sz w:val="16"/>
          <w:szCs w:val="16"/>
          <w:color w:val="auto"/>
        </w:rPr>
        <w:t>We, as managing member of Opco, may, in our sole discretion, authorize distributions to the Opco members. All such distributions must be made pro rata in accordance with each member’s interest in Opco, which is based on the number of Opco Common Units held by a member bears to the total number of Opco Common Units owned by all of the members.</w:t>
      </w:r>
    </w:p>
    <w:p>
      <w:pPr>
        <w:spacing w:after="0" w:line="157"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The Opco LLC Agreement provides for tax-related cash distributions to the holders of Opco Common Units (“tax distributions”). Generally, tax distributions will be the pro rata distribution amount necessary to permit the Company to receive an aggregate annual tax distribution that is not less than the sum of (a) our U.S. federal, state, local and non-U.S. income tax liabilities plus (b) the amount necessary to satisfy our payment obligations pursuant to the Tax Receivable Agreement.</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Rights Agreement</w:t>
      </w:r>
    </w:p>
    <w:p>
      <w:pPr>
        <w:spacing w:after="0" w:line="114" w:lineRule="exact"/>
        <w:rPr>
          <w:sz w:val="20"/>
          <w:szCs w:val="20"/>
          <w:color w:val="auto"/>
        </w:rPr>
      </w:pPr>
    </w:p>
    <w:p>
      <w:pPr>
        <w:ind w:left="620" w:right="40"/>
        <w:spacing w:after="0" w:line="260" w:lineRule="auto"/>
        <w:rPr>
          <w:sz w:val="20"/>
          <w:szCs w:val="20"/>
          <w:color w:val="auto"/>
        </w:rPr>
      </w:pPr>
      <w:r>
        <w:rPr>
          <w:rFonts w:ascii="Times New Roman" w:cs="Times New Roman" w:eastAsia="Times New Roman" w:hAnsi="Times New Roman"/>
          <w:sz w:val="16"/>
          <w:szCs w:val="16"/>
          <w:color w:val="auto"/>
        </w:rPr>
        <w:t>Concurrently with the Closing, we entered into a Registration Rights Agreement (the “Registration Rights Agreement”) with the Sponsor, the Opco Equity Holders and certain other parties named therein. Pursuant to the Registration Rights Agreement, we are obligated to file a registration statement covering the resale of registrable securities held by the Opco Equity Holders as soon as practicable after the Closing, but in any event within 30 days after the Closing, such that the holders of such registrable securities may from time to time sell such securities. We have provided the holders of registrable securities under the Registration Rights Agreement with certain underwritten offering demand rights, provided that the demanding holders in the aggregate hold at least $50.0 million of registrable securities. The holders of registrable securities will have certain rights to require us to register the resale of registrable securities on Form S-3, if available for use by us. The holders of registrable securities will be entitled to certain customary “piggyback” registration rights on all registration statements of ours.</w:t>
      </w:r>
    </w:p>
    <w:p>
      <w:pPr>
        <w:spacing w:after="0" w:line="170" w:lineRule="exact"/>
        <w:rPr>
          <w:sz w:val="20"/>
          <w:szCs w:val="20"/>
          <w:color w:val="auto"/>
        </w:rPr>
      </w:pPr>
    </w:p>
    <w:p>
      <w:pPr>
        <w:ind w:left="620" w:right="20"/>
        <w:spacing w:after="0" w:line="267" w:lineRule="auto"/>
        <w:rPr>
          <w:sz w:val="20"/>
          <w:szCs w:val="20"/>
          <w:color w:val="auto"/>
        </w:rPr>
      </w:pPr>
      <w:r>
        <w:rPr>
          <w:rFonts w:ascii="Times New Roman" w:cs="Times New Roman" w:eastAsia="Times New Roman" w:hAnsi="Times New Roman"/>
          <w:sz w:val="16"/>
          <w:szCs w:val="16"/>
          <w:color w:val="auto"/>
        </w:rPr>
        <w:t>Under the Registration Rights Agreement, we agreed to indemnify the holders of registrable securities and certain third parties against any losses or damages resulting from any untrue statement or omission of a material fact in any registration statement or prospectus pursuant to which they sell shares of the Company. Holders of registrable securities agreed to indemnify us and our officers and directors and controlling persons against all losses caused by their misstatements or omissions in any such registration statement or prospectus.</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Stockholders Agreement</w:t>
      </w:r>
    </w:p>
    <w:p>
      <w:pPr>
        <w:spacing w:after="0" w:line="114" w:lineRule="exact"/>
        <w:rPr>
          <w:sz w:val="20"/>
          <w:szCs w:val="20"/>
          <w:color w:val="auto"/>
        </w:rPr>
      </w:pPr>
    </w:p>
    <w:p>
      <w:pPr>
        <w:ind w:left="620" w:right="60"/>
        <w:spacing w:after="0" w:line="266" w:lineRule="auto"/>
        <w:rPr>
          <w:sz w:val="20"/>
          <w:szCs w:val="20"/>
          <w:color w:val="auto"/>
        </w:rPr>
      </w:pPr>
      <w:r>
        <w:rPr>
          <w:rFonts w:ascii="Times New Roman" w:cs="Times New Roman" w:eastAsia="Times New Roman" w:hAnsi="Times New Roman"/>
          <w:sz w:val="16"/>
          <w:szCs w:val="16"/>
          <w:color w:val="auto"/>
        </w:rPr>
        <w:t>At the Closing, we, the Sponsor and the Opco Equity Holders entered into a Stockholders Agreement (the “Stockholders Agreement”), pursuant to which such parties caused the initial Board to be comprised of eight directors, (i) one of whom was designated by the Sponsor, (ii) one of whom was designated by Opco and (iii) the remainder of whom were jointly designated by the Sponsor and Opco, and a majority of whom qualified as “independent directors” under NYSE listing rules, with the directors being divided into three (3) classes, with each class serving for staggered three (3)-year terms.</w:t>
      </w:r>
    </w:p>
    <w:p>
      <w:pPr>
        <w:spacing w:after="0" w:line="361" w:lineRule="exact"/>
        <w:rPr>
          <w:sz w:val="20"/>
          <w:szCs w:val="20"/>
          <w:color w:val="auto"/>
        </w:rPr>
      </w:pPr>
    </w:p>
    <w:p>
      <w:pPr>
        <w:ind w:left="620" w:right="140"/>
        <w:spacing w:after="0" w:line="291" w:lineRule="auto"/>
        <w:rPr>
          <w:sz w:val="20"/>
          <w:szCs w:val="20"/>
          <w:color w:val="auto"/>
        </w:rPr>
      </w:pPr>
      <w:r>
        <w:rPr>
          <w:rFonts w:ascii="Times New Roman" w:cs="Times New Roman" w:eastAsia="Times New Roman" w:hAnsi="Times New Roman"/>
          <w:sz w:val="16"/>
          <w:szCs w:val="16"/>
          <w:color w:val="auto"/>
        </w:rPr>
        <w:t>Furthermore, if prior to the second annual meeting of our stockholders following the Closing at which directors are elected, a vacancy is created at any time by the death, retirement, removal or resignation of either the director</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113</w:t>
      </w:r>
    </w:p>
    <w:p>
      <w:pPr>
        <w:sectPr>
          <w:pgSz w:w="11900" w:h="16838" w:orient="portrait"/>
          <w:cols w:equalWidth="0" w:num="1">
            <w:col w:w="10620"/>
          </w:cols>
          <w:pgMar w:left="320" w:top="453" w:right="959" w:bottom="1440" w:gutter="0" w:footer="0" w:header="0"/>
        </w:sectPr>
      </w:pPr>
    </w:p>
    <w:bookmarkStart w:id="117" w:name="page118"/>
    <w:bookmarkEnd w:id="11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0"/>
        <w:spacing w:after="0" w:line="261" w:lineRule="auto"/>
        <w:rPr>
          <w:sz w:val="20"/>
          <w:szCs w:val="20"/>
          <w:color w:val="auto"/>
        </w:rPr>
      </w:pPr>
      <w:r>
        <w:rPr>
          <w:rFonts w:ascii="Times New Roman" w:cs="Times New Roman" w:eastAsia="Times New Roman" w:hAnsi="Times New Roman"/>
          <w:sz w:val="16"/>
          <w:szCs w:val="16"/>
          <w:color w:val="auto"/>
        </w:rPr>
        <w:t>appointed by Opco or the director appointed by the Sponsor, any individual nominated by or at the direction of the Board or any duly-authorized committee thereof to fill such vacancy shall be filled as soon as possible by, (i) in the case of a vacancy created by the death, retirement, removal or resignation of director appointed by the Sponsor, a designee of the Sponsor if the Sponsor holds then-issued and outstanding shares of common stock representing at least fifty percent (50%) of the shares of common stock held by Sponsor as of the Closing (subject to adjustment for any applicable stock split, dividend or combination, or any reclassification, recapitalization, merger, consolidation or similar transaction) at such time, or (ii) in the case of a vacancy created by the death, retirement, removal or resignation of the director appointed by Opco, a designee of ICEH, if ICEH holds at least five percent (5%) of the then-issued and outstanding shares of Class A Common Stock at such time.</w:t>
      </w:r>
    </w:p>
    <w:p>
      <w:pPr>
        <w:spacing w:after="0" w:line="168"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Additionally, pursuant to the Stockholders Agreement, other than for certain permitted transfers, the parties generally agreed that: (a) each of the Opco Equity Holders, severally and not jointly, shall not transfer, or make a public announcement of any intention to transfer, any of our equity securities and Opco’s equity securities, in each case, during the period commencing on the Closing and continuing until after April 15, 2022 (provided that any PIPE Shares purchased by an Opco Equity Holder are not subject to such restrictions) and (b) the Sponsor may not transfer, or make a public announcement of any intention to transfer, any equity securities of ours during the Founder Shares Lock-Up Period.</w:t>
      </w:r>
    </w:p>
    <w:p>
      <w:pPr>
        <w:spacing w:after="0" w:line="165" w:lineRule="exact"/>
        <w:rPr>
          <w:sz w:val="20"/>
          <w:szCs w:val="20"/>
          <w:color w:val="auto"/>
        </w:rPr>
      </w:pPr>
    </w:p>
    <w:p>
      <w:pPr>
        <w:ind w:left="620" w:right="100"/>
        <w:spacing w:after="0" w:line="291" w:lineRule="auto"/>
        <w:rPr>
          <w:sz w:val="20"/>
          <w:szCs w:val="20"/>
          <w:color w:val="auto"/>
        </w:rPr>
      </w:pPr>
      <w:r>
        <w:rPr>
          <w:rFonts w:ascii="Times New Roman" w:cs="Times New Roman" w:eastAsia="Times New Roman" w:hAnsi="Times New Roman"/>
          <w:sz w:val="16"/>
          <w:szCs w:val="16"/>
          <w:color w:val="auto"/>
        </w:rPr>
        <w:t>The Opco Equity Holders and the Company also agreed, among other things, that the arrangements under the Stockholders Agreement are not intended to constitute the formation of a “group” as defined in Section 13(d)(3) of the Exchange Act.</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Voting Agreement</w:t>
      </w:r>
    </w:p>
    <w:p>
      <w:pPr>
        <w:spacing w:after="0" w:line="114" w:lineRule="exact"/>
        <w:rPr>
          <w:sz w:val="20"/>
          <w:szCs w:val="20"/>
          <w:color w:val="auto"/>
        </w:rPr>
      </w:pPr>
    </w:p>
    <w:p>
      <w:pPr>
        <w:ind w:left="620" w:right="160"/>
        <w:spacing w:after="0" w:line="267" w:lineRule="auto"/>
        <w:rPr>
          <w:sz w:val="20"/>
          <w:szCs w:val="20"/>
          <w:color w:val="auto"/>
        </w:rPr>
      </w:pPr>
      <w:r>
        <w:rPr>
          <w:rFonts w:ascii="Times New Roman" w:cs="Times New Roman" w:eastAsia="Times New Roman" w:hAnsi="Times New Roman"/>
          <w:sz w:val="16"/>
          <w:szCs w:val="16"/>
          <w:color w:val="auto"/>
        </w:rPr>
        <w:t>At the Closing, we entered into a Voting Agreement (the “Voting Agreement”) with ICEH, pursuant to which ICEH agreed, subject to certain exceptions, to irrevocably appoint a proxy, designated by the Board, to vote the number of its shares of Common Stock that exceeds 30% of the shares entitled to vote on such matter in the same percentages for and against such matter as votes were cast for and against such matter by all other stockholders of ours.</w:t>
      </w:r>
    </w:p>
    <w:p>
      <w:pPr>
        <w:spacing w:after="0" w:line="162" w:lineRule="exact"/>
        <w:rPr>
          <w:sz w:val="20"/>
          <w:szCs w:val="20"/>
          <w:color w:val="auto"/>
        </w:rPr>
      </w:pPr>
    </w:p>
    <w:p>
      <w:pPr>
        <w:jc w:val="both"/>
        <w:ind w:left="620" w:right="280"/>
        <w:spacing w:after="0" w:line="273" w:lineRule="auto"/>
        <w:rPr>
          <w:sz w:val="20"/>
          <w:szCs w:val="20"/>
          <w:color w:val="auto"/>
        </w:rPr>
      </w:pPr>
      <w:r>
        <w:rPr>
          <w:rFonts w:ascii="Times New Roman" w:cs="Times New Roman" w:eastAsia="Times New Roman" w:hAnsi="Times New Roman"/>
          <w:sz w:val="16"/>
          <w:szCs w:val="16"/>
          <w:color w:val="auto"/>
        </w:rPr>
        <w:t>The Voting Agreement will terminate if the voting power represented by the shares of Class A Common Stock and shares of Class V Common Stock beneficially owned by ICEH and its affiliates falls below 50% of the total voting power of the Common Stock issued and outstanding and entitled to vote at any time.</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Exchange Agreement</w:t>
      </w:r>
    </w:p>
    <w:p>
      <w:pPr>
        <w:spacing w:after="0" w:line="114" w:lineRule="exact"/>
        <w:rPr>
          <w:sz w:val="20"/>
          <w:szCs w:val="20"/>
          <w:color w:val="auto"/>
        </w:rPr>
      </w:pPr>
    </w:p>
    <w:p>
      <w:pPr>
        <w:jc w:val="both"/>
        <w:ind w:left="620" w:right="100"/>
        <w:spacing w:after="0" w:line="273" w:lineRule="auto"/>
        <w:rPr>
          <w:sz w:val="20"/>
          <w:szCs w:val="20"/>
          <w:color w:val="auto"/>
        </w:rPr>
      </w:pPr>
      <w:r>
        <w:rPr>
          <w:rFonts w:ascii="Times New Roman" w:cs="Times New Roman" w:eastAsia="Times New Roman" w:hAnsi="Times New Roman"/>
          <w:sz w:val="16"/>
          <w:szCs w:val="16"/>
          <w:color w:val="auto"/>
        </w:rPr>
        <w:t>At Closing, we, Opco and certain Opco Equity Holders entered into an Exchange Agreement, which provides for the exchange of Opco Common Units and a corresponding number of shares of Class V Common Stock into shares of Class A Common Stock or an amount in cash equal to the value of the shares.</w:t>
      </w:r>
    </w:p>
    <w:p>
      <w:pPr>
        <w:spacing w:after="0" w:line="157" w:lineRule="exact"/>
        <w:rPr>
          <w:sz w:val="20"/>
          <w:szCs w:val="20"/>
          <w:color w:val="auto"/>
        </w:rPr>
      </w:pPr>
    </w:p>
    <w:p>
      <w:pPr>
        <w:ind w:left="620" w:right="120"/>
        <w:spacing w:after="0" w:line="260" w:lineRule="auto"/>
        <w:rPr>
          <w:sz w:val="20"/>
          <w:szCs w:val="20"/>
          <w:color w:val="auto"/>
        </w:rPr>
      </w:pPr>
      <w:r>
        <w:rPr>
          <w:rFonts w:ascii="Times New Roman" w:cs="Times New Roman" w:eastAsia="Times New Roman" w:hAnsi="Times New Roman"/>
          <w:sz w:val="16"/>
          <w:szCs w:val="16"/>
          <w:color w:val="auto"/>
        </w:rPr>
        <w:t>Pursuant to the terms of the Exchange Agreement, the Opco Equity Holders may, after the six-month anniversary of the Closing, at any time and from time to time, but no more than once per calendar month without our or Opco’s prior written consent, exchange all or any portion of their vested Opco Common Units (along with the cancelation of the paired shares of Class V Common Stock) for the same number of shares of Class A Common Stock, provided that no holder of Opco Common Units may exchange less than 25,000 Opco Common Units in any single exchange unless such Opco Equity Holder is exchanging all of his, her or its Opco Common Units. We may, in lieu of delivering shares of Class A Common Stock for any Opco Common Units surrendered for exchange, pay an amount in cash per Opco Common Units equal to the volume weighted average price per share of Class A Common Stock over the five consecutive full trading days ending on and including the last full trading day immediately prior to the date of the receipt of the written notice of the exchange. The initial exchange rate will be one Opco Common Unit and the cancellation of one share of Class V Common Stock for one share of Class A Common Stock.</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114</w:t>
      </w:r>
    </w:p>
    <w:p>
      <w:pPr>
        <w:sectPr>
          <w:pgSz w:w="11900" w:h="16838" w:orient="portrait"/>
          <w:cols w:equalWidth="0" w:num="1">
            <w:col w:w="10620"/>
          </w:cols>
          <w:pgMar w:left="320" w:top="453" w:right="959" w:bottom="1440" w:gutter="0" w:footer="0" w:header="0"/>
        </w:sectPr>
      </w:pPr>
    </w:p>
    <w:bookmarkStart w:id="118" w:name="page119"/>
    <w:bookmarkEnd w:id="11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114" w:lineRule="exact"/>
        <w:rPr>
          <w:sz w:val="20"/>
          <w:szCs w:val="20"/>
          <w:color w:val="auto"/>
        </w:rPr>
      </w:pPr>
    </w:p>
    <w:p>
      <w:pPr>
        <w:ind w:left="620" w:right="40"/>
        <w:spacing w:after="0" w:line="263" w:lineRule="auto"/>
        <w:rPr>
          <w:sz w:val="20"/>
          <w:szCs w:val="20"/>
          <w:color w:val="auto"/>
        </w:rPr>
      </w:pPr>
      <w:r>
        <w:rPr>
          <w:rFonts w:ascii="Times New Roman" w:cs="Times New Roman" w:eastAsia="Times New Roman" w:hAnsi="Times New Roman"/>
          <w:sz w:val="16"/>
          <w:szCs w:val="16"/>
          <w:color w:val="auto"/>
        </w:rPr>
        <w:t>At Closing, we, and certain Opco Equity Holders entered into a Tax Receivable Agreement (the “Tax Receivable Agreement”). Pursuant to the Tax Receivable Agreement, among other things, Opco Equity Holders may, subject to certain conditions, from and after April 15, 2022, exchange the Opco Common Units held by them (along with a corresponding number of shares of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Code for each taxable year in which an exchange of Opco Common Units for Class A Common Stock (or cash) occurs.</w:t>
      </w:r>
    </w:p>
    <w:p>
      <w:pPr>
        <w:spacing w:after="0" w:line="163" w:lineRule="exact"/>
        <w:rPr>
          <w:sz w:val="20"/>
          <w:szCs w:val="20"/>
          <w:color w:val="auto"/>
        </w:rPr>
      </w:pPr>
    </w:p>
    <w:p>
      <w:pPr>
        <w:jc w:val="both"/>
        <w:ind w:left="620" w:right="120"/>
        <w:spacing w:after="0" w:line="273" w:lineRule="auto"/>
        <w:rPr>
          <w:sz w:val="20"/>
          <w:szCs w:val="20"/>
          <w:color w:val="auto"/>
        </w:rPr>
      </w:pPr>
      <w:r>
        <w:rPr>
          <w:rFonts w:ascii="Times New Roman" w:cs="Times New Roman" w:eastAsia="Times New Roman" w:hAnsi="Times New Roman"/>
          <w:sz w:val="16"/>
          <w:szCs w:val="16"/>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57" w:lineRule="exact"/>
        <w:rPr>
          <w:sz w:val="20"/>
          <w:szCs w:val="20"/>
          <w:color w:val="auto"/>
        </w:rPr>
      </w:pPr>
    </w:p>
    <w:p>
      <w:pPr>
        <w:ind w:left="620" w:right="120"/>
        <w:spacing w:after="0" w:line="259" w:lineRule="auto"/>
        <w:rPr>
          <w:sz w:val="20"/>
          <w:szCs w:val="20"/>
          <w:color w:val="auto"/>
        </w:rPr>
      </w:pPr>
      <w:r>
        <w:rPr>
          <w:rFonts w:ascii="Times New Roman" w:cs="Times New Roman" w:eastAsia="Times New Roman" w:hAnsi="Times New Roman"/>
          <w:sz w:val="16"/>
          <w:szCs w:val="16"/>
          <w:color w:val="auto"/>
        </w:rPr>
        <w:t>The Tax Receivable Agreement provides for the payment by us to exchanging Opco Equity Holders of 85% of certain net income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This payment obligation is an obligation of ours and not of Opco. For purposes of the Tax Receivable Agreement, the cash tax savings in income tax will be computed by comparing the actual income tax liability of ours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w:t>
      </w:r>
    </w:p>
    <w:p>
      <w:pPr>
        <w:spacing w:after="0" w:line="2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Cooperation Agreement</w:t>
      </w:r>
    </w:p>
    <w:p>
      <w:pPr>
        <w:spacing w:after="0" w:line="114" w:lineRule="exact"/>
        <w:rPr>
          <w:sz w:val="20"/>
          <w:szCs w:val="20"/>
          <w:color w:val="auto"/>
        </w:rPr>
      </w:pPr>
    </w:p>
    <w:p>
      <w:pPr>
        <w:ind w:left="620" w:right="40"/>
        <w:spacing w:after="0" w:line="273" w:lineRule="auto"/>
        <w:rPr>
          <w:sz w:val="20"/>
          <w:szCs w:val="20"/>
          <w:color w:val="auto"/>
        </w:rPr>
      </w:pPr>
      <w:r>
        <w:rPr>
          <w:rFonts w:ascii="Times New Roman" w:cs="Times New Roman" w:eastAsia="Times New Roman" w:hAnsi="Times New Roman"/>
          <w:sz w:val="16"/>
          <w:szCs w:val="16"/>
          <w:color w:val="auto"/>
        </w:rPr>
        <w:t>At the Closing Date, we and ICE entered into a cooperation agreement (the “Cooperation Agreement”), which contains certain cooperation, information sharing and related provisions that facilitate compliance by ICE and its affiliates with its accounting, financial reporting, public disclosure and similar requirements insofar as they relate ICE’s ownership interest in us and Opco.</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Policies and Procedures for Related Person Transactions</w:t>
      </w:r>
    </w:p>
    <w:p>
      <w:pPr>
        <w:spacing w:after="0" w:line="114"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We have adopted a formal written policy providing that our officers, directors, nominees for election as directors, beneficial owners of more than 5% of any class of its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us without the approval of our audit committee, subject to the exceptions described below.</w:t>
      </w:r>
    </w:p>
    <w:p>
      <w:pPr>
        <w:spacing w:after="0" w:line="165" w:lineRule="exact"/>
        <w:rPr>
          <w:sz w:val="20"/>
          <w:szCs w:val="20"/>
          <w:color w:val="auto"/>
        </w:rPr>
      </w:pPr>
    </w:p>
    <w:p>
      <w:pPr>
        <w:jc w:val="both"/>
        <w:ind w:left="620" w:right="80"/>
        <w:spacing w:after="0" w:line="273" w:lineRule="auto"/>
        <w:rPr>
          <w:sz w:val="20"/>
          <w:szCs w:val="20"/>
          <w:color w:val="auto"/>
        </w:rPr>
      </w:pPr>
      <w:r>
        <w:rPr>
          <w:rFonts w:ascii="Times New Roman" w:cs="Times New Roman" w:eastAsia="Times New Roman" w:hAnsi="Times New Roman"/>
          <w:sz w:val="16"/>
          <w:szCs w:val="16"/>
          <w:color w:val="auto"/>
        </w:rPr>
        <w:t>A related person transaction is a transaction, arrangement or relationship, or any series of similar transactions, arrangements or relationships, in which we and any related person are, were or will be participants. Transactions involving compensation for services provided to us as an employee or director are not covered by this policy.</w:t>
      </w:r>
    </w:p>
    <w:p>
      <w:pPr>
        <w:spacing w:after="0" w:line="157" w:lineRule="exact"/>
        <w:rPr>
          <w:sz w:val="20"/>
          <w:szCs w:val="20"/>
          <w:color w:val="auto"/>
        </w:rPr>
      </w:pPr>
    </w:p>
    <w:p>
      <w:pPr>
        <w:jc w:val="both"/>
        <w:ind w:left="620" w:right="80"/>
        <w:spacing w:after="0" w:line="291" w:lineRule="auto"/>
        <w:rPr>
          <w:sz w:val="20"/>
          <w:szCs w:val="20"/>
          <w:color w:val="auto"/>
        </w:rPr>
      </w:pPr>
      <w:r>
        <w:rPr>
          <w:rFonts w:ascii="Times New Roman" w:cs="Times New Roman" w:eastAsia="Times New Roman" w:hAnsi="Times New Roman"/>
          <w:sz w:val="16"/>
          <w:szCs w:val="16"/>
          <w:color w:val="auto"/>
        </w:rPr>
        <w:t>Under the policy, we collect information that we deem reasonably necessary from each director, executive officer and, to the extent feasible, significant stockholder, to enable it to identify any existing or potential related- person</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115</w:t>
      </w:r>
    </w:p>
    <w:p>
      <w:pPr>
        <w:sectPr>
          <w:pgSz w:w="11900" w:h="16838" w:orient="portrait"/>
          <w:cols w:equalWidth="0" w:num="1">
            <w:col w:w="10600"/>
          </w:cols>
          <w:pgMar w:left="320" w:top="453" w:right="979" w:bottom="1440" w:gutter="0" w:footer="0" w:header="0"/>
        </w:sectPr>
      </w:pPr>
    </w:p>
    <w:bookmarkStart w:id="119" w:name="page120"/>
    <w:bookmarkEnd w:id="11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320"/>
        <w:spacing w:after="0" w:line="291" w:lineRule="auto"/>
        <w:rPr>
          <w:sz w:val="20"/>
          <w:szCs w:val="20"/>
          <w:color w:val="auto"/>
        </w:rPr>
      </w:pPr>
      <w:r>
        <w:rPr>
          <w:rFonts w:ascii="Times New Roman" w:cs="Times New Roman" w:eastAsia="Times New Roman" w:hAnsi="Times New Roman"/>
          <w:sz w:val="16"/>
          <w:szCs w:val="16"/>
          <w:color w:val="auto"/>
        </w:rPr>
        <w:t>transactions and to effectuate the terms of the policy. In addition, under its code of conduct and ethics, employees and directors have an affirmative responsibility to disclose any transaction or relationship that reasonably could be expected to give rise to a conflict of interest.</w:t>
      </w:r>
    </w:p>
    <w:p>
      <w:pPr>
        <w:spacing w:after="0" w:line="142"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16"/>
          <w:szCs w:val="16"/>
          <w:color w:val="auto"/>
        </w:rPr>
        <w:t>The policy requires that, in determining whether to approve, ratify or reject a related person transaction, our audit committee, or other independent body of the Board, must consider, in light of known circumstances, whether the transaction is in, or is not inconsistent with, its best interests and those of its stockholders, as its audit committee, or other independent body of the Board, determines in the good faith exercise of its discretion.</w:t>
      </w:r>
    </w:p>
    <w:p>
      <w:pPr>
        <w:spacing w:after="0" w:line="157" w:lineRule="exact"/>
        <w:rPr>
          <w:sz w:val="20"/>
          <w:szCs w:val="20"/>
          <w:color w:val="auto"/>
        </w:rPr>
      </w:pPr>
    </w:p>
    <w:p>
      <w:pPr>
        <w:ind w:left="620" w:right="240"/>
        <w:spacing w:after="0" w:line="264" w:lineRule="auto"/>
        <w:rPr>
          <w:sz w:val="20"/>
          <w:szCs w:val="20"/>
          <w:color w:val="auto"/>
        </w:rPr>
      </w:pPr>
      <w:r>
        <w:rPr>
          <w:rFonts w:ascii="Times New Roman" w:cs="Times New Roman" w:eastAsia="Times New Roman" w:hAnsi="Times New Roman"/>
          <w:sz w:val="16"/>
          <w:szCs w:val="16"/>
          <w:color w:val="auto"/>
        </w:rPr>
        <w:t xml:space="preserve">Our audit committee has determined that certain transactions will not require their approval, including certain employment arrangements of officers, director compensation, transactions with another company at which a related party’s only relationship is as a director, non-executive employee or beneficial owner of less than 10% of that company’s outstanding capital stock, transactions where a related party’s interest arises solely from the ownership of our securities and all holders of our securities received the same benefit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and transactions available to all employees generally.</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116</w:t>
      </w:r>
    </w:p>
    <w:p>
      <w:pPr>
        <w:sectPr>
          <w:pgSz w:w="11900" w:h="16838" w:orient="portrait"/>
          <w:cols w:equalWidth="0" w:num="1">
            <w:col w:w="10560"/>
          </w:cols>
          <w:pgMar w:left="320" w:top="453" w:right="1019" w:bottom="1440" w:gutter="0" w:footer="0" w:header="0"/>
        </w:sectPr>
      </w:pPr>
    </w:p>
    <w:bookmarkStart w:id="120" w:name="page121"/>
    <w:bookmarkEnd w:id="12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BENEFICIAL OWNERSHIP OF SECURITIES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sets forth information known to the Company regarding ownership of shares of voting securities of the Company, which consists of</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Class A Common Stock and Paired Interests, as of March 25, 2022 by:</w:t>
      </w:r>
    </w:p>
    <w:p>
      <w:pPr>
        <w:spacing w:after="0" w:line="107" w:lineRule="exact"/>
        <w:rPr>
          <w:sz w:val="20"/>
          <w:szCs w:val="20"/>
          <w:color w:val="auto"/>
        </w:rPr>
      </w:pPr>
    </w:p>
    <w:p>
      <w:pPr>
        <w:ind w:left="1500" w:hanging="387"/>
        <w:spacing w:after="0"/>
        <w:tabs>
          <w:tab w:leader="none" w:pos="15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or group of affiliated persons, known by us to beneficially own more than 5% of any class of our common stock;</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named executive officers and directors;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executive officers and directors as a group.</w:t>
      </w:r>
    </w:p>
    <w:p>
      <w:pPr>
        <w:spacing w:after="0" w:line="208" w:lineRule="exact"/>
        <w:rPr>
          <w:sz w:val="20"/>
          <w:szCs w:val="20"/>
          <w:color w:val="auto"/>
        </w:rPr>
      </w:pPr>
    </w:p>
    <w:p>
      <w:pPr>
        <w:ind w:left="620" w:right="40"/>
        <w:spacing w:after="0" w:line="266" w:lineRule="auto"/>
        <w:rPr>
          <w:sz w:val="20"/>
          <w:szCs w:val="20"/>
          <w:color w:val="auto"/>
        </w:rPr>
      </w:pPr>
      <w:r>
        <w:rPr>
          <w:rFonts w:ascii="Times New Roman" w:cs="Times New Roman" w:eastAsia="Times New Roman" w:hAnsi="Times New Roman"/>
          <w:sz w:val="16"/>
          <w:szCs w:val="16"/>
          <w:color w:val="auto"/>
        </w:rPr>
        <w:t>We have determined beneficial ownership in accordance with the rules and regulations of the SEC, and thus it represents sole or shared voting or investment power with respect to our securities. Unless otherwise indicated, the persons or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 13(d) and 13(g) of the Exchange Act.</w:t>
      </w:r>
    </w:p>
    <w:p>
      <w:pPr>
        <w:spacing w:after="0" w:line="361" w:lineRule="exact"/>
        <w:rPr>
          <w:sz w:val="20"/>
          <w:szCs w:val="20"/>
          <w:color w:val="auto"/>
        </w:rPr>
      </w:pPr>
    </w:p>
    <w:p>
      <w:pPr>
        <w:ind w:left="620" w:right="280"/>
        <w:spacing w:after="0" w:line="291" w:lineRule="auto"/>
        <w:rPr>
          <w:sz w:val="20"/>
          <w:szCs w:val="20"/>
          <w:color w:val="auto"/>
        </w:rPr>
      </w:pPr>
      <w:r>
        <w:rPr>
          <w:rFonts w:ascii="Times New Roman" w:cs="Times New Roman" w:eastAsia="Times New Roman" w:hAnsi="Times New Roman"/>
          <w:sz w:val="16"/>
          <w:szCs w:val="16"/>
          <w:color w:val="auto"/>
        </w:rPr>
        <w:t>The beneficial ownership percentages set forth in the table below are based on 57,164,488 shares of Class A Common Stock and 206,003,270 Paired Interests issued and outstanding as of March 25, 2022.</w:t>
      </w:r>
    </w:p>
    <w:p>
      <w:pPr>
        <w:spacing w:after="0" w:line="142" w:lineRule="exact"/>
        <w:rPr>
          <w:sz w:val="20"/>
          <w:szCs w:val="20"/>
          <w:color w:val="auto"/>
        </w:rPr>
      </w:pPr>
    </w:p>
    <w:p>
      <w:pPr>
        <w:ind w:left="620" w:right="120"/>
        <w:spacing w:after="0" w:line="273" w:lineRule="auto"/>
        <w:rPr>
          <w:sz w:val="20"/>
          <w:szCs w:val="20"/>
          <w:color w:val="auto"/>
        </w:rPr>
      </w:pPr>
      <w:r>
        <w:rPr>
          <w:rFonts w:ascii="Times New Roman" w:cs="Times New Roman" w:eastAsia="Times New Roman" w:hAnsi="Times New Roman"/>
          <w:sz w:val="16"/>
          <w:szCs w:val="16"/>
          <w:color w:val="auto"/>
        </w:rPr>
        <w:t>Unless otherwise indicated, we believe that all persons named in the table have sole voting and investment power with respect to all shares beneficially owned by them. Unless otherwise noted, the business address of each of the following entities or individuals is 10000 Avalon Boulevard, Suite 1000, Alpharetta, Georgia, 30009.</w:t>
      </w:r>
    </w:p>
    <w:p>
      <w:pPr>
        <w:spacing w:after="0" w:line="161"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14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Total Number</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of Shares of</w:t>
            </w: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9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3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11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 of Class A</w:t>
            </w:r>
          </w:p>
        </w:tc>
        <w:tc>
          <w:tcPr>
            <w:tcW w:w="114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6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14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9"/>
              </w:rPr>
              <w:t>Name of Beneficial Owner</w:t>
            </w:r>
          </w:p>
        </w:tc>
        <w:tc>
          <w:tcPr>
            <w:tcW w:w="2100" w:type="dxa"/>
            <w:vAlign w:val="bottom"/>
            <w:vMerge w:val="restart"/>
          </w:tcPr>
          <w:p>
            <w:pPr>
              <w:spacing w:after="0"/>
              <w:rPr>
                <w:sz w:val="11"/>
                <w:szCs w:val="11"/>
                <w:color w:val="auto"/>
              </w:rPr>
            </w:pPr>
          </w:p>
        </w:tc>
        <w:tc>
          <w:tcPr>
            <w:tcW w:w="13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1160" w:type="dxa"/>
            <w:vAlign w:val="bottom"/>
            <w:gridSpan w:val="2"/>
            <w:vMerge w:val="continue"/>
          </w:tcPr>
          <w:p>
            <w:pPr>
              <w:spacing w:after="0"/>
              <w:rPr>
                <w:sz w:val="11"/>
                <w:szCs w:val="11"/>
                <w:color w:val="auto"/>
              </w:rPr>
            </w:pPr>
          </w:p>
        </w:tc>
        <w:tc>
          <w:tcPr>
            <w:tcW w:w="11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Paired</w:t>
            </w:r>
          </w:p>
        </w:tc>
        <w:tc>
          <w:tcPr>
            <w:tcW w:w="98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Paired</w:t>
            </w:r>
          </w:p>
        </w:tc>
        <w:tc>
          <w:tcPr>
            <w:tcW w:w="11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and Class V</w:t>
            </w:r>
          </w:p>
        </w:tc>
        <w:tc>
          <w:tcPr>
            <w:tcW w:w="6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Voting</w:t>
            </w:r>
          </w:p>
        </w:tc>
        <w:tc>
          <w:tcPr>
            <w:tcW w:w="0" w:type="dxa"/>
            <w:vAlign w:val="bottom"/>
          </w:tcPr>
          <w:p>
            <w:pPr>
              <w:spacing w:after="0"/>
              <w:rPr>
                <w:sz w:val="1"/>
                <w:szCs w:val="1"/>
                <w:color w:val="auto"/>
              </w:rPr>
            </w:pPr>
          </w:p>
        </w:tc>
      </w:tr>
      <w:tr>
        <w:trPr>
          <w:trHeight w:val="165"/>
        </w:trPr>
        <w:tc>
          <w:tcPr>
            <w:tcW w:w="1480" w:type="dxa"/>
            <w:vAlign w:val="bottom"/>
            <w:tcBorders>
              <w:bottom w:val="single" w:sz="8" w:color="auto"/>
            </w:tcBorders>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134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3"/>
                <w:szCs w:val="13"/>
                <w:b w:val="1"/>
                <w:bCs w:val="1"/>
                <w:color w:val="auto"/>
                <w:w w:val="99"/>
              </w:rPr>
              <w:t>Common Stock</w:t>
            </w:r>
            <w:r>
              <w:rPr>
                <w:rFonts w:ascii="Times New Roman" w:cs="Times New Roman" w:eastAsia="Times New Roman" w:hAnsi="Times New Roman"/>
                <w:sz w:val="9"/>
                <w:szCs w:val="9"/>
                <w:b w:val="1"/>
                <w:bCs w:val="1"/>
                <w:color w:val="auto"/>
                <w:w w:val="99"/>
              </w:rPr>
              <w:t>(1)</w:t>
            </w:r>
          </w:p>
        </w:tc>
        <w:tc>
          <w:tcPr>
            <w:tcW w:w="1160" w:type="dxa"/>
            <w:vAlign w:val="bottom"/>
            <w:gridSpan w:val="2"/>
          </w:tcPr>
          <w:p>
            <w:pPr>
              <w:jc w:val="right"/>
              <w:ind w:right="300"/>
              <w:spacing w:after="0" w:line="145"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1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3"/>
                <w:szCs w:val="13"/>
                <w:b w:val="1"/>
                <w:bCs w:val="1"/>
                <w:color w:val="auto"/>
                <w:w w:val="98"/>
              </w:rPr>
              <w:t>Interests</w:t>
            </w:r>
            <w:r>
              <w:rPr>
                <w:rFonts w:ascii="Times New Roman" w:cs="Times New Roman" w:eastAsia="Times New Roman" w:hAnsi="Times New Roman"/>
                <w:sz w:val="9"/>
                <w:szCs w:val="9"/>
                <w:b w:val="1"/>
                <w:bCs w:val="1"/>
                <w:color w:val="auto"/>
                <w:w w:val="98"/>
              </w:rPr>
              <w:t>(2)</w:t>
            </w:r>
          </w:p>
        </w:tc>
        <w:tc>
          <w:tcPr>
            <w:tcW w:w="98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3"/>
                <w:szCs w:val="13"/>
                <w:b w:val="1"/>
                <w:bCs w:val="1"/>
                <w:color w:val="auto"/>
                <w:w w:val="99"/>
              </w:rPr>
              <w:t>Interests</w:t>
            </w:r>
          </w:p>
        </w:tc>
        <w:tc>
          <w:tcPr>
            <w:tcW w:w="11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6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3"/>
                <w:szCs w:val="13"/>
                <w:b w:val="1"/>
                <w:bCs w:val="1"/>
                <w:color w:val="auto"/>
              </w:rPr>
              <w:t>Power</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Greater than 5% Stockholders:</w:t>
            </w:r>
          </w:p>
        </w:tc>
        <w:tc>
          <w:tcPr>
            <w:tcW w:w="9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580" w:type="dxa"/>
            <w:vAlign w:val="bottom"/>
            <w:gridSpan w:val="2"/>
          </w:tcPr>
          <w:p>
            <w:pPr>
              <w:spacing w:after="0" w:line="184" w:lineRule="exact"/>
              <w:rPr>
                <w:sz w:val="20"/>
                <w:szCs w:val="20"/>
                <w:color w:val="auto"/>
              </w:rPr>
            </w:pPr>
            <w:r>
              <w:rPr>
                <w:rFonts w:ascii="Times New Roman" w:cs="Times New Roman" w:eastAsia="Times New Roman" w:hAnsi="Times New Roman"/>
                <w:sz w:val="15"/>
                <w:szCs w:val="15"/>
                <w:color w:val="auto"/>
              </w:rPr>
              <w:t>Intercontinental Exchange Holdings, Inc.</w:t>
            </w:r>
            <w:r>
              <w:rPr>
                <w:rFonts w:ascii="Times New Roman" w:cs="Times New Roman" w:eastAsia="Times New Roman" w:hAnsi="Times New Roman"/>
                <w:sz w:val="20"/>
                <w:szCs w:val="20"/>
                <w:b w:val="1"/>
                <w:bCs w:val="1"/>
                <w:color w:val="auto"/>
                <w:vertAlign w:val="superscript"/>
              </w:rPr>
              <w:t>(4)</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4,714,336</w:t>
            </w:r>
          </w:p>
        </w:tc>
        <w:tc>
          <w:tcPr>
            <w:tcW w:w="3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8.2%</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170,079,462</w:t>
            </w:r>
          </w:p>
        </w:tc>
        <w:tc>
          <w:tcPr>
            <w:tcW w:w="36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82.5%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174,793,798</w:t>
            </w:r>
          </w:p>
        </w:tc>
        <w:tc>
          <w:tcPr>
            <w:tcW w:w="3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66.4%</w:t>
            </w:r>
          </w:p>
        </w:tc>
        <w:tc>
          <w:tcPr>
            <w:tcW w:w="0" w:type="dxa"/>
            <w:vAlign w:val="bottom"/>
          </w:tcPr>
          <w:p>
            <w:pPr>
              <w:spacing w:after="0"/>
              <w:rPr>
                <w:sz w:val="1"/>
                <w:szCs w:val="1"/>
                <w:color w:val="auto"/>
              </w:rPr>
            </w:pPr>
          </w:p>
        </w:tc>
      </w:tr>
      <w:tr>
        <w:trPr>
          <w:trHeight w:val="184"/>
        </w:trPr>
        <w:tc>
          <w:tcPr>
            <w:tcW w:w="35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5"/>
                <w:szCs w:val="15"/>
                <w:color w:val="auto"/>
              </w:rPr>
              <w:t>Invesco</w:t>
            </w:r>
            <w:r>
              <w:rPr>
                <w:rFonts w:ascii="Times New Roman" w:cs="Times New Roman" w:eastAsia="Times New Roman" w:hAnsi="Times New Roman"/>
                <w:sz w:val="20"/>
                <w:szCs w:val="20"/>
                <w:b w:val="1"/>
                <w:bCs w:val="1"/>
                <w:color w:val="auto"/>
                <w:vertAlign w:val="superscript"/>
              </w:rPr>
              <w:t>(5)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3,488,609</w:t>
            </w:r>
          </w:p>
        </w:tc>
        <w:tc>
          <w:tcPr>
            <w:tcW w:w="3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6.1%</w:t>
            </w: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3,488,609</w:t>
            </w:r>
          </w:p>
        </w:tc>
        <w:tc>
          <w:tcPr>
            <w:tcW w:w="3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79"/>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VPC Impact Acquisition Holdings Sponsor, LLC</w:t>
            </w:r>
            <w:r>
              <w:rPr>
                <w:rFonts w:ascii="Times New Roman" w:cs="Times New Roman" w:eastAsia="Times New Roman" w:hAnsi="Times New Roman"/>
                <w:sz w:val="20"/>
                <w:szCs w:val="20"/>
                <w:b w:val="1"/>
                <w:bCs w:val="1"/>
                <w:color w:val="auto"/>
                <w:vertAlign w:val="superscript"/>
              </w:rPr>
              <w:t>(6)</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8,336,190</w:t>
            </w:r>
          </w:p>
        </w:tc>
        <w:tc>
          <w:tcPr>
            <w:tcW w:w="3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14.5%</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8,336,190</w:t>
            </w:r>
          </w:p>
        </w:tc>
        <w:tc>
          <w:tcPr>
            <w:tcW w:w="3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87"/>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Named Executive Officers and Directors:</w:t>
            </w: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Gavin Michael</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694,000</w:t>
            </w:r>
          </w:p>
        </w:tc>
        <w:tc>
          <w:tcPr>
            <w:tcW w:w="3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694,000</w:t>
            </w:r>
          </w:p>
        </w:tc>
        <w:tc>
          <w:tcPr>
            <w:tcW w:w="3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Andrew LaBenne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66,677</w:t>
            </w:r>
          </w:p>
        </w:tc>
        <w:tc>
          <w:tcPr>
            <w:tcW w:w="3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66,677</w:t>
            </w:r>
          </w:p>
        </w:tc>
        <w:tc>
          <w:tcPr>
            <w:tcW w:w="3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580" w:type="dxa"/>
            <w:vAlign w:val="bottom"/>
            <w:gridSpan w:val="2"/>
          </w:tcPr>
          <w:p>
            <w:pPr>
              <w:spacing w:after="0" w:line="184" w:lineRule="exact"/>
              <w:rPr>
                <w:sz w:val="20"/>
                <w:szCs w:val="20"/>
                <w:color w:val="auto"/>
              </w:rPr>
            </w:pPr>
            <w:r>
              <w:rPr>
                <w:rFonts w:ascii="Times New Roman" w:cs="Times New Roman" w:eastAsia="Times New Roman" w:hAnsi="Times New Roman"/>
                <w:sz w:val="15"/>
                <w:szCs w:val="15"/>
                <w:color w:val="auto"/>
              </w:rPr>
              <w:t>Marc D’Annunzio</w:t>
            </w:r>
            <w:r>
              <w:rPr>
                <w:rFonts w:ascii="Times New Roman" w:cs="Times New Roman" w:eastAsia="Times New Roman" w:hAnsi="Times New Roman"/>
                <w:sz w:val="20"/>
                <w:szCs w:val="20"/>
                <w:b w:val="1"/>
                <w:bCs w:val="1"/>
                <w:color w:val="auto"/>
                <w:vertAlign w:val="superscript"/>
              </w:rPr>
              <w:t>(7)</w:t>
            </w:r>
          </w:p>
        </w:tc>
        <w:tc>
          <w:tcPr>
            <w:tcW w:w="134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518,237</w:t>
            </w:r>
          </w:p>
        </w:tc>
        <w:tc>
          <w:tcPr>
            <w:tcW w:w="36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518,237</w:t>
            </w:r>
          </w:p>
        </w:tc>
        <w:tc>
          <w:tcPr>
            <w:tcW w:w="3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Michelle Goldberg</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3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3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580" w:type="dxa"/>
            <w:vAlign w:val="bottom"/>
            <w:gridSpan w:val="2"/>
          </w:tcPr>
          <w:p>
            <w:pPr>
              <w:spacing w:after="0" w:line="184" w:lineRule="exact"/>
              <w:rPr>
                <w:sz w:val="20"/>
                <w:szCs w:val="20"/>
                <w:color w:val="auto"/>
              </w:rPr>
            </w:pPr>
            <w:r>
              <w:rPr>
                <w:rFonts w:ascii="Times New Roman" w:cs="Times New Roman" w:eastAsia="Times New Roman" w:hAnsi="Times New Roman"/>
                <w:sz w:val="15"/>
                <w:szCs w:val="15"/>
                <w:color w:val="auto"/>
              </w:rPr>
              <w:t>David Clifton</w:t>
            </w:r>
            <w:r>
              <w:rPr>
                <w:rFonts w:ascii="Times New Roman" w:cs="Times New Roman" w:eastAsia="Times New Roman" w:hAnsi="Times New Roman"/>
                <w:sz w:val="20"/>
                <w:szCs w:val="20"/>
                <w:b w:val="1"/>
                <w:bCs w:val="1"/>
                <w:color w:val="auto"/>
                <w:vertAlign w:val="superscript"/>
              </w:rPr>
              <w:t>(8)</w:t>
            </w:r>
          </w:p>
        </w:tc>
        <w:tc>
          <w:tcPr>
            <w:tcW w:w="134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54,202</w:t>
            </w:r>
          </w:p>
        </w:tc>
        <w:tc>
          <w:tcPr>
            <w:tcW w:w="36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54,202</w:t>
            </w:r>
          </w:p>
        </w:tc>
        <w:tc>
          <w:tcPr>
            <w:tcW w:w="3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Kristyn Cook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3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3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Gordon Watson</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3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3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5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5"/>
                <w:szCs w:val="15"/>
                <w:color w:val="auto"/>
              </w:rPr>
              <w:t>Sean Collins</w:t>
            </w:r>
            <w:r>
              <w:rPr>
                <w:rFonts w:ascii="Times New Roman" w:cs="Times New Roman" w:eastAsia="Times New Roman" w:hAnsi="Times New Roman"/>
                <w:sz w:val="20"/>
                <w:szCs w:val="20"/>
                <w:b w:val="1"/>
                <w:bCs w:val="1"/>
                <w:color w:val="auto"/>
                <w:vertAlign w:val="superscript"/>
              </w:rPr>
              <w:t>(9)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592,323</w:t>
            </w:r>
          </w:p>
        </w:tc>
        <w:tc>
          <w:tcPr>
            <w:tcW w:w="3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2,908,110</w:t>
            </w: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3,500,433</w:t>
            </w:r>
          </w:p>
        </w:tc>
        <w:tc>
          <w:tcPr>
            <w:tcW w:w="3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Richard Lumb</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36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3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Andrew Main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3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3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0"/>
        </w:trPr>
        <w:tc>
          <w:tcPr>
            <w:tcW w:w="3580" w:type="dxa"/>
            <w:vAlign w:val="bottom"/>
            <w:gridSpan w:val="2"/>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All directors and executive officers as a group</w:t>
            </w: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(10 persons)</w:t>
            </w:r>
            <w:r>
              <w:rPr>
                <w:rFonts w:ascii="Times New Roman" w:cs="Times New Roman" w:eastAsia="Times New Roman" w:hAnsi="Times New Roman"/>
                <w:sz w:val="20"/>
                <w:szCs w:val="20"/>
                <w:b w:val="1"/>
                <w:bCs w:val="1"/>
                <w:color w:val="auto"/>
                <w:vertAlign w:val="superscript"/>
              </w:rPr>
              <w:t>(9)</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1,403,000</w:t>
            </w:r>
          </w:p>
        </w:tc>
        <w:tc>
          <w:tcPr>
            <w:tcW w:w="3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2.4%</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3,480,549</w:t>
            </w:r>
          </w:p>
        </w:tc>
        <w:tc>
          <w:tcPr>
            <w:tcW w:w="360" w:type="dxa"/>
            <w:vAlign w:val="bottom"/>
          </w:tcPr>
          <w:p>
            <w:pPr>
              <w:spacing w:after="0"/>
              <w:rPr>
                <w:sz w:val="24"/>
                <w:szCs w:val="24"/>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4,883,549</w:t>
            </w:r>
          </w:p>
        </w:tc>
        <w:tc>
          <w:tcPr>
            <w:tcW w:w="3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24765</wp:posOffset>
            </wp:positionV>
            <wp:extent cx="70040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52" w:lineRule="exact"/>
        <w:rPr>
          <w:sz w:val="20"/>
          <w:szCs w:val="20"/>
          <w:color w:val="auto"/>
        </w:rPr>
      </w:pPr>
    </w:p>
    <w:p>
      <w:pPr>
        <w:ind w:left="1020" w:hanging="397"/>
        <w:spacing w:after="0"/>
        <w:tabs>
          <w:tab w:leader="none" w:pos="10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less than 1%.</w:t>
      </w:r>
    </w:p>
    <w:p>
      <w:pPr>
        <w:spacing w:after="0" w:line="28" w:lineRule="exact"/>
        <w:rPr>
          <w:sz w:val="20"/>
          <w:szCs w:val="20"/>
          <w:color w:val="auto"/>
        </w:rPr>
      </w:pPr>
    </w:p>
    <w:p>
      <w:pPr>
        <w:ind w:left="5500" w:right="3960" w:hanging="4877"/>
        <w:spacing w:after="0" w:line="447" w:lineRule="auto"/>
        <w:tabs>
          <w:tab w:leader="none" w:pos="1011"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Class A Common Stock entitles the holder thereof to one vote per share. 117</w:t>
      </w:r>
    </w:p>
    <w:p>
      <w:pPr>
        <w:sectPr>
          <w:pgSz w:w="11900" w:h="16838" w:orient="portrait"/>
          <w:cols w:equalWidth="0" w:num="1">
            <w:col w:w="10620"/>
          </w:cols>
          <w:pgMar w:left="320" w:top="452" w:right="959" w:bottom="1440" w:gutter="0" w:footer="0" w:header="0"/>
        </w:sectPr>
      </w:pPr>
    </w:p>
    <w:bookmarkStart w:id="121" w:name="page122"/>
    <w:bookmarkEnd w:id="12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020" w:right="120" w:hanging="397"/>
        <w:spacing w:after="0" w:line="260" w:lineRule="auto"/>
        <w:tabs>
          <w:tab w:leader="none" w:pos="10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Paired Interest consists of one common unit in Opco and one share of Class V Common Stock, the latter of which entitles the holder to one vote per share of Class V Common Stock. Pursuant to the Exchange Agreement, beginning on April 16, 2022, each Paired Interest may be exchanged for a share of Class A Common Stock on a one-for-one ratio basis, subject to the terms of the Exchange Agreement, including the Company’s right to elect to deliver cash in lieu of Class A Common Stock and, in certain cases, adjustments as set forth therein.</w:t>
      </w:r>
    </w:p>
    <w:p>
      <w:pPr>
        <w:spacing w:after="0" w:line="2"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percentage of voting power of holders of Class A Common Stock and Class V Common Stock voting together as a single class.</w:t>
      </w:r>
    </w:p>
    <w:p>
      <w:pPr>
        <w:spacing w:after="0" w:line="12" w:lineRule="exact"/>
        <w:rPr>
          <w:rFonts w:ascii="Times New Roman" w:cs="Times New Roman" w:eastAsia="Times New Roman" w:hAnsi="Times New Roman"/>
          <w:sz w:val="16"/>
          <w:szCs w:val="16"/>
          <w:color w:val="auto"/>
        </w:rPr>
      </w:pPr>
    </w:p>
    <w:p>
      <w:pPr>
        <w:ind w:left="1020" w:hanging="397"/>
        <w:spacing w:after="0" w:line="255" w:lineRule="auto"/>
        <w:tabs>
          <w:tab w:leader="none" w:pos="10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ICEH has entered into the Voting Agreement with the Company, pursuant to which, to the extent that ICEH’s voting power as jointly calculated by ICEH and the Company, and represented by the shares held by ICEH as of the record date for a stockholder matter, exceeds 30% of the total voting power of all of outstanding Class A Common Stock and Class V Common Stock that are issued and outstanding and entitled to vote as of the record date, ICEH will irrevocably appoint a proxy, designated by the Board, to vote the excess shares in the same percentages for and against such stockholder matter as votes were cast for and against such stockholder matter by all other stockholders of the Company. ICEH is a wholly owned subsidiary of ICE. ICE’s principal business address is 5660 New Northside Drive, Atlanta, GA 30328.</w:t>
      </w:r>
    </w:p>
    <w:p>
      <w:pPr>
        <w:spacing w:after="0" w:line="3" w:lineRule="exact"/>
        <w:rPr>
          <w:rFonts w:ascii="Times New Roman" w:cs="Times New Roman" w:eastAsia="Times New Roman" w:hAnsi="Times New Roman"/>
          <w:sz w:val="16"/>
          <w:szCs w:val="16"/>
          <w:color w:val="auto"/>
        </w:rPr>
      </w:pPr>
    </w:p>
    <w:p>
      <w:pPr>
        <w:ind w:left="1020" w:hanging="397"/>
        <w:spacing w:after="0" w:line="255" w:lineRule="auto"/>
        <w:tabs>
          <w:tab w:leader="none" w:pos="10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a Schedule 13G/A filed on February 4, 2022, Invesco Ltd. in its capacity as a parent holding company to its investment advisers may be deemed to beneficially own 3,488,609 shares of Class A Common Stock, which are held of record by clients of Invesco Ltd. The address of Invesco Ltd. is 1555 Peachtree Street NE, Suite 1800, Atlanta, GA 30309.</w:t>
      </w:r>
    </w:p>
    <w:p>
      <w:pPr>
        <w:spacing w:after="0" w:line="1" w:lineRule="exact"/>
        <w:rPr>
          <w:rFonts w:ascii="Times New Roman" w:cs="Times New Roman" w:eastAsia="Times New Roman" w:hAnsi="Times New Roman"/>
          <w:sz w:val="16"/>
          <w:szCs w:val="16"/>
          <w:color w:val="auto"/>
        </w:rPr>
      </w:pPr>
    </w:p>
    <w:p>
      <w:pPr>
        <w:jc w:val="both"/>
        <w:ind w:left="1020" w:right="280" w:hanging="397"/>
        <w:spacing w:after="0" w:line="255" w:lineRule="auto"/>
        <w:tabs>
          <w:tab w:leader="none" w:pos="10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Richard Levy, as Chief Executive Officer and Founder of Victory Park Capital Advisors, LLC has voting and investment discretion over these shares. Mr. Levy disclaims beneficial ownership of the securities except to the extent of his pecuniary interest therein. The Sponsor’s principal business address is 150 North Riverside Plaza, Suite 5200, Chicago, IL 60606.</w:t>
      </w:r>
    </w:p>
    <w:p>
      <w:pPr>
        <w:spacing w:after="0" w:line="1" w:lineRule="exact"/>
        <w:rPr>
          <w:rFonts w:ascii="Times New Roman" w:cs="Times New Roman" w:eastAsia="Times New Roman" w:hAnsi="Times New Roman"/>
          <w:sz w:val="16"/>
          <w:szCs w:val="16"/>
          <w:color w:val="auto"/>
        </w:rPr>
      </w:pPr>
    </w:p>
    <w:p>
      <w:pPr>
        <w:ind w:left="1020" w:right="60" w:hanging="397"/>
        <w:spacing w:after="0" w:line="255" w:lineRule="auto"/>
        <w:tabs>
          <w:tab w:leader="none" w:pos="10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Paired Interests directly held by Bakkt Management, LLC (“Bakkt Management”), corresponding to the vested portion of units in Bakkt Management directly held by each noted person. Subject to certain limitations, units in Bakkt Management are, at the request of the holder, redeemable for an equal number of Paired Interests. One-third of the Bakkt Management units awarded to each officer vested upon the Closing, one-third will vest on October 15, 2022 and the remaining third will vest on October 15, 2023.</w:t>
      </w:r>
    </w:p>
    <w:p>
      <w:pPr>
        <w:spacing w:after="0" w:line="2" w:lineRule="exact"/>
        <w:rPr>
          <w:rFonts w:ascii="Times New Roman" w:cs="Times New Roman" w:eastAsia="Times New Roman" w:hAnsi="Times New Roman"/>
          <w:sz w:val="16"/>
          <w:szCs w:val="16"/>
          <w:color w:val="auto"/>
        </w:rPr>
      </w:pPr>
    </w:p>
    <w:p>
      <w:pPr>
        <w:ind w:left="1020" w:right="20" w:hanging="397"/>
        <w:spacing w:after="0" w:line="255" w:lineRule="auto"/>
        <w:tabs>
          <w:tab w:leader="none" w:pos="10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Paired Interests directly held by Bakkt Management, corresponding to units in Bakkt Management directly held by Mr. Clifton. One third of the Bakkt Management units were released to Mr. Clifton on the date of Closing and the remaining two thirds will be released in one-third increments on each of October 15, 2022 and October 15, 2023.</w:t>
      </w:r>
    </w:p>
    <w:p>
      <w:pPr>
        <w:spacing w:after="0" w:line="1" w:lineRule="exact"/>
        <w:rPr>
          <w:rFonts w:ascii="Times New Roman" w:cs="Times New Roman" w:eastAsia="Times New Roman" w:hAnsi="Times New Roman"/>
          <w:sz w:val="16"/>
          <w:szCs w:val="16"/>
          <w:color w:val="auto"/>
        </w:rPr>
      </w:pPr>
    </w:p>
    <w:p>
      <w:pPr>
        <w:ind w:left="1020" w:right="140" w:hanging="397"/>
        <w:spacing w:after="0" w:line="261" w:lineRule="auto"/>
        <w:tabs>
          <w:tab w:leader="none" w:pos="10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held directly by Goldfinch Co-Invest I, LP, Goldfinch Co-Invest IC LP and Goldfinch Co-Invest IB, LP. Sean Collins, a member of our Board, is a Managing Partner of Goldfinch Co-Invest I GP LLC, the general partner of each of Goldfinch Co-Invest I, LP, Goldfinch Co-Invest IB, LP and Goldfinch Co-Invest IC LP and has voting and investment discretion over these shares. Mr. Collins disclaims beneficial ownership of the shares except to the extent of his pecuniary interest therein.</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118</w:t>
      </w:r>
    </w:p>
    <w:p>
      <w:pPr>
        <w:sectPr>
          <w:pgSz w:w="11900" w:h="16838" w:orient="portrait"/>
          <w:cols w:equalWidth="0" w:num="1">
            <w:col w:w="10600"/>
          </w:cols>
          <w:pgMar w:left="320" w:top="452" w:right="979" w:bottom="1440" w:gutter="0" w:footer="0" w:header="0"/>
        </w:sectPr>
      </w:pPr>
    </w:p>
    <w:bookmarkStart w:id="122" w:name="page123"/>
    <w:bookmarkEnd w:id="12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SELLING SECURITYHOLDERS</w:t>
      </w:r>
    </w:p>
    <w:p>
      <w:pPr>
        <w:spacing w:after="0" w:line="212" w:lineRule="exact"/>
        <w:rPr>
          <w:sz w:val="20"/>
          <w:szCs w:val="20"/>
          <w:color w:val="auto"/>
        </w:rPr>
      </w:pPr>
    </w:p>
    <w:p>
      <w:pPr>
        <w:ind w:left="620" w:right="60"/>
        <w:spacing w:after="0" w:line="267" w:lineRule="auto"/>
        <w:rPr>
          <w:sz w:val="20"/>
          <w:szCs w:val="20"/>
          <w:color w:val="auto"/>
        </w:rPr>
      </w:pPr>
      <w:r>
        <w:rPr>
          <w:rFonts w:ascii="Times New Roman" w:cs="Times New Roman" w:eastAsia="Times New Roman" w:hAnsi="Times New Roman"/>
          <w:sz w:val="16"/>
          <w:szCs w:val="16"/>
          <w:color w:val="auto"/>
        </w:rPr>
        <w:t>This prospectus relates to the issuance by us, and the resale by the Selling Securityholders, of 190,726,638 shares of Class A Common Stock issuable upon the exchange of issued or issuable the Paired Interests. This prospectus also relates to the resale by the Selling Securityholders of (i) 32,500,000 PIPE Shares, (ii) 5,184,300 Founder Shares and (iii) 3,151,890 shares of Class A Common Stock issued upon the “cashless exercise” of a portion of the Private Placement Warrants, which we are registering pursuant to the Registration Rights Agreement and the Subscription Agreements, as applicable.</w:t>
      </w:r>
    </w:p>
    <w:p>
      <w:pPr>
        <w:spacing w:after="0" w:line="162" w:lineRule="exact"/>
        <w:rPr>
          <w:sz w:val="20"/>
          <w:szCs w:val="20"/>
          <w:color w:val="auto"/>
        </w:rPr>
      </w:pPr>
    </w:p>
    <w:p>
      <w:pPr>
        <w:ind w:left="620"/>
        <w:spacing w:after="0" w:line="260" w:lineRule="auto"/>
        <w:rPr>
          <w:sz w:val="20"/>
          <w:szCs w:val="20"/>
          <w:color w:val="auto"/>
        </w:rPr>
      </w:pPr>
      <w:r>
        <w:rPr>
          <w:rFonts w:ascii="Times New Roman" w:cs="Times New Roman" w:eastAsia="Times New Roman" w:hAnsi="Times New Roman"/>
          <w:sz w:val="16"/>
          <w:szCs w:val="16"/>
          <w:color w:val="auto"/>
        </w:rPr>
        <w:t>The Selling Securityholders may from time to time offer and sell any or all of the Class A Common Stock and Warrants set forth below pursuant to this prospectus and any accompanying prospectus supplement. When we refer to the “Selling Securityholders” in this prospectus, we mean the persons listed in the table below, including those aggregated as part of a group, and the pledgees, distributees, donees, transferees, assignees, successors, designees and others who later come to hold any of the Selling Securityholders’ interest in the Class A Common Stock or Warrants other than through a public sale. We cannot advise you as to whether the Selling Securityholders will in fact sell any or all of such Class A Common Stock or Warrants. In addition, the Selling Securityholders may sell, transfer or otherwise dispose of, at any time and from time to time, the Class A Common Stock and Warrants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For information regarding transactions between us and the Selling Securityholders, see the section titled “</w:t>
      </w:r>
      <w:r>
        <w:rPr>
          <w:rFonts w:ascii="Times New Roman" w:cs="Times New Roman" w:eastAsia="Times New Roman" w:hAnsi="Times New Roman"/>
          <w:sz w:val="16"/>
          <w:szCs w:val="16"/>
          <w:i w:val="1"/>
          <w:iCs w:val="1"/>
          <w:color w:val="auto"/>
        </w:rPr>
        <w:t>Certain Relationships and Related Party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Transactions</w:t>
      </w:r>
      <w:r>
        <w:rPr>
          <w:rFonts w:ascii="Times New Roman" w:cs="Times New Roman" w:eastAsia="Times New Roman" w:hAnsi="Times New Roman"/>
          <w:sz w:val="16"/>
          <w:szCs w:val="16"/>
          <w:color w:val="auto"/>
        </w:rPr>
        <w:t>.”</w:t>
      </w:r>
    </w:p>
    <w:p>
      <w:pPr>
        <w:spacing w:after="0" w:line="363" w:lineRule="exact"/>
        <w:rPr>
          <w:sz w:val="20"/>
          <w:szCs w:val="20"/>
          <w:color w:val="auto"/>
        </w:rPr>
      </w:pPr>
    </w:p>
    <w:p>
      <w:pPr>
        <w:ind w:left="620" w:right="560"/>
        <w:spacing w:after="0" w:line="291" w:lineRule="auto"/>
        <w:rPr>
          <w:sz w:val="20"/>
          <w:szCs w:val="20"/>
          <w:color w:val="auto"/>
        </w:rPr>
      </w:pPr>
      <w:r>
        <w:rPr>
          <w:rFonts w:ascii="Times New Roman" w:cs="Times New Roman" w:eastAsia="Times New Roman" w:hAnsi="Times New Roman"/>
          <w:sz w:val="16"/>
          <w:szCs w:val="16"/>
          <w:color w:val="auto"/>
        </w:rPr>
        <w:t>We have determined beneficial ownership in accordance with the rules of the SEC and the information is not necessarily indicative of beneficial ownership for any other purpose.</w:t>
      </w:r>
    </w:p>
    <w:p>
      <w:pPr>
        <w:spacing w:after="0" w:line="140" w:lineRule="exact"/>
        <w:rPr>
          <w:sz w:val="20"/>
          <w:szCs w:val="20"/>
          <w:color w:val="auto"/>
        </w:rPr>
      </w:pPr>
    </w:p>
    <w:p>
      <w:pPr>
        <w:ind w:left="620" w:right="800"/>
        <w:spacing w:after="0" w:line="294" w:lineRule="auto"/>
        <w:rPr>
          <w:sz w:val="20"/>
          <w:szCs w:val="20"/>
          <w:color w:val="auto"/>
        </w:rPr>
      </w:pPr>
      <w:r>
        <w:rPr>
          <w:rFonts w:ascii="Times New Roman" w:cs="Times New Roman" w:eastAsia="Times New Roman" w:hAnsi="Times New Roman"/>
          <w:sz w:val="16"/>
          <w:szCs w:val="16"/>
          <w:color w:val="auto"/>
        </w:rPr>
        <w:t>A Selling Securityholder may sell or otherwise transfer all, some or none of such shares in this offering. See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 for more information.</w:t>
      </w:r>
    </w:p>
    <w:p>
      <w:pPr>
        <w:spacing w:after="0" w:line="140" w:lineRule="exact"/>
        <w:rPr>
          <w:sz w:val="20"/>
          <w:szCs w:val="20"/>
          <w:color w:val="auto"/>
        </w:rPr>
      </w:pPr>
    </w:p>
    <w:p>
      <w:pPr>
        <w:ind w:left="620" w:right="140"/>
        <w:spacing w:after="0" w:line="263" w:lineRule="auto"/>
        <w:rPr>
          <w:sz w:val="20"/>
          <w:szCs w:val="20"/>
          <w:color w:val="auto"/>
        </w:rPr>
      </w:pPr>
      <w:r>
        <w:rPr>
          <w:rFonts w:ascii="Times New Roman" w:cs="Times New Roman" w:eastAsia="Times New Roman" w:hAnsi="Times New Roman"/>
          <w:sz w:val="16"/>
          <w:szCs w:val="16"/>
          <w:color w:val="auto"/>
        </w:rPr>
        <w:t>The following table sets forth, as of March 25, 2022, the names of the Selling Securityholders, the aggregate number of shares of Class A Common Stock and Warrants that the Selling Securityholders may offer pursuant to this prospectus, the beneficial ownership of the Selling Securityholders both before and after the offering, and the shares of Class A Common Stock and Warrants being offered by the Selling Securityholders. The following table does not reflect any other Company securities that the Selling Securityholder may own, beneficially or otherwise. For purposes of the table below, we have assumed that all of the shares covered by this prospectus will be sold and that the Company will deliver shares of Class A Common Stock upon exchange of all Paired Interests.</w:t>
      </w:r>
    </w:p>
    <w:p>
      <w:pPr>
        <w:spacing w:after="0" w:line="167"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Shares of Class A</w:t>
            </w: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4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7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4"/>
            <w:vMerge w:val="restart"/>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4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22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7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420" w:type="dxa"/>
            <w:vAlign w:val="bottom"/>
            <w:gridSpan w:val="4"/>
            <w:vMerge w:val="restart"/>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Held of Record</w:t>
            </w: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4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Held of Record</w:t>
            </w:r>
          </w:p>
        </w:tc>
        <w:tc>
          <w:tcPr>
            <w:tcW w:w="122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A</w:t>
            </w: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7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340" w:type="dxa"/>
            <w:vAlign w:val="bottom"/>
            <w:gridSpan w:val="3"/>
            <w:vMerge w:val="restart"/>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After the Offering</w:t>
            </w: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7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4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3"/>
                <w:szCs w:val="13"/>
                <w:b w:val="1"/>
                <w:bCs w:val="1"/>
                <w:color w:val="auto"/>
                <w:w w:val="99"/>
              </w:rPr>
              <w:t>Prior to the</w:t>
            </w:r>
          </w:p>
        </w:tc>
        <w:tc>
          <w:tcPr>
            <w:tcW w:w="122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340" w:type="dxa"/>
            <w:vAlign w:val="bottom"/>
            <w:tcBorders>
              <w:bottom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4120" w:type="dxa"/>
            <w:vAlign w:val="bottom"/>
            <w:gridSpan w:val="3"/>
          </w:tcPr>
          <w:p>
            <w:pPr>
              <w:ind w:left="176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120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Being Offered</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0" w:type="dxa"/>
            <w:vAlign w:val="bottom"/>
          </w:tcPr>
          <w:p>
            <w:pPr>
              <w:spacing w:after="0"/>
              <w:rPr>
                <w:sz w:val="1"/>
                <w:szCs w:val="1"/>
                <w:color w:val="auto"/>
              </w:rPr>
            </w:pPr>
          </w:p>
        </w:tc>
      </w:tr>
      <w:tr>
        <w:trPr>
          <w:trHeight w:val="188"/>
        </w:trPr>
        <w:tc>
          <w:tcPr>
            <w:tcW w:w="1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Intercontinental Exchange</w:t>
            </w:r>
          </w:p>
        </w:tc>
        <w:tc>
          <w:tcPr>
            <w:tcW w:w="17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5"/>
                <w:szCs w:val="15"/>
                <w:color w:val="auto"/>
              </w:rPr>
              <w:t>Holdings, Inc.</w:t>
            </w:r>
            <w:r>
              <w:rPr>
                <w:rFonts w:ascii="Times New Roman" w:cs="Times New Roman" w:eastAsia="Times New Roman" w:hAnsi="Times New Roman"/>
                <w:sz w:val="21"/>
                <w:szCs w:val="21"/>
                <w:color w:val="auto"/>
                <w:vertAlign w:val="superscript"/>
              </w:rPr>
              <w:t>(1)</w:t>
            </w:r>
          </w:p>
        </w:tc>
        <w:tc>
          <w:tcPr>
            <w:tcW w:w="6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174,793,798</w:t>
            </w:r>
          </w:p>
        </w:tc>
        <w:tc>
          <w:tcPr>
            <w:tcW w:w="1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174,793,798</w:t>
            </w:r>
          </w:p>
        </w:tc>
        <w:tc>
          <w:tcPr>
            <w:tcW w:w="1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VPC Impact Acquisition Holdings Sponsor, LLC</w:t>
            </w:r>
            <w:r>
              <w:rPr>
                <w:rFonts w:ascii="Times New Roman" w:cs="Times New Roman" w:eastAsia="Times New Roman" w:hAnsi="Times New Roman"/>
                <w:sz w:val="22"/>
                <w:szCs w:val="22"/>
                <w:color w:val="auto"/>
                <w:vertAlign w:val="superscript"/>
              </w:rPr>
              <w:t>(2)</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8,336,190</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8,336,190</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1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Securityholders Affiliated with Goldfinch</w:t>
            </w:r>
            <w:r>
              <w:rPr>
                <w:rFonts w:ascii="Times New Roman" w:cs="Times New Roman" w:eastAsia="Times New Roman" w:hAnsi="Times New Roman"/>
                <w:sz w:val="22"/>
                <w:szCs w:val="22"/>
                <w:color w:val="auto"/>
                <w:vertAlign w:val="superscript"/>
              </w:rPr>
              <w:t>(3)</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3,490,433</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3,490,433</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1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Securityholders Affiliated with Corbin Capital Partners</w:t>
            </w:r>
            <w:r>
              <w:rPr>
                <w:rFonts w:ascii="Times New Roman" w:cs="Times New Roman" w:eastAsia="Times New Roman" w:hAnsi="Times New Roman"/>
                <w:sz w:val="22"/>
                <w:szCs w:val="22"/>
                <w:color w:val="auto"/>
                <w:vertAlign w:val="superscript"/>
              </w:rPr>
              <w:t>(4)</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3,010,876</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3,000,000</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10,876</w:t>
            </w: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1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Empyrean Capital Overseas Master Fund Ltd.</w:t>
            </w:r>
            <w:r>
              <w:rPr>
                <w:rFonts w:ascii="Times New Roman" w:cs="Times New Roman" w:eastAsia="Times New Roman" w:hAnsi="Times New Roman"/>
                <w:sz w:val="22"/>
                <w:szCs w:val="22"/>
                <w:color w:val="auto"/>
                <w:vertAlign w:val="superscript"/>
              </w:rPr>
              <w:t>(5)</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3,000,000</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1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Tech Opportunities LLC</w:t>
            </w:r>
            <w:r>
              <w:rPr>
                <w:rFonts w:ascii="Times New Roman" w:cs="Times New Roman" w:eastAsia="Times New Roman" w:hAnsi="Times New Roman"/>
                <w:sz w:val="22"/>
                <w:szCs w:val="22"/>
                <w:color w:val="auto"/>
                <w:vertAlign w:val="superscript"/>
              </w:rPr>
              <w:t>(6)</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3,000,000</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1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The Boston Consulting Group, Inc.</w:t>
            </w:r>
            <w:r>
              <w:rPr>
                <w:rFonts w:ascii="Times New Roman" w:cs="Times New Roman" w:eastAsia="Times New Roman" w:hAnsi="Times New Roman"/>
                <w:sz w:val="22"/>
                <w:szCs w:val="22"/>
                <w:color w:val="auto"/>
                <w:vertAlign w:val="superscript"/>
              </w:rPr>
              <w:t>(7)</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2,752,933</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2,752,933</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1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Pantera BH LLC</w:t>
            </w:r>
            <w:r>
              <w:rPr>
                <w:rFonts w:ascii="Times New Roman" w:cs="Times New Roman" w:eastAsia="Times New Roman" w:hAnsi="Times New Roman"/>
                <w:sz w:val="22"/>
                <w:szCs w:val="22"/>
                <w:color w:val="auto"/>
                <w:vertAlign w:val="superscript"/>
              </w:rPr>
              <w:t>(8)</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2,717,437</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2,717,437</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1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Microsoft Global Finance</w:t>
            </w:r>
            <w:r>
              <w:rPr>
                <w:rFonts w:ascii="Times New Roman" w:cs="Times New Roman" w:eastAsia="Times New Roman" w:hAnsi="Times New Roman"/>
                <w:sz w:val="22"/>
                <w:szCs w:val="22"/>
                <w:color w:val="auto"/>
                <w:vertAlign w:val="superscript"/>
              </w:rPr>
              <w:t>(9)</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2,697,399</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2,697,399</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Adage Capital Partners, L.P.</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2,500,000</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1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Beaumont Glory Limited</w:t>
            </w:r>
            <w:r>
              <w:rPr>
                <w:rFonts w:ascii="Times New Roman" w:cs="Times New Roman" w:eastAsia="Times New Roman" w:hAnsi="Times New Roman"/>
                <w:sz w:val="22"/>
                <w:szCs w:val="22"/>
                <w:color w:val="auto"/>
                <w:vertAlign w:val="superscript"/>
              </w:rPr>
              <w:t>(10)</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2,263,876</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2,263,876</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jc w:val="right"/>
              <w:ind w:right="518"/>
              <w:spacing w:after="0"/>
              <w:rPr>
                <w:sz w:val="20"/>
                <w:szCs w:val="20"/>
                <w:color w:val="auto"/>
              </w:rPr>
            </w:pPr>
            <w:r>
              <w:rPr>
                <w:rFonts w:ascii="Times New Roman" w:cs="Times New Roman" w:eastAsia="Times New Roman" w:hAnsi="Times New Roman"/>
                <w:sz w:val="16"/>
                <w:szCs w:val="16"/>
                <w:color w:val="auto"/>
              </w:rPr>
              <w:t>119</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320" w:top="452" w:right="979" w:bottom="1440" w:gutter="0" w:footer="0" w:header="0"/>
        </w:sectPr>
      </w:pPr>
    </w:p>
    <w:bookmarkStart w:id="123" w:name="page124"/>
    <w:bookmarkEnd w:id="12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63"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Shares of Class A</w:t>
            </w: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7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restart"/>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20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1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7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80" w:type="dxa"/>
            <w:vAlign w:val="bottom"/>
            <w:gridSpan w:val="4"/>
            <w:vMerge w:val="restart"/>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Held of Record</w:t>
            </w: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Held of Record</w:t>
            </w:r>
          </w:p>
        </w:tc>
        <w:tc>
          <w:tcPr>
            <w:tcW w:w="120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1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7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300" w:type="dxa"/>
            <w:vAlign w:val="bottom"/>
            <w:gridSpan w:val="3"/>
            <w:vMerge w:val="restart"/>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After the Offering</w:t>
            </w: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7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9"/>
              </w:rPr>
              <w:t>Prior to the</w:t>
            </w:r>
          </w:p>
        </w:tc>
        <w:tc>
          <w:tcPr>
            <w:tcW w:w="120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300" w:type="dxa"/>
            <w:vAlign w:val="bottom"/>
            <w:tcBorders>
              <w:bottom w:val="single" w:sz="8" w:color="auto"/>
            </w:tcBorders>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5320" w:type="dxa"/>
            <w:vAlign w:val="bottom"/>
            <w:gridSpan w:val="3"/>
          </w:tcPr>
          <w:p>
            <w:pPr>
              <w:ind w:left="176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Being Offered</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0" w:type="dxa"/>
            <w:vAlign w:val="bottom"/>
          </w:tcPr>
          <w:p>
            <w:pPr>
              <w:spacing w:after="0"/>
              <w:rPr>
                <w:sz w:val="1"/>
                <w:szCs w:val="1"/>
                <w:color w:val="auto"/>
              </w:rPr>
            </w:pPr>
          </w:p>
        </w:tc>
      </w:tr>
      <w:tr>
        <w:trPr>
          <w:trHeight w:val="188"/>
        </w:trPr>
        <w:tc>
          <w:tcPr>
            <w:tcW w:w="17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5"/>
                <w:szCs w:val="15"/>
                <w:color w:val="auto"/>
              </w:rPr>
              <w:t>Starbucks Corporation</w:t>
            </w:r>
            <w:r>
              <w:rPr>
                <w:rFonts w:ascii="Times New Roman" w:cs="Times New Roman" w:eastAsia="Times New Roman" w:hAnsi="Times New Roman"/>
                <w:sz w:val="21"/>
                <w:szCs w:val="21"/>
                <w:color w:val="auto"/>
                <w:vertAlign w:val="superscript"/>
              </w:rPr>
              <w:t>(11)</w:t>
            </w:r>
          </w:p>
        </w:tc>
        <w:tc>
          <w:tcPr>
            <w:tcW w:w="172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2,191,307</w:t>
            </w:r>
          </w:p>
        </w:tc>
        <w:tc>
          <w:tcPr>
            <w:tcW w:w="2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2,191,307</w:t>
            </w:r>
          </w:p>
        </w:tc>
        <w:tc>
          <w:tcPr>
            <w:tcW w:w="2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Securityholders Affiliated with Aristeia</w:t>
            </w:r>
            <w:r>
              <w:rPr>
                <w:rFonts w:ascii="Times New Roman" w:cs="Times New Roman" w:eastAsia="Times New Roman" w:hAnsi="Times New Roman"/>
                <w:sz w:val="22"/>
                <w:szCs w:val="22"/>
                <w:color w:val="auto"/>
                <w:vertAlign w:val="superscript"/>
              </w:rPr>
              <w:t>(12)</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260" w:type="dxa"/>
            <w:vAlign w:val="bottom"/>
          </w:tcPr>
          <w:p>
            <w:pPr>
              <w:spacing w:after="0"/>
              <w:rPr>
                <w:sz w:val="17"/>
                <w:szCs w:val="17"/>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Soroban Opportunities Master Fund LP</w:t>
            </w:r>
            <w:r>
              <w:rPr>
                <w:rFonts w:ascii="Times New Roman" w:cs="Times New Roman" w:eastAsia="Times New Roman" w:hAnsi="Times New Roman"/>
                <w:sz w:val="22"/>
                <w:szCs w:val="22"/>
                <w:color w:val="auto"/>
                <w:vertAlign w:val="superscript"/>
              </w:rPr>
              <w:t>(13)</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2,000,000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PayU Fintech Investments B.V. (Naspers)</w:t>
            </w:r>
            <w:r>
              <w:rPr>
                <w:rFonts w:ascii="Times New Roman" w:cs="Times New Roman" w:eastAsia="Times New Roman" w:hAnsi="Times New Roman"/>
                <w:sz w:val="22"/>
                <w:szCs w:val="22"/>
                <w:color w:val="auto"/>
                <w:vertAlign w:val="superscript"/>
              </w:rPr>
              <w:t>(14)</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1,611,519</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1,611,519</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Securityholders Affiliated with Apollo</w:t>
            </w:r>
            <w:r>
              <w:rPr>
                <w:rFonts w:ascii="Times New Roman" w:cs="Times New Roman" w:eastAsia="Times New Roman" w:hAnsi="Times New Roman"/>
                <w:sz w:val="22"/>
                <w:szCs w:val="22"/>
                <w:color w:val="auto"/>
                <w:vertAlign w:val="superscript"/>
              </w:rPr>
              <w:t>(15)</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1,500,000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MMF LT, LLC</w:t>
            </w:r>
            <w:r>
              <w:rPr>
                <w:rFonts w:ascii="Times New Roman" w:cs="Times New Roman" w:eastAsia="Times New Roman" w:hAnsi="Times New Roman"/>
                <w:sz w:val="22"/>
                <w:szCs w:val="22"/>
                <w:color w:val="auto"/>
                <w:vertAlign w:val="superscript"/>
              </w:rPr>
              <w:t>(16)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260" w:type="dxa"/>
            <w:vAlign w:val="bottom"/>
          </w:tcPr>
          <w:p>
            <w:pPr>
              <w:spacing w:after="0"/>
              <w:rPr>
                <w:sz w:val="17"/>
                <w:szCs w:val="17"/>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Securityholders Affiliated with Luxor</w:t>
            </w:r>
            <w:r>
              <w:rPr>
                <w:rFonts w:ascii="Times New Roman" w:cs="Times New Roman" w:eastAsia="Times New Roman" w:hAnsi="Times New Roman"/>
                <w:sz w:val="22"/>
                <w:szCs w:val="22"/>
                <w:color w:val="auto"/>
                <w:vertAlign w:val="superscript"/>
              </w:rPr>
              <w:t>(17)</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1,250,000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Elwood US Investor 1 Inc.</w:t>
            </w:r>
            <w:r>
              <w:rPr>
                <w:rFonts w:ascii="Times New Roman" w:cs="Times New Roman" w:eastAsia="Times New Roman" w:hAnsi="Times New Roman"/>
                <w:sz w:val="22"/>
                <w:szCs w:val="22"/>
                <w:color w:val="auto"/>
                <w:vertAlign w:val="superscript"/>
              </w:rPr>
              <w:t>(18)</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1,100,777</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1,100,777</w:t>
            </w:r>
          </w:p>
        </w:tc>
        <w:tc>
          <w:tcPr>
            <w:tcW w:w="260" w:type="dxa"/>
            <w:vAlign w:val="bottom"/>
          </w:tcPr>
          <w:p>
            <w:pPr>
              <w:spacing w:after="0"/>
              <w:rPr>
                <w:sz w:val="17"/>
                <w:szCs w:val="17"/>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Galaxy Digital Ventures LLC</w:t>
            </w:r>
            <w:r>
              <w:rPr>
                <w:rFonts w:ascii="Times New Roman" w:cs="Times New Roman" w:eastAsia="Times New Roman" w:hAnsi="Times New Roman"/>
                <w:sz w:val="22"/>
                <w:szCs w:val="22"/>
                <w:color w:val="auto"/>
                <w:vertAlign w:val="superscript"/>
              </w:rPr>
              <w:t>(19)</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1,100,777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1,100,777</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Highbridge Tactical Credit Master Fund, L.P.</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260" w:type="dxa"/>
            <w:vAlign w:val="bottom"/>
          </w:tcPr>
          <w:p>
            <w:pPr>
              <w:spacing w:after="0"/>
              <w:rPr>
                <w:sz w:val="17"/>
                <w:szCs w:val="17"/>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Securityholders Affiliated with TimesSquare Investment Advisor</w:t>
            </w:r>
            <w:r>
              <w:rPr>
                <w:rFonts w:ascii="Times New Roman" w:cs="Times New Roman" w:eastAsia="Times New Roman" w:hAnsi="Times New Roman"/>
                <w:sz w:val="22"/>
                <w:szCs w:val="22"/>
                <w:color w:val="auto"/>
                <w:vertAlign w:val="superscript"/>
              </w:rPr>
              <w:t>(20)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800,000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800,000</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Securityholders Affiliated with CMT</w:t>
            </w:r>
            <w:r>
              <w:rPr>
                <w:rFonts w:ascii="Times New Roman" w:cs="Times New Roman" w:eastAsia="Times New Roman" w:hAnsi="Times New Roman"/>
                <w:sz w:val="22"/>
                <w:szCs w:val="22"/>
                <w:color w:val="auto"/>
                <w:vertAlign w:val="superscript"/>
              </w:rPr>
              <w:t>(21)</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714,026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714,026</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Securityholders Affiliated with Seven Grand</w:t>
            </w:r>
            <w:r>
              <w:rPr>
                <w:rFonts w:ascii="Times New Roman" w:cs="Times New Roman" w:eastAsia="Times New Roman" w:hAnsi="Times New Roman"/>
                <w:sz w:val="22"/>
                <w:szCs w:val="22"/>
                <w:color w:val="auto"/>
                <w:vertAlign w:val="superscript"/>
              </w:rPr>
              <w:t>(22)</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600,000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600,000</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Alyeska Master Fund, L.P.</w:t>
            </w:r>
            <w:r>
              <w:rPr>
                <w:rFonts w:ascii="Times New Roman" w:cs="Times New Roman" w:eastAsia="Times New Roman" w:hAnsi="Times New Roman"/>
                <w:sz w:val="22"/>
                <w:szCs w:val="22"/>
                <w:color w:val="auto"/>
                <w:vertAlign w:val="superscript"/>
              </w:rPr>
              <w:t>(23)</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600,000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600,000</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47,042</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Eagle Seven Digital Investments, LLC</w:t>
            </w:r>
            <w:r>
              <w:rPr>
                <w:rFonts w:ascii="Times New Roman" w:cs="Times New Roman" w:eastAsia="Times New Roman" w:hAnsi="Times New Roman"/>
                <w:sz w:val="22"/>
                <w:szCs w:val="22"/>
                <w:color w:val="auto"/>
                <w:vertAlign w:val="superscript"/>
              </w:rPr>
              <w:t>(24)</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565,969</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565,969</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Securityholders Affiliated with Maso Capital</w:t>
            </w:r>
            <w:r>
              <w:rPr>
                <w:rFonts w:ascii="Times New Roman" w:cs="Times New Roman" w:eastAsia="Times New Roman" w:hAnsi="Times New Roman"/>
                <w:sz w:val="22"/>
                <w:szCs w:val="22"/>
                <w:color w:val="auto"/>
                <w:vertAlign w:val="superscript"/>
              </w:rPr>
              <w:t>(25)</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500,000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500,000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Securityholders Affiliated with Monashee</w:t>
            </w:r>
            <w:r>
              <w:rPr>
                <w:rFonts w:ascii="Times New Roman" w:cs="Times New Roman" w:eastAsia="Times New Roman" w:hAnsi="Times New Roman"/>
                <w:sz w:val="22"/>
                <w:szCs w:val="22"/>
                <w:color w:val="auto"/>
                <w:vertAlign w:val="superscript"/>
              </w:rPr>
              <w:t>(26)</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500,000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500,000</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Securityholders Affiliated with Nantahala Capital Management, LLC</w:t>
            </w:r>
            <w:r>
              <w:rPr>
                <w:rFonts w:ascii="Times New Roman" w:cs="Times New Roman" w:eastAsia="Times New Roman" w:hAnsi="Times New Roman"/>
                <w:sz w:val="22"/>
                <w:szCs w:val="22"/>
                <w:color w:val="auto"/>
                <w:vertAlign w:val="superscript"/>
              </w:rPr>
              <w:t>(27)</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500,000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500,000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Kepos Alpha Master Fund L.P.</w:t>
            </w:r>
            <w:r>
              <w:rPr>
                <w:rFonts w:ascii="Times New Roman" w:cs="Times New Roman" w:eastAsia="Times New Roman" w:hAnsi="Times New Roman"/>
                <w:sz w:val="22"/>
                <w:szCs w:val="22"/>
                <w:color w:val="auto"/>
                <w:vertAlign w:val="superscript"/>
              </w:rPr>
              <w:t>(28)</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500,000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500,000</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Magnetar Capital Master Fund, Ltd</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500,000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500,000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Sculptor Special Funding, LP</w:t>
            </w:r>
            <w:r>
              <w:rPr>
                <w:rFonts w:ascii="Times New Roman" w:cs="Times New Roman" w:eastAsia="Times New Roman" w:hAnsi="Times New Roman"/>
                <w:sz w:val="22"/>
                <w:szCs w:val="22"/>
                <w:color w:val="auto"/>
                <w:vertAlign w:val="superscript"/>
              </w:rPr>
              <w:t>(29)</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500,000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500,000</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Securityholders Affiliated with Glazer</w:t>
            </w:r>
            <w:r>
              <w:rPr>
                <w:rFonts w:ascii="Times New Roman" w:cs="Times New Roman" w:eastAsia="Times New Roman" w:hAnsi="Times New Roman"/>
                <w:sz w:val="22"/>
                <w:szCs w:val="22"/>
                <w:color w:val="auto"/>
                <w:vertAlign w:val="superscript"/>
              </w:rPr>
              <w:t>(30)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300,000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300,000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Securityholders Affiliated with Water Island</w:t>
            </w:r>
            <w:r>
              <w:rPr>
                <w:rFonts w:ascii="Times New Roman" w:cs="Times New Roman" w:eastAsia="Times New Roman" w:hAnsi="Times New Roman"/>
                <w:sz w:val="22"/>
                <w:szCs w:val="22"/>
                <w:color w:val="auto"/>
                <w:vertAlign w:val="superscript"/>
              </w:rPr>
              <w:t>(31)</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300,000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300,000</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Ghisallo Master Fund LP</w:t>
            </w:r>
            <w:r>
              <w:rPr>
                <w:rFonts w:ascii="Times New Roman" w:cs="Times New Roman" w:eastAsia="Times New Roman" w:hAnsi="Times New Roman"/>
                <w:sz w:val="22"/>
                <w:szCs w:val="22"/>
                <w:color w:val="auto"/>
                <w:vertAlign w:val="superscript"/>
              </w:rPr>
              <w:t>(32)</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250,000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250,000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Securityholders Affiliated with Benjamin Nickoll</w:t>
            </w:r>
            <w:r>
              <w:rPr>
                <w:rFonts w:ascii="Times New Roman" w:cs="Times New Roman" w:eastAsia="Times New Roman" w:hAnsi="Times New Roman"/>
                <w:sz w:val="22"/>
                <w:szCs w:val="22"/>
                <w:color w:val="auto"/>
                <w:vertAlign w:val="superscript"/>
              </w:rPr>
              <w:t>(33)</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235,000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235,000</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Securityholders Affiliated with Richard Marini</w:t>
            </w:r>
            <w:r>
              <w:rPr>
                <w:rFonts w:ascii="Times New Roman" w:cs="Times New Roman" w:eastAsia="Times New Roman" w:hAnsi="Times New Roman"/>
                <w:sz w:val="22"/>
                <w:szCs w:val="22"/>
                <w:color w:val="auto"/>
                <w:vertAlign w:val="superscript"/>
              </w:rPr>
              <w:t>(34)</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226,387</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226,387</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WNI LLC</w:t>
            </w:r>
            <w:r>
              <w:rPr>
                <w:rFonts w:ascii="Times New Roman" w:cs="Times New Roman" w:eastAsia="Times New Roman" w:hAnsi="Times New Roman"/>
                <w:sz w:val="22"/>
                <w:szCs w:val="22"/>
                <w:color w:val="auto"/>
                <w:vertAlign w:val="superscript"/>
              </w:rPr>
              <w:t>(35)</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70,000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70,000</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Kurt Summers</w:t>
            </w:r>
            <w:r>
              <w:rPr>
                <w:rFonts w:ascii="Times New Roman" w:cs="Times New Roman" w:eastAsia="Times New Roman" w:hAnsi="Times New Roman"/>
                <w:sz w:val="22"/>
                <w:szCs w:val="22"/>
                <w:color w:val="auto"/>
                <w:vertAlign w:val="superscript"/>
              </w:rPr>
              <w:t>(36)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20,000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Kai Schmitz</w:t>
            </w:r>
            <w:r>
              <w:rPr>
                <w:rFonts w:ascii="Times New Roman" w:cs="Times New Roman" w:eastAsia="Times New Roman" w:hAnsi="Times New Roman"/>
                <w:sz w:val="22"/>
                <w:szCs w:val="22"/>
                <w:color w:val="auto"/>
                <w:vertAlign w:val="superscript"/>
              </w:rPr>
              <w:t>(37)</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20,000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235,000</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line="197" w:lineRule="exact"/>
              <w:rPr>
                <w:sz w:val="20"/>
                <w:szCs w:val="20"/>
                <w:color w:val="auto"/>
              </w:rPr>
            </w:pPr>
            <w:r>
              <w:rPr>
                <w:rFonts w:ascii="Times New Roman" w:cs="Times New Roman" w:eastAsia="Times New Roman" w:hAnsi="Times New Roman"/>
                <w:sz w:val="16"/>
                <w:szCs w:val="16"/>
                <w:color w:val="auto"/>
              </w:rPr>
              <w:t>Adrienne Harris</w:t>
            </w:r>
            <w:r>
              <w:rPr>
                <w:rFonts w:ascii="Times New Roman" w:cs="Times New Roman" w:eastAsia="Times New Roman" w:hAnsi="Times New Roman"/>
                <w:sz w:val="22"/>
                <w:szCs w:val="22"/>
                <w:color w:val="auto"/>
                <w:vertAlign w:val="superscript"/>
              </w:rPr>
              <w:t>(38)</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20,000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BNCA 2011 Directed Irrevocable Trust</w:t>
            </w:r>
            <w:r>
              <w:rPr>
                <w:rFonts w:ascii="Times New Roman" w:cs="Times New Roman" w:eastAsia="Times New Roman" w:hAnsi="Times New Roman"/>
                <w:sz w:val="22"/>
                <w:szCs w:val="22"/>
                <w:color w:val="auto"/>
                <w:vertAlign w:val="superscript"/>
              </w:rPr>
              <w:t>(39)</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50,000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50,000</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Christine Armstrong</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45,000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45,000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020" w:hanging="397"/>
        <w:spacing w:after="0"/>
        <w:tabs>
          <w:tab w:leader="none" w:pos="10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8" w:lineRule="exact"/>
        <w:rPr>
          <w:sz w:val="20"/>
          <w:szCs w:val="20"/>
          <w:color w:val="auto"/>
        </w:rPr>
      </w:pPr>
    </w:p>
    <w:p>
      <w:pPr>
        <w:ind w:left="1020" w:hanging="397"/>
        <w:spacing w:after="0" w:line="255" w:lineRule="auto"/>
        <w:tabs>
          <w:tab w:leader="none" w:pos="10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4,714,336 shares of Class A Common Stock beneficially owned and (ii) 170,079,462 shares of Class A Common Stock that may be acquired upon the exchange of a corresponding number of Paired Interests. For information regarding the relationship between the Selling Stockholder and the Company, please see “</w:t>
      </w:r>
      <w:r>
        <w:rPr>
          <w:rFonts w:ascii="Times New Roman" w:cs="Times New Roman" w:eastAsia="Times New Roman" w:hAnsi="Times New Roman"/>
          <w:sz w:val="16"/>
          <w:szCs w:val="16"/>
          <w:i w:val="1"/>
          <w:iCs w:val="1"/>
          <w:color w:val="auto"/>
        </w:rPr>
        <w:t>Certain Relationships and Related Party Transactions.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ind w:left="1020" w:hanging="397"/>
        <w:spacing w:after="0" w:line="255" w:lineRule="auto"/>
        <w:tabs>
          <w:tab w:leader="none" w:pos="10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Richard N. Levy, as Chief Executive Officer and Founder of Victory Park Capital Advisors, LLC, has voting and investment discretion with respect to the securities held of record by VPC Impact Acquisition Holdings Sponsor, LLC. Mr. Levy disclaims any beneficial ownership of the securities held by VPC Impact Acquisition Holdings Sponsor, LLC other than to the extent of any pecuniary interest he may have therein, directly or indirectly.</w:t>
      </w:r>
    </w:p>
    <w:p>
      <w:pPr>
        <w:spacing w:after="0" w:line="2" w:lineRule="exact"/>
        <w:rPr>
          <w:rFonts w:ascii="Times New Roman" w:cs="Times New Roman" w:eastAsia="Times New Roman" w:hAnsi="Times New Roman"/>
          <w:sz w:val="16"/>
          <w:szCs w:val="16"/>
          <w:color w:val="auto"/>
        </w:rPr>
      </w:pPr>
    </w:p>
    <w:p>
      <w:pPr>
        <w:ind w:left="1020" w:right="140" w:hanging="397"/>
        <w:spacing w:after="0" w:line="271" w:lineRule="auto"/>
        <w:tabs>
          <w:tab w:leader="none" w:pos="10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582,323 shares of Class A Common Stock held directly by Goldfinch Co-Invest IC LP, (ii) 2,751,943 shares of Class A Common Stock that may be acquired by Goldfinch Co-Invest I LP upon the</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120</w:t>
      </w:r>
    </w:p>
    <w:p>
      <w:pPr>
        <w:sectPr>
          <w:pgSz w:w="11900" w:h="16838" w:orient="portrait"/>
          <w:cols w:equalWidth="0" w:num="1">
            <w:col w:w="10560"/>
          </w:cols>
          <w:pgMar w:left="320" w:top="453" w:right="1019" w:bottom="1440" w:gutter="0" w:footer="0" w:header="0"/>
        </w:sectPr>
      </w:pPr>
    </w:p>
    <w:bookmarkStart w:id="124" w:name="page125"/>
    <w:bookmarkEnd w:id="12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020" w:right="80"/>
        <w:spacing w:after="0" w:line="259" w:lineRule="auto"/>
        <w:rPr>
          <w:sz w:val="20"/>
          <w:szCs w:val="20"/>
          <w:color w:val="auto"/>
        </w:rPr>
      </w:pPr>
      <w:r>
        <w:rPr>
          <w:rFonts w:ascii="Times New Roman" w:cs="Times New Roman" w:eastAsia="Times New Roman" w:hAnsi="Times New Roman"/>
          <w:sz w:val="16"/>
          <w:szCs w:val="16"/>
          <w:color w:val="auto"/>
        </w:rPr>
        <w:t>exchange of a corresponding number of Paired Interests and (iii) 156,167 shares of Class A Common Stock that may be acquired by Goldfinch Co-Invest IB LP upon the exchange of a corresponding number of Paired Interests. Sean Collins, a member of our Board and prior to the Closing, a member of the board of managers of Opco, is a Managing Partner of Goldfinch Co-Invest I GP LLC, the general partner of each of Goldfinch Co-Invest IC LP, Goldfinch Co-Invest I, LP and Goldfinch Co-Invest IB, LP, which has voting and investment discretion over these shares. Mr. Collins disclaims beneficial ownership of the shares except to the extent of his pecuniary interest therein.</w:t>
      </w:r>
    </w:p>
    <w:p>
      <w:pPr>
        <w:spacing w:after="0" w:line="3" w:lineRule="exact"/>
        <w:rPr>
          <w:sz w:val="20"/>
          <w:szCs w:val="20"/>
          <w:color w:val="auto"/>
        </w:rPr>
      </w:pPr>
    </w:p>
    <w:p>
      <w:pPr>
        <w:ind w:left="1020" w:right="20" w:hanging="397"/>
        <w:spacing w:after="0" w:line="255" w:lineRule="auto"/>
        <w:tabs>
          <w:tab w:leader="none" w:pos="10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1,551,876 shares of Class A Common Stock held directly by Corbin ERISA Opportunity Fund, Ltd., (ii) 44,608 shares of Class A Common Stock that may be acquired upon the exercise of Warrants held directly by Corbin ERISA Opportunity Fund, Ltd., (iii) 759,000 shares of Class A Common Stock held directly by Corbin Opportunity Fund, L.P., (iv) 23,131 shares of Class A Common Stock that may be acquired upon the exercise of Warrants held directly by Corbin Opportunity Fund, L.P., (v) 600,000 shares of Class A Common Stock held directly by Pinehurst Partners, L.P. and (vi) 100,000 shares of Class A Common Stock held directly by Core Alternative Strategies Fund, L.P. Craig Bergstrom, as the Chief Investment Officer of Corbin Capital Partners, L.P., the investment manager of Corbin ERISA Opportunity Fund, Ltd., Corbin Opportunity Fund, L.P., Pinehurst Partners, L.P. and Core Alternative Strategies Fund, L.P., makes voting and investment decisions for Corbin ERISA Opportunity Fund, Ltd., Corbin Opportunity Fund, L.P., Pinehurst Partners, L.P. and Core Alternative Strategies Fund, L.P., but disclaims beneficial ownership of the shares held by them.</w:t>
      </w:r>
    </w:p>
    <w:p>
      <w:pPr>
        <w:spacing w:after="0" w:line="5" w:lineRule="exact"/>
        <w:rPr>
          <w:rFonts w:ascii="Times New Roman" w:cs="Times New Roman" w:eastAsia="Times New Roman" w:hAnsi="Times New Roman"/>
          <w:sz w:val="16"/>
          <w:szCs w:val="16"/>
          <w:color w:val="auto"/>
        </w:rPr>
      </w:pPr>
    </w:p>
    <w:p>
      <w:pPr>
        <w:ind w:left="1020" w:right="40" w:hanging="397"/>
        <w:spacing w:after="0" w:line="255" w:lineRule="auto"/>
        <w:tabs>
          <w:tab w:leader="none" w:pos="10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Empyrean Capital Partners, LP (“Empyrean”) serves as investment manager to Empyrean Capital Overseas Master Fund, Ltd. (“ECOMF”), and has voting and investment control of the shares held by ECOMF. Empyrean Capital, LLC serves as the general partner to Empyrean. Amos Meron is the managing member of Empyrean Capital, LLC, and as such may be deemed to have voting and dispositive control of the shares held by</w:t>
      </w:r>
    </w:p>
    <w:p>
      <w:pPr>
        <w:spacing w:after="0" w:line="1"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ECOMF.</w:t>
      </w:r>
    </w:p>
    <w:p>
      <w:pPr>
        <w:spacing w:after="0" w:line="12" w:lineRule="exact"/>
        <w:rPr>
          <w:rFonts w:ascii="Times New Roman" w:cs="Times New Roman" w:eastAsia="Times New Roman" w:hAnsi="Times New Roman"/>
          <w:sz w:val="16"/>
          <w:szCs w:val="16"/>
          <w:color w:val="auto"/>
        </w:rPr>
      </w:pPr>
    </w:p>
    <w:p>
      <w:pPr>
        <w:ind w:left="1020" w:right="60" w:hanging="397"/>
        <w:spacing w:after="0" w:line="255" w:lineRule="auto"/>
        <w:tabs>
          <w:tab w:leader="none" w:pos="10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Hudson Bay Capital Management LP, the investment manager of Tech Opportunities LLC, has voting and investment power over these securities. Sander Gerber is the managing member of Hudson Bay Capital GP LLC, which is the general partner of Hudson Bay Capital Management LP. Each of Tech Opportunities LLC and Sander Gerber disclaims beneficial ownership over these securities.</w:t>
      </w:r>
    </w:p>
    <w:p>
      <w:pPr>
        <w:spacing w:after="0" w:line="1" w:lineRule="exact"/>
        <w:rPr>
          <w:rFonts w:ascii="Times New Roman" w:cs="Times New Roman" w:eastAsia="Times New Roman" w:hAnsi="Times New Roman"/>
          <w:sz w:val="16"/>
          <w:szCs w:val="16"/>
          <w:color w:val="auto"/>
        </w:rPr>
      </w:pPr>
    </w:p>
    <w:p>
      <w:pPr>
        <w:ind w:left="1020" w:hanging="397"/>
        <w:spacing w:after="0" w:line="255" w:lineRule="auto"/>
        <w:tabs>
          <w:tab w:leader="none" w:pos="10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1,959,581 shares of Class A Common Stock that may be acquired upon the exchange of a corresponding number of Paired Interests held directly by the Boston Consulting Group (“BCG”) and (ii) 793,352 shares of Class A Common Stock that may be acquired upon the exchange of a corresponding number of Paired Interests, which Paired Interests may be acquired upon the exercise of outstanding of warrants held directly by BCG. A portion of such warrants are subject to ongoing vesting requirements. The resale of such warrants is not registered hereby. BCG had certain Opco board observer rights prior to the Closing, and it has provided, and may in the future provide, Opco with certain consulting services. Paul Tranter as CFO of BCG has the power to vote or dispose of these securities pursuant to authority delegated to him under BCG’s governance structure. Mr. Tranter disclaims beneficial ownership of these securities except to the extent of his indirect pecuniary interest therein.</w:t>
      </w:r>
    </w:p>
    <w:p>
      <w:pPr>
        <w:spacing w:after="0" w:line="4" w:lineRule="exact"/>
        <w:rPr>
          <w:rFonts w:ascii="Times New Roman" w:cs="Times New Roman" w:eastAsia="Times New Roman" w:hAnsi="Times New Roman"/>
          <w:sz w:val="16"/>
          <w:szCs w:val="16"/>
          <w:color w:val="auto"/>
        </w:rPr>
      </w:pPr>
    </w:p>
    <w:p>
      <w:pPr>
        <w:ind w:left="1020" w:right="40" w:hanging="397"/>
        <w:spacing w:after="0" w:line="255" w:lineRule="auto"/>
        <w:tabs>
          <w:tab w:leader="none" w:pos="10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2,598,230 shares of Class A Common Stock that may be acquired upon the exchange of a corresponding number of Paired Interests and (ii) 119,207 shares of Class A Common Stock.</w:t>
      </w:r>
    </w:p>
    <w:p>
      <w:pPr>
        <w:spacing w:after="0" w:line="1"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2,697,399 shares of Class A Common Stock that may be acquired upon the exchange of a corresponding number of Paired interests.</w:t>
      </w:r>
    </w:p>
    <w:p>
      <w:pPr>
        <w:spacing w:after="0" w:line="12" w:lineRule="exact"/>
        <w:rPr>
          <w:rFonts w:ascii="Times New Roman" w:cs="Times New Roman" w:eastAsia="Times New Roman" w:hAnsi="Times New Roman"/>
          <w:sz w:val="16"/>
          <w:szCs w:val="16"/>
          <w:color w:val="auto"/>
        </w:rPr>
      </w:pPr>
    </w:p>
    <w:p>
      <w:pPr>
        <w:ind w:left="1020" w:right="40" w:hanging="397"/>
        <w:spacing w:after="0" w:line="255" w:lineRule="auto"/>
        <w:tabs>
          <w:tab w:leader="none" w:pos="10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2,201,554 shares of Class A Common Stock that may be acquired upon the exchange of a corresponding number of Paired Interests and (ii) 62,322 shares of Class A Common Stock.</w:t>
      </w:r>
    </w:p>
    <w:p>
      <w:pPr>
        <w:spacing w:after="0" w:line="1" w:lineRule="exact"/>
        <w:rPr>
          <w:rFonts w:ascii="Times New Roman" w:cs="Times New Roman" w:eastAsia="Times New Roman" w:hAnsi="Times New Roman"/>
          <w:sz w:val="16"/>
          <w:szCs w:val="16"/>
          <w:color w:val="auto"/>
        </w:rPr>
      </w:pPr>
    </w:p>
    <w:p>
      <w:pPr>
        <w:ind w:left="1020" w:right="220" w:hanging="397"/>
        <w:spacing w:after="0" w:line="255" w:lineRule="auto"/>
        <w:tabs>
          <w:tab w:leader="none" w:pos="10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2,191,307 shares of Class A Common Stock that may be acquired upon the exchange of a corresponding number of Paired Interests. The Selling Securityholder is our partner, with which we have an ongoing relationship. Rachel Ruggeri has the power to vote or dispose of the shares held by the Selling Securityholder.</w:t>
      </w:r>
    </w:p>
    <w:p>
      <w:pPr>
        <w:spacing w:after="0" w:line="1" w:lineRule="exact"/>
        <w:rPr>
          <w:rFonts w:ascii="Times New Roman" w:cs="Times New Roman" w:eastAsia="Times New Roman" w:hAnsi="Times New Roman"/>
          <w:sz w:val="16"/>
          <w:szCs w:val="16"/>
          <w:color w:val="auto"/>
        </w:rPr>
      </w:pPr>
    </w:p>
    <w:p>
      <w:pPr>
        <w:ind w:left="1020" w:right="60" w:hanging="397"/>
        <w:spacing w:after="0" w:line="263" w:lineRule="auto"/>
        <w:tabs>
          <w:tab w:leader="none" w:pos="10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1,704,562 shares of Class A Common Stock held directly by Aristeia Master, L.P., (ii) 129,419 shares of Class A Common Stock held directly by ASIG International Limited, (iii) 117,852 shares of Class A Common Stock held directly by DS Liquid Div RVA ARST, LLC and (iv) 48,167 shares of Class A Common Stock held directly by Windermere Ireland Fund PLC. Aristeia Capital, L.L.C. and</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121</w:t>
      </w:r>
    </w:p>
    <w:p>
      <w:pPr>
        <w:sectPr>
          <w:pgSz w:w="11900" w:h="16838" w:orient="portrait"/>
          <w:cols w:equalWidth="0" w:num="1">
            <w:col w:w="10620"/>
          </w:cols>
          <w:pgMar w:left="320" w:top="453" w:right="959" w:bottom="1440" w:gutter="0" w:footer="0" w:header="0"/>
        </w:sectPr>
      </w:pPr>
    </w:p>
    <w:bookmarkStart w:id="125" w:name="page126"/>
    <w:bookmarkEnd w:id="12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jc w:val="both"/>
        <w:ind w:left="1020" w:right="100"/>
        <w:spacing w:after="0" w:line="273" w:lineRule="auto"/>
        <w:rPr>
          <w:sz w:val="20"/>
          <w:szCs w:val="20"/>
          <w:color w:val="auto"/>
        </w:rPr>
      </w:pPr>
      <w:r>
        <w:rPr>
          <w:rFonts w:ascii="Times New Roman" w:cs="Times New Roman" w:eastAsia="Times New Roman" w:hAnsi="Times New Roman"/>
          <w:sz w:val="16"/>
          <w:szCs w:val="16"/>
          <w:color w:val="auto"/>
        </w:rPr>
        <w:t>Aristeia Advisors, L.L.C. (collectively, “Aristeia”) may be deemed the beneficial owners of the securities described herein in their capacity as the investment manager and/or general partner, as the case may be, of Aristeia Master, L.P., ASIG International Limited, DS Liquid Div RVA ARST, LLC, and Windermere Ireland Fund PLC (each a “Fund” and collectively, the “Funds”), which are the holders of such securities.</w:t>
      </w:r>
    </w:p>
    <w:p>
      <w:pPr>
        <w:spacing w:after="0" w:line="22" w:lineRule="exact"/>
        <w:rPr>
          <w:sz w:val="20"/>
          <w:szCs w:val="20"/>
          <w:color w:val="auto"/>
        </w:rPr>
      </w:pPr>
    </w:p>
    <w:p>
      <w:pPr>
        <w:ind w:left="1020" w:right="20"/>
        <w:spacing w:after="0" w:line="273" w:lineRule="auto"/>
        <w:rPr>
          <w:sz w:val="20"/>
          <w:szCs w:val="20"/>
          <w:color w:val="auto"/>
        </w:rPr>
      </w:pPr>
      <w:r>
        <w:rPr>
          <w:rFonts w:ascii="Times New Roman" w:cs="Times New Roman" w:eastAsia="Times New Roman" w:hAnsi="Times New Roman"/>
          <w:sz w:val="16"/>
          <w:szCs w:val="16"/>
          <w:color w:val="auto"/>
        </w:rPr>
        <w:t>As investment manager and/or general partner of each Fund, Aristeia has voting and investment control with respect to the securities held by each Fund. Anthony M. Frascella and William R. Techar are the co-Chief Investment Officers of Aristeia. Each of Aristeia and such individuals disclaims beneficial ownership of the securities referenced herein except to the extent of its or his direct or indirect economic interest in the Funds.</w:t>
      </w:r>
    </w:p>
    <w:p>
      <w:pPr>
        <w:spacing w:after="0" w:line="22" w:lineRule="exact"/>
        <w:rPr>
          <w:sz w:val="20"/>
          <w:szCs w:val="20"/>
          <w:color w:val="auto"/>
        </w:rPr>
      </w:pPr>
    </w:p>
    <w:p>
      <w:pPr>
        <w:ind w:left="1020" w:hanging="397"/>
        <w:spacing w:after="0" w:line="258" w:lineRule="auto"/>
        <w:tabs>
          <w:tab w:leader="none" w:pos="10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shares (the “Soroban Shares”) are held in the account of Soroban Opportunities Master Fund LP. Soroban Capital GP LLC may be deemed to beneficially own the Soroban Shares by virtue of its role as general partner of Soroban Opportunities Master Fund LP. Soroban Capital Partners LP may be deemed to beneficially own the Soroban Shares by virtue of its role as investment manager of Soroban Opportunities Master Fund LP. Soroban Capital Partners GP LLC may be deemed to beneficially own the Soroban Shares by virtue of its role as general partner of Soroban Capital Partners LP. Eric W. Mandelblatt may be deemed to beneficially own the Soroban Shares by virtue of his role as Managing Partner of Soroban Capital Partners GP LLC. Each of Soroban Capital GP LLC. Soroban Capital Partners LP. Soroban Capital Partners GP LLC and Eric W. Mandelblatt disclaim beneficial ownership of the Soroban Shares except to the extent of his or its pecuniary interest.</w:t>
      </w:r>
    </w:p>
    <w:p>
      <w:pPr>
        <w:spacing w:after="0" w:line="3" w:lineRule="exact"/>
        <w:rPr>
          <w:rFonts w:ascii="Times New Roman" w:cs="Times New Roman" w:eastAsia="Times New Roman" w:hAnsi="Times New Roman"/>
          <w:sz w:val="16"/>
          <w:szCs w:val="16"/>
          <w:color w:val="auto"/>
        </w:rPr>
      </w:pPr>
    </w:p>
    <w:p>
      <w:pPr>
        <w:ind w:left="1020" w:right="360" w:hanging="397"/>
        <w:spacing w:after="0" w:line="255" w:lineRule="auto"/>
        <w:tabs>
          <w:tab w:leader="none" w:pos="10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Class A Common Stock that may be acquired upon the exchange of a corresponding number of Paired Interests. PayU is ultimately controlled by Prosus N.V. and Naspers Ltd., which are publicly listed entities with widely dispersed ownership.</w:t>
      </w:r>
    </w:p>
    <w:p>
      <w:pPr>
        <w:spacing w:after="0" w:line="1" w:lineRule="exact"/>
        <w:rPr>
          <w:rFonts w:ascii="Times New Roman" w:cs="Times New Roman" w:eastAsia="Times New Roman" w:hAnsi="Times New Roman"/>
          <w:sz w:val="16"/>
          <w:szCs w:val="16"/>
          <w:color w:val="auto"/>
        </w:rPr>
      </w:pPr>
    </w:p>
    <w:p>
      <w:pPr>
        <w:ind w:left="1020" w:right="60" w:hanging="397"/>
        <w:spacing w:after="0" w:line="255" w:lineRule="auto"/>
        <w:tabs>
          <w:tab w:leader="none" w:pos="10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1,140,000 shares of Class A Common Stock held by Apollo Credit Strategies Master Fund Ltd. (“Credit Strategies”), (ii) 165,000 shares of Class A Common Stock held by Apollo PPF Credit Strategies, LLC (“PPF Credit Strategies”), (iii) 105,000 shares of Class A Common Stock held by Apollo A-N Credit Fund (Delaware), L.P. (“A-N Credit”) and (iv) 90,000 shares of Class A Common Stock held by Apollo Atlas Master Fund, LLC (“Atlas”). Apollo A-N Credit Management, LLC (“A-N Credit Management”) serves as the investment manager for A-N Credit. Apollo Atlas Management, LLC (“Atlas Management”) serves as the investment manager of Atlas Master Fund. Credit Strategies is the sole member of PPF Credit Strategies. Apollo ST Fund Management LLC (“ST Management”) serves as the investment manager for Credit Strategies. Apollo Capital Management, L.P. (“Capital Management”) serves as the sole member of A-N Credit Management and Atlas Management, the sole member and manager of ST Management Holdings. Apollo Capital Management GP, LLC (“Capital Management GP”) serves as the general partner of Capital Management. Apollo Management Holdings, L.P. (“Management Holdings”) serves as the sole member and manager of Capital Management GP, and Apollo Management Holdings GP, LLC (“Management Holdings GP”) serves as the general partner of Management Holdings. Joshua Harris, Marc Rowan, Scott Kleinman and James Zelter are the managers, as well as executive officers, of Management Holdings GP. Each of Messrs. Harris, Rowan, Kleinman and Zelter disclaims beneficial ownership of all shares of Common Stock reported as owned by the Apollo Funds, and the filing of the registration statement shall not be construed as an admission that any such person is the beneficial owner of any such securities for purposes of Section 13(d) or 13(g) of the Exchange Act, or for any other purpose.</w:t>
      </w:r>
    </w:p>
    <w:p>
      <w:pPr>
        <w:spacing w:after="0" w:line="8" w:lineRule="exact"/>
        <w:rPr>
          <w:rFonts w:ascii="Times New Roman" w:cs="Times New Roman" w:eastAsia="Times New Roman" w:hAnsi="Times New Roman"/>
          <w:sz w:val="16"/>
          <w:szCs w:val="16"/>
          <w:color w:val="auto"/>
        </w:rPr>
      </w:pPr>
    </w:p>
    <w:p>
      <w:pPr>
        <w:ind w:left="1020" w:right="140" w:hanging="397"/>
        <w:spacing w:after="0" w:line="255" w:lineRule="auto"/>
        <w:tabs>
          <w:tab w:leader="none" w:pos="10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w:t>
      </w:r>
    </w:p>
    <w:p>
      <w:pPr>
        <w:spacing w:after="0" w:line="1" w:lineRule="exact"/>
        <w:rPr>
          <w:rFonts w:ascii="Times New Roman" w:cs="Times New Roman" w:eastAsia="Times New Roman" w:hAnsi="Times New Roman"/>
          <w:sz w:val="16"/>
          <w:szCs w:val="16"/>
          <w:color w:val="auto"/>
        </w:rPr>
      </w:pPr>
    </w:p>
    <w:p>
      <w:pPr>
        <w:ind w:left="1020" w:right="60" w:hanging="397"/>
        <w:spacing w:after="0" w:line="259" w:lineRule="auto"/>
        <w:tabs>
          <w:tab w:leader="none" w:pos="10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404,014 shares of Class A Common Stock held directly by Luxor Capital Partners, LP, (ii) 253,075 shares of Class A Common Stock held directly by Luxor Capital Partners Offshore Master Fund, LP, (iii) 174,153 shares of Class A Common Stock held directly by Luxor Wavefront, LP, (iv) 27,343 shares of Class A Common Stock held directly by Luxor Gibraltar, LP-Series I, (v) 10,358 shares of Class A Common Stock held directly by Luxor Capital Partners Long, LP, (vi) 2,864 shares of Class A Common Stock held directly by Luxor Capital Partners Long Offshore Master Fund, LP and (vii) 378,193 shares of</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122</w:t>
      </w:r>
    </w:p>
    <w:p>
      <w:pPr>
        <w:sectPr>
          <w:pgSz w:w="11900" w:h="16838" w:orient="portrait"/>
          <w:cols w:equalWidth="0" w:num="1">
            <w:col w:w="10620"/>
          </w:cols>
          <w:pgMar w:left="320" w:top="453" w:right="959" w:bottom="1440" w:gutter="0" w:footer="0" w:header="0"/>
        </w:sectPr>
      </w:pPr>
    </w:p>
    <w:bookmarkStart w:id="126" w:name="page127"/>
    <w:bookmarkEnd w:id="12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jc w:val="both"/>
        <w:ind w:left="1020" w:right="40"/>
        <w:spacing w:after="0" w:line="262" w:lineRule="auto"/>
        <w:rPr>
          <w:sz w:val="20"/>
          <w:szCs w:val="20"/>
          <w:color w:val="auto"/>
        </w:rPr>
      </w:pPr>
      <w:r>
        <w:rPr>
          <w:rFonts w:ascii="Times New Roman" w:cs="Times New Roman" w:eastAsia="Times New Roman" w:hAnsi="Times New Roman"/>
          <w:sz w:val="16"/>
          <w:szCs w:val="16"/>
          <w:color w:val="auto"/>
        </w:rPr>
        <w:t>Class A Common Stock held directly by Lugard Road Capital Master Fund, LP (the Selling Securityholders listed in (i) through (vi), collectively, the “Luxor Funds”). Christian Leone has the power to vote or dispose of the shares held by the Luxor Funds, and Jonathan Green has the power to vote or dispose of the shares held by Lugard Road Capital Master Fund, LP.</w:t>
      </w:r>
    </w:p>
    <w:p>
      <w:pPr>
        <w:spacing w:after="0" w:line="1" w:lineRule="exact"/>
        <w:rPr>
          <w:sz w:val="20"/>
          <w:szCs w:val="20"/>
          <w:color w:val="auto"/>
        </w:rPr>
      </w:pPr>
    </w:p>
    <w:p>
      <w:pPr>
        <w:ind w:left="1020" w:right="320" w:hanging="397"/>
        <w:spacing w:after="0" w:line="255" w:lineRule="auto"/>
        <w:tabs>
          <w:tab w:leader="none" w:pos="10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Class A Common stock that may be acquired upon the exchange of a corresponding number of Paired Interests. Mr. Alan Eldad Howard may be deemed the beneficial owner of the shares held directly by the Selling Securityholder.</w:t>
      </w:r>
    </w:p>
    <w:p>
      <w:pPr>
        <w:spacing w:after="0" w:line="1" w:lineRule="exact"/>
        <w:rPr>
          <w:rFonts w:ascii="Times New Roman" w:cs="Times New Roman" w:eastAsia="Times New Roman" w:hAnsi="Times New Roman"/>
          <w:sz w:val="16"/>
          <w:szCs w:val="16"/>
          <w:color w:val="auto"/>
        </w:rPr>
      </w:pPr>
    </w:p>
    <w:p>
      <w:pPr>
        <w:ind w:left="1020" w:right="80" w:hanging="397"/>
        <w:spacing w:after="0" w:line="255" w:lineRule="auto"/>
        <w:tabs>
          <w:tab w:leader="none" w:pos="10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Class A Common stock that may be acquired upon the exchange of a corresponding number of Paired Interests. Mr. Michael Novogratz may be deemed the beneficial owner of the shares held directly by the Selling Securityholder.</w:t>
      </w:r>
    </w:p>
    <w:p>
      <w:pPr>
        <w:spacing w:after="0" w:line="1" w:lineRule="exact"/>
        <w:rPr>
          <w:rFonts w:ascii="Times New Roman" w:cs="Times New Roman" w:eastAsia="Times New Roman" w:hAnsi="Times New Roman"/>
          <w:sz w:val="16"/>
          <w:szCs w:val="16"/>
          <w:color w:val="auto"/>
        </w:rPr>
      </w:pPr>
    </w:p>
    <w:p>
      <w:pPr>
        <w:ind w:left="1020" w:hanging="397"/>
        <w:spacing w:after="0" w:line="255" w:lineRule="auto"/>
        <w:tabs>
          <w:tab w:leader="none" w:pos="10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5,500 shares of Class A Common Stock held directly by American Legacy Fund, (ii) 119,900 shares of Class A Common Stock held directly by AMG TimesSquare Small Cap Growth Fund, (iii) 49,400 shares of Class A Common Stock held directly by Cox Enterprises Inc. Master Trust, (iv) 58,100 shares of Class A Common Stock held directly by Guidestone Capital Management, LLC, (v) 8,300 shares of Class A Common Stock held directly by Hallmark Cards Incorporated Master Trust, (vi) 1,800 shares of Class A Common Stock held directly by PGE Bargained VEBA, (vii) 40,100 shares of Class A Common Stock held directly by PGE Retirement Plan Master Trust, (viii) 326,800 shares of Class A Common Stock held directly by Prudential Retirement Insurance and Annuity Company, (xi) 41,100 shares of Class A Common Stock held directly by Savings Banks Employees Retirement Association, (x) 2,300 shares of Class A Common Stock held directly by SUPERVALU INC. Retirement Plan, (xi) 5,900 shares of Class A Common Stock held directly by The Kemper Ethel Marley Foundation and (xii) 140,800 shares of Class A Common Stock held directly by TimesSquare Small Cap Growth Fund CIT.</w:t>
      </w:r>
    </w:p>
    <w:p>
      <w:pPr>
        <w:spacing w:after="0" w:line="5" w:lineRule="exact"/>
        <w:rPr>
          <w:rFonts w:ascii="Times New Roman" w:cs="Times New Roman" w:eastAsia="Times New Roman" w:hAnsi="Times New Roman"/>
          <w:sz w:val="16"/>
          <w:szCs w:val="16"/>
          <w:color w:val="auto"/>
        </w:rPr>
      </w:pPr>
    </w:p>
    <w:p>
      <w:pPr>
        <w:ind w:left="1020" w:right="140" w:hanging="397"/>
        <w:spacing w:after="0" w:line="255" w:lineRule="auto"/>
        <w:tabs>
          <w:tab w:leader="none" w:pos="10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539,480 shares of Class A Common Stock that may be acquired upon the exchange of a corresponding number of Paired Interests held directly by CMT Digital Ventures Fund I LLC, (ii) 69,418 shares of Class A Common Stock that may be acquired upon the exchange of a corresponding number of Paired Interests held directly by CMT Digital Investments I LLC—Series I, (iii) 52,564 shares of Class A Common Stock that may be acquired upon the exchange of a corresponding number of Paired Interests held directly by CMT Capital Markets Trading 401(k) Plan #2B and (iv) 52,564 shares of Class A Common Stock that may be acquired upon the exchange of a corresponding number of Paired Interests held directly by MACWA 401(k) Plan (CMT).</w:t>
      </w:r>
    </w:p>
    <w:p>
      <w:pPr>
        <w:spacing w:after="0" w:line="3" w:lineRule="exact"/>
        <w:rPr>
          <w:rFonts w:ascii="Times New Roman" w:cs="Times New Roman" w:eastAsia="Times New Roman" w:hAnsi="Times New Roman"/>
          <w:sz w:val="16"/>
          <w:szCs w:val="16"/>
          <w:color w:val="auto"/>
        </w:rPr>
      </w:pPr>
    </w:p>
    <w:p>
      <w:pPr>
        <w:ind w:left="1020" w:right="60" w:hanging="397"/>
        <w:spacing w:after="0" w:line="255" w:lineRule="auto"/>
        <w:tabs>
          <w:tab w:leader="none" w:pos="10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218,840 shares of Class A Common Stock held directly by Boothbay Absolute Return Strategies, LP, (ii) 33,599 shares of Class A Common Stock that may be acquired upon the exercise of warrants held directly by Boothbay Absolute Return Strategies, LP, (iii) 120,130 shares of Class A Common Stock held directly by Boothbay Diversified Alpha Master Fund, LP, (iv) 18,446 shares of Class A Common Stock that may be acquired upon the exercise of warrants held directly by Boothbay Diversified Alpha Master Fund, LP and (v) 261,030 shares of Class A Common Stock held directly by Seven Grand Partners, LLC. Chris Fahy, the Managing Member of Seven Grand Partners GP LLC, the General Partner of the Selling Securityholders, has the power to vote or dispose of the shares held directly by the Selling Securityholders.</w:t>
      </w:r>
    </w:p>
    <w:p>
      <w:pPr>
        <w:spacing w:after="0" w:line="3" w:lineRule="exact"/>
        <w:rPr>
          <w:rFonts w:ascii="Times New Roman" w:cs="Times New Roman" w:eastAsia="Times New Roman" w:hAnsi="Times New Roman"/>
          <w:sz w:val="16"/>
          <w:szCs w:val="16"/>
          <w:color w:val="auto"/>
        </w:rPr>
      </w:pPr>
    </w:p>
    <w:p>
      <w:pPr>
        <w:jc w:val="both"/>
        <w:ind w:left="1020" w:right="120" w:hanging="397"/>
        <w:spacing w:after="0" w:line="255" w:lineRule="auto"/>
        <w:tabs>
          <w:tab w:leader="none" w:pos="10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Alyeska Investment Group, L.P., the investment manager of Alyeska Master Fund, L.P. (the “Alyeska”),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w:t>
      </w:r>
    </w:p>
    <w:p>
      <w:pPr>
        <w:spacing w:after="0" w:line="1" w:lineRule="exact"/>
        <w:rPr>
          <w:rFonts w:ascii="Times New Roman" w:cs="Times New Roman" w:eastAsia="Times New Roman" w:hAnsi="Times New Roman"/>
          <w:sz w:val="16"/>
          <w:szCs w:val="16"/>
          <w:color w:val="auto"/>
        </w:rPr>
      </w:pPr>
    </w:p>
    <w:p>
      <w:pPr>
        <w:jc w:val="both"/>
        <w:ind w:left="1020" w:right="120" w:hanging="397"/>
        <w:spacing w:after="0" w:line="255" w:lineRule="auto"/>
        <w:tabs>
          <w:tab w:leader="none" w:pos="10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550,389 shares of Class A Common Stock that may be acquired upon the exchange of a corresponding number of Paired Interests and (ii) 15,580 shares of Class A Common Stock. Stuart Shalowitz may be deemed the beneficial owner of the shares held directly by the Selling Securityholder.</w:t>
      </w:r>
    </w:p>
    <w:p>
      <w:pPr>
        <w:spacing w:after="0" w:line="1" w:lineRule="exact"/>
        <w:rPr>
          <w:rFonts w:ascii="Times New Roman" w:cs="Times New Roman" w:eastAsia="Times New Roman" w:hAnsi="Times New Roman"/>
          <w:sz w:val="16"/>
          <w:szCs w:val="16"/>
          <w:color w:val="auto"/>
        </w:rPr>
      </w:pPr>
    </w:p>
    <w:p>
      <w:pPr>
        <w:ind w:left="1020" w:hanging="397"/>
        <w:spacing w:after="0" w:line="261" w:lineRule="auto"/>
        <w:tabs>
          <w:tab w:leader="none" w:pos="10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275,000 shares of Class A Common Stock held directly by Blackwell Partners LLC—Series A, (ii) 125,000 shares of Class A Common Stock held directly by STAR V PARTNERS LLC and (iii) 100,000 shares of Class A Common Stock held directly by MASO CAPITAL INVESTMENTS LIMITED. Manoj Jain and Sohit Khurana, Directors and Co-CIOs of Maso Capital Partners Limited, the Investment Manager of the Selling Securityholders have the power to vote or dispose of the shares held directly by the Selling Securityholders.</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123</w:t>
      </w:r>
    </w:p>
    <w:p>
      <w:pPr>
        <w:sectPr>
          <w:pgSz w:w="11900" w:h="16838" w:orient="portrait"/>
          <w:cols w:equalWidth="0" w:num="1">
            <w:col w:w="10620"/>
          </w:cols>
          <w:pgMar w:left="320" w:top="453" w:right="959" w:bottom="1440" w:gutter="0" w:footer="0" w:header="0"/>
        </w:sectPr>
      </w:pPr>
    </w:p>
    <w:bookmarkStart w:id="127" w:name="page128"/>
    <w:bookmarkEnd w:id="12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020" w:right="80" w:hanging="397"/>
        <w:spacing w:after="0" w:line="259" w:lineRule="auto"/>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145,392 shares of Class A Common Stock held directly by BEMAP Master Fund Ltd., (ii) 124,848 shares of Class A Common Stock held directly by DS Liquid Div RVA MON LLC , (iii) 101,519 shares of Class A Common Stock held directly by Monashee Solitario Fund LP, (iv) 84,486 shares of Class A Common Stock held directly by Monashee Pure Alpha SPV I LP, (v) 24,692 shares of Class A Common Stock held directly by SFL SPV I LLC, (vi) 19,063 shares of Class A Common Stock held directly by Bespoke Alpha MAC MIM LP. Jeff Muller COO, Monashee Investment Management LLC, has the power to vote or dispose of the shares held by the Selling Securityholders.</w:t>
      </w:r>
    </w:p>
    <w:p>
      <w:pPr>
        <w:spacing w:after="0" w:line="3" w:lineRule="exact"/>
        <w:rPr>
          <w:rFonts w:ascii="Times New Roman" w:cs="Times New Roman" w:eastAsia="Times New Roman" w:hAnsi="Times New Roman"/>
          <w:sz w:val="16"/>
          <w:szCs w:val="16"/>
          <w:color w:val="auto"/>
        </w:rPr>
      </w:pPr>
    </w:p>
    <w:p>
      <w:pPr>
        <w:ind w:left="1020" w:right="20" w:hanging="397"/>
        <w:spacing w:after="0" w:line="255" w:lineRule="auto"/>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203,210 shares of Class A Common Stock held directly by Nantahala Capital Partners SI, LP, (ii) 98,232 shares of Class A Common Stock held directly by Nantahala Capital Partners II Limited Partnership, (iii) 87,380 shares of Class A Common Stock held directly by Blackwell Partners LLC—Series A, (iv) 41,020 shares of Class A Common Stock held directly by NCP QR LP, (v) 36,688 shares of Class A Common Stock held directly by NCP RFM LP and (vi) 33,470 shares of Class A Common Stock held directly by Nantahala Capital Partners Limited Partnership. Nantahala Capital Management, LLC is a Registered Investment Adviser and has been delegated the legal power to vote and/or direct the disposition of such securities on behalf of the selling stockholder as a General Partner or Investment Manager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w:t>
      </w:r>
    </w:p>
    <w:p>
      <w:pPr>
        <w:spacing w:after="0" w:line="6" w:lineRule="exact"/>
        <w:rPr>
          <w:rFonts w:ascii="Times New Roman" w:cs="Times New Roman" w:eastAsia="Times New Roman" w:hAnsi="Times New Roman"/>
          <w:sz w:val="16"/>
          <w:szCs w:val="16"/>
          <w:color w:val="auto"/>
        </w:rPr>
      </w:pPr>
    </w:p>
    <w:p>
      <w:pPr>
        <w:ind w:left="1020" w:hanging="397"/>
        <w:spacing w:after="0" w:line="255" w:lineRule="auto"/>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Kepos Capital LP is the investment manager of the Selling Securityholder and Kepos Partners LLC is the General Partner of the Selling Securityholder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this Selling Securityholder. Mr. Carhart disclaims beneficial ownership of the shares held by the Selling Securityholder.</w:t>
      </w:r>
    </w:p>
    <w:p>
      <w:pPr>
        <w:spacing w:after="0" w:line="3" w:lineRule="exact"/>
        <w:rPr>
          <w:rFonts w:ascii="Times New Roman" w:cs="Times New Roman" w:eastAsia="Times New Roman" w:hAnsi="Times New Roman"/>
          <w:sz w:val="16"/>
          <w:szCs w:val="16"/>
          <w:color w:val="auto"/>
        </w:rPr>
      </w:pPr>
    </w:p>
    <w:p>
      <w:pPr>
        <w:ind w:left="1020" w:right="60" w:hanging="397"/>
        <w:spacing w:after="0" w:line="255" w:lineRule="auto"/>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Sculptor Special Funding, LP (“NRMD”), a Cayman Islands exempted limited partnership, is the beneficial owner of 500,000 shares of Class A Common Stock. NRMD is wholly owned by Sculptor Master Fund, Ltd. (“SCMF”), a Cayman Islands exempted limited partnership, and thus SCMF may be deemed a beneficial owner of the shares held by NRMD. Sculptor Capital LP (“Sculptor”), a Delaware limited partnership, is the investment adviser to NRMD and SCMF and thus may be deemed a beneficial owner of the shares held by NRMD and SCMF. Sculptor Capital Holding Corporation, a Delaware corporation (“SCHC”), serves as the sole general partner of Sculptor. As such, SCHC may be deemed to control Sculptor and, therefore, may be deemed a beneficial owner of the shares held by NRMD and SCMF. Sculptor Capital Management, Inc. (“SCU”), a Delaware corporation, is the sole shareholder of SCHC, and may be deemed a beneficial owner of the shares in the accounts managed by Sculptor, including NRMD and SCMF.</w:t>
      </w:r>
    </w:p>
    <w:p>
      <w:pPr>
        <w:spacing w:after="0" w:line="5" w:lineRule="exact"/>
        <w:rPr>
          <w:rFonts w:ascii="Times New Roman" w:cs="Times New Roman" w:eastAsia="Times New Roman" w:hAnsi="Times New Roman"/>
          <w:sz w:val="16"/>
          <w:szCs w:val="16"/>
          <w:color w:val="auto"/>
        </w:rPr>
      </w:pPr>
    </w:p>
    <w:p>
      <w:pPr>
        <w:ind w:left="1020" w:right="60" w:hanging="397"/>
        <w:spacing w:after="0" w:line="255" w:lineRule="auto"/>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77,894 shares held by Glazer Enhanced Fund L.P., (ii) 183,607 shares held by Glazer Enhanced Offshore Fund, Ltd., and (iii) 38,499 shares held by Highmark Limited, In Respect of Its Segregated Account, Highmark Multi-Strategy 2 (collectively, the “Glazer Funds”). Voting and investment power over the shares held by such entities resides with their investment manager, Glazer Capital, LLC (“Glazer Capital”). Mr. Paul J. Glazer (“Mr. Glazer”), serves as the Managing Member of Glazer Capital and may be deemed to be the beneficial owner of the shares held by such entities. Mr. Glazer, however, disclaims any beneficial ownership of the shares held by such entities.</w:t>
      </w:r>
    </w:p>
    <w:p>
      <w:pPr>
        <w:spacing w:after="0" w:line="3" w:lineRule="exact"/>
        <w:rPr>
          <w:rFonts w:ascii="Times New Roman" w:cs="Times New Roman" w:eastAsia="Times New Roman" w:hAnsi="Times New Roman"/>
          <w:sz w:val="16"/>
          <w:szCs w:val="16"/>
          <w:color w:val="auto"/>
        </w:rPr>
      </w:pPr>
    </w:p>
    <w:p>
      <w:pPr>
        <w:ind w:left="1020" w:right="80" w:hanging="397"/>
        <w:spacing w:after="0" w:line="259" w:lineRule="auto"/>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171,827 shares of Class A Common Stock held directly by Arbitrage Fund, (ii) 71,816 shares of Class A Common Stock held directly by PartnerSelect Alternative Strategies Fund, (iii) 29,314 shares of Class A Common Stock held directly by Water Island Event-Driven Fund, (iv) 15,580 shares of Class A Common Stock held directly by Water Island Merger Arbitrage Institutional Commingled Fund, LP, (v) 8,973 shares of Class A Common Stock held directly by Morningstar Alternatives Fund and (vi) shares of Class A Common Stock held directly by AltShares Event-Driven ETF. John Orrico, president and CIO of</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124</w:t>
      </w:r>
    </w:p>
    <w:p>
      <w:pPr>
        <w:sectPr>
          <w:pgSz w:w="11900" w:h="16838" w:orient="portrait"/>
          <w:cols w:equalWidth="0" w:num="1">
            <w:col w:w="10620"/>
          </w:cols>
          <w:pgMar w:left="320" w:top="453" w:right="959" w:bottom="1440" w:gutter="0" w:footer="0" w:header="0"/>
        </w:sectPr>
      </w:pPr>
    </w:p>
    <w:bookmarkStart w:id="128" w:name="page129"/>
    <w:bookmarkEnd w:id="12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Water Island Capital, LLC, has the power to vote or dispose of the shares held by the Selling Securityholders.</w:t>
      </w:r>
    </w:p>
    <w:p>
      <w:pPr>
        <w:spacing w:after="0" w:line="28" w:lineRule="exact"/>
        <w:rPr>
          <w:sz w:val="20"/>
          <w:szCs w:val="20"/>
          <w:color w:val="auto"/>
        </w:rPr>
      </w:pPr>
    </w:p>
    <w:p>
      <w:pPr>
        <w:ind w:left="1020" w:right="260" w:hanging="397"/>
        <w:spacing w:after="0" w:line="255" w:lineRule="auto"/>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Michael Germino, Managing Member of Ghisallo Capital Management LLC, the shareholder’s investment manager, has the power to vote or dispose of the shares held by the Selling Securityholder.</w:t>
      </w:r>
    </w:p>
    <w:p>
      <w:pPr>
        <w:spacing w:after="0" w:line="1" w:lineRule="exact"/>
        <w:rPr>
          <w:rFonts w:ascii="Times New Roman" w:cs="Times New Roman" w:eastAsia="Times New Roman" w:hAnsi="Times New Roman"/>
          <w:sz w:val="16"/>
          <w:szCs w:val="16"/>
          <w:color w:val="auto"/>
        </w:rPr>
      </w:pPr>
    </w:p>
    <w:p>
      <w:pPr>
        <w:ind w:left="1020" w:right="160" w:hanging="397"/>
        <w:spacing w:after="0" w:line="255" w:lineRule="auto"/>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120,000 shares of Class A Common Stock held directly by Benjamin Nickoll, (ii) 45,000 shares of Class A Common Stock held directly by Equity Trust Company as Custodian and (iii) 70,000 shares of Class Common Stock held directly by John F Nickoll Marital Trust. Mr. Benjamin Nickoll is the beneficial owner of the shares held by Equity Trust Company and the trustee of the John F Nickoll Marital Trust.</w:t>
      </w:r>
    </w:p>
    <w:p>
      <w:pPr>
        <w:spacing w:after="0" w:line="1" w:lineRule="exact"/>
        <w:rPr>
          <w:rFonts w:ascii="Times New Roman" w:cs="Times New Roman" w:eastAsia="Times New Roman" w:hAnsi="Times New Roman"/>
          <w:sz w:val="16"/>
          <w:szCs w:val="16"/>
          <w:color w:val="auto"/>
        </w:rPr>
      </w:pPr>
    </w:p>
    <w:p>
      <w:pPr>
        <w:jc w:val="both"/>
        <w:ind w:left="1020" w:hanging="397"/>
        <w:spacing w:after="0" w:line="255" w:lineRule="auto"/>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220,155 shares of Class A Common Stock that may be acquired upon the exchange of a corresponding number of Paired Interests held directly by Protocol Ventures LP and (ii) 6,232 shares of Class A Common Stock held directly by Richard Marini. Mr. Marini has the power to vote or dispose of the shares held by Protocol Ventures LP.</w:t>
      </w:r>
    </w:p>
    <w:p>
      <w:pPr>
        <w:spacing w:after="0" w:line="1"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John Irish, Manager of the Selling Securityholder, has the power to vote or dispose of the shares held by the Selling Securityholder.</w:t>
      </w:r>
    </w:p>
    <w:p>
      <w:pPr>
        <w:spacing w:after="0" w:line="12"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Selling Securityholder was a member of the Board prior to the Business Combination.</w:t>
      </w:r>
    </w:p>
    <w:p>
      <w:pPr>
        <w:spacing w:after="0" w:line="12"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Selling Securityholder was a member of the Board prior to the Business Combination.</w:t>
      </w:r>
    </w:p>
    <w:p>
      <w:pPr>
        <w:spacing w:after="0" w:line="12"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Selling Securityholder was a member of the Board prior to the Business Combination.</w:t>
      </w:r>
    </w:p>
    <w:p>
      <w:pPr>
        <w:spacing w:after="0" w:line="12"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S. Untracht, the Trustee of the Selling Securityholder, has the power to vote or dispose of the shares held by the Selling Securityholder.</w:t>
      </w:r>
    </w:p>
    <w:p>
      <w:pPr>
        <w:spacing w:after="0" w:line="1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125</w:t>
      </w:r>
    </w:p>
    <w:p>
      <w:pPr>
        <w:sectPr>
          <w:pgSz w:w="11900" w:h="16838" w:orient="portrait"/>
          <w:cols w:equalWidth="0" w:num="1">
            <w:col w:w="10500"/>
          </w:cols>
          <w:pgMar w:left="320" w:top="452" w:right="1079" w:bottom="1440" w:gutter="0" w:footer="0" w:header="0"/>
        </w:sectPr>
      </w:pPr>
    </w:p>
    <w:bookmarkStart w:id="129" w:name="page130"/>
    <w:bookmarkEnd w:id="12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DESCRIPTION OF SECURITIES</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14" w:lineRule="exact"/>
        <w:rPr>
          <w:sz w:val="20"/>
          <w:szCs w:val="20"/>
          <w:color w:val="auto"/>
        </w:rPr>
      </w:pPr>
    </w:p>
    <w:p>
      <w:pPr>
        <w:ind w:left="620" w:right="300"/>
        <w:spacing w:after="0" w:line="273" w:lineRule="auto"/>
        <w:rPr>
          <w:sz w:val="20"/>
          <w:szCs w:val="20"/>
          <w:color w:val="auto"/>
        </w:rPr>
      </w:pPr>
      <w:r>
        <w:rPr>
          <w:rFonts w:ascii="Times New Roman" w:cs="Times New Roman" w:eastAsia="Times New Roman" w:hAnsi="Times New Roman"/>
          <w:sz w:val="16"/>
          <w:szCs w:val="16"/>
          <w:color w:val="auto"/>
        </w:rPr>
        <w:t>The following is a summary of the rights of the Company’s securities and certain provisions of the Certificate of Incorporation and By-Laws. This summary does not purport to be complete and is qualified in its entirety by the provisions of the Certificate of Incorporation and By-Laws, copies of which have been filed as exhibits to the registration statement of which this prospectus is a part.</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Authorized and Outstanding Stock</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authorized capital stock of the Company consists of 1,001,000,000 shares of capital stock, $0.0001 par value per share, of which:</w:t>
      </w:r>
    </w:p>
    <w:p>
      <w:pPr>
        <w:spacing w:after="0" w:line="122" w:lineRule="exact"/>
        <w:rPr>
          <w:sz w:val="20"/>
          <w:szCs w:val="20"/>
          <w:color w:val="auto"/>
        </w:rPr>
      </w:pPr>
    </w:p>
    <w:p>
      <w:pPr>
        <w:ind w:left="1500" w:hanging="387"/>
        <w:spacing w:after="0"/>
        <w:tabs>
          <w:tab w:leader="none" w:pos="15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750,000,000 shares are designated as Class A Common Stock;</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250,000,000 shares are designated as Class V Common Stock;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1,000,000 shares are designated as Preferred Stock.</w:t>
      </w:r>
    </w:p>
    <w:p>
      <w:pPr>
        <w:spacing w:after="0" w:line="208" w:lineRule="exact"/>
        <w:rPr>
          <w:sz w:val="20"/>
          <w:szCs w:val="20"/>
          <w:color w:val="auto"/>
        </w:rPr>
      </w:pPr>
    </w:p>
    <w:p>
      <w:pPr>
        <w:ind w:left="620" w:right="60"/>
        <w:spacing w:after="0" w:line="264" w:lineRule="auto"/>
        <w:rPr>
          <w:sz w:val="20"/>
          <w:szCs w:val="20"/>
          <w:color w:val="auto"/>
        </w:rPr>
      </w:pPr>
      <w:r>
        <w:rPr>
          <w:rFonts w:ascii="Times New Roman" w:cs="Times New Roman" w:eastAsia="Times New Roman" w:hAnsi="Times New Roman"/>
          <w:sz w:val="16"/>
          <w:szCs w:val="16"/>
          <w:color w:val="auto"/>
        </w:rPr>
        <w:t>As of March 25, 2022, there were 57,164,488 shares of Class A Common Stock, 206,003,270 shares of Class V Common Stock outstanding and no shares of Preferred Stock outstanding. Each outstanding share of Class V Common Stock is paired with, and inseparable from, one Opco Common Unit (representing a limited liability company interest in Opco), and together they form one Paired Interest. No Opco Common Unit may exist without the corresponding share of Class V Common Stock (and no Class V Common Stock shall exist other than in conjunction with an Opco Common Unit), which together comprise the Paired Interests.</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14" w:lineRule="exact"/>
        <w:rPr>
          <w:sz w:val="20"/>
          <w:szCs w:val="20"/>
          <w:color w:val="auto"/>
        </w:rPr>
      </w:pPr>
    </w:p>
    <w:p>
      <w:pPr>
        <w:ind w:left="620" w:right="60"/>
        <w:spacing w:after="0" w:line="291" w:lineRule="auto"/>
        <w:rPr>
          <w:sz w:val="20"/>
          <w:szCs w:val="20"/>
          <w:color w:val="auto"/>
        </w:rPr>
      </w:pPr>
      <w:r>
        <w:rPr>
          <w:rFonts w:ascii="Times New Roman" w:cs="Times New Roman" w:eastAsia="Times New Roman" w:hAnsi="Times New Roman"/>
          <w:sz w:val="16"/>
          <w:szCs w:val="16"/>
          <w:color w:val="auto"/>
        </w:rPr>
        <w:t>The Certificate of Incorporation authorizes two classes of common stock: Class A Common Stock and Class V Common Stock. The rights of holders of Class A Common Stock and Class V Common Stock are identical, except as set forth below.</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Dividend Rights</w:t>
      </w:r>
    </w:p>
    <w:p>
      <w:pPr>
        <w:spacing w:after="0" w:line="114" w:lineRule="exact"/>
        <w:rPr>
          <w:sz w:val="20"/>
          <w:szCs w:val="20"/>
          <w:color w:val="auto"/>
        </w:rPr>
      </w:pPr>
    </w:p>
    <w:p>
      <w:pPr>
        <w:ind w:left="620" w:right="280"/>
        <w:spacing w:after="0" w:line="291" w:lineRule="auto"/>
        <w:rPr>
          <w:sz w:val="20"/>
          <w:szCs w:val="20"/>
          <w:color w:val="auto"/>
        </w:rPr>
      </w:pPr>
      <w:r>
        <w:rPr>
          <w:rFonts w:ascii="Times New Roman" w:cs="Times New Roman" w:eastAsia="Times New Roman" w:hAnsi="Times New Roman"/>
          <w:sz w:val="16"/>
          <w:szCs w:val="16"/>
          <w:color w:val="auto"/>
        </w:rPr>
        <w:t>Subject to preferences that may be applicable to any outstanding Preferred Stock, holders of shares of Class A Common Stock are entitled to receive ratably such dividends, if any, as may be declared from time to time by the Board out of funds legally available for such purposes.</w:t>
      </w:r>
    </w:p>
    <w:p>
      <w:pPr>
        <w:spacing w:after="0" w:line="142" w:lineRule="exact"/>
        <w:rPr>
          <w:sz w:val="20"/>
          <w:szCs w:val="20"/>
          <w:color w:val="auto"/>
        </w:rPr>
      </w:pPr>
    </w:p>
    <w:p>
      <w:pPr>
        <w:ind w:left="620"/>
        <w:spacing w:after="0" w:line="291" w:lineRule="auto"/>
        <w:rPr>
          <w:sz w:val="20"/>
          <w:szCs w:val="20"/>
          <w:color w:val="auto"/>
        </w:rPr>
      </w:pPr>
      <w:r>
        <w:rPr>
          <w:rFonts w:ascii="Times New Roman" w:cs="Times New Roman" w:eastAsia="Times New Roman" w:hAnsi="Times New Roman"/>
          <w:sz w:val="16"/>
          <w:szCs w:val="16"/>
          <w:color w:val="auto"/>
        </w:rPr>
        <w:t>Shares of Class V Common Stock are not entitled to dividends declared by the Board. However, holders of shares Class V Common Stock are entitled to pro rata distributions by virtue of holding Opco Common Units paired with such shares of Class V Common Stock.</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Voting Rights</w:t>
      </w:r>
    </w:p>
    <w:p>
      <w:pPr>
        <w:spacing w:after="0" w:line="114" w:lineRule="exact"/>
        <w:rPr>
          <w:sz w:val="20"/>
          <w:szCs w:val="20"/>
          <w:color w:val="auto"/>
        </w:rPr>
      </w:pPr>
    </w:p>
    <w:p>
      <w:pPr>
        <w:ind w:left="620" w:right="20"/>
        <w:spacing w:after="0" w:line="261" w:lineRule="auto"/>
        <w:rPr>
          <w:sz w:val="20"/>
          <w:szCs w:val="20"/>
          <w:color w:val="auto"/>
        </w:rPr>
      </w:pPr>
      <w:r>
        <w:rPr>
          <w:rFonts w:ascii="Times New Roman" w:cs="Times New Roman" w:eastAsia="Times New Roman" w:hAnsi="Times New Roman"/>
          <w:sz w:val="16"/>
          <w:szCs w:val="16"/>
          <w:color w:val="auto"/>
        </w:rPr>
        <w:t>Except as set forth in the Voting Agreement, each holder of Class A Common Stock and Class V Common Stock is entitled to one vote for each share of Class A Common Stock and each share of Class V Common Stock held of record by such holder on all matters on which stockholders generally are entitled to vote. Holders of Class A Common Stock and Class V Common Stock do not have cumulative voting rights in the election of directors. Holders of Class V Common Stock will vote together with holders of the Class A Common Stock as a single class on all matters presented to the Company’s stockholders for their vote or approval, other than as required by the DGCL.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126</w:t>
      </w:r>
    </w:p>
    <w:p>
      <w:pPr>
        <w:sectPr>
          <w:pgSz w:w="11900" w:h="16838" w:orient="portrait"/>
          <w:cols w:equalWidth="0" w:num="1">
            <w:col w:w="10600"/>
          </w:cols>
          <w:pgMar w:left="320" w:top="452" w:right="979" w:bottom="1440" w:gutter="0" w:footer="0" w:header="0"/>
        </w:sectPr>
      </w:pPr>
    </w:p>
    <w:bookmarkStart w:id="130" w:name="page131"/>
    <w:bookmarkEnd w:id="13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Liquidation Rights</w:t>
      </w:r>
    </w:p>
    <w:p>
      <w:pPr>
        <w:spacing w:after="0" w:line="114"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16"/>
          <w:szCs w:val="16"/>
          <w:color w:val="auto"/>
        </w:rPr>
        <w:t>In the event of any voluntary or involuntary liquidation, dissolution or winding up of the Company’s affairs, holders of Class A Common Stock will be entitled to share ratably in all assets remaining after payment of the Company’s debts and other liabilities, subject to prior distribution rights of Preferred Stock or any class or series of stock having a preference over the Class A Common Stock, then outstanding, if any.</w:t>
      </w:r>
    </w:p>
    <w:p>
      <w:pPr>
        <w:spacing w:after="0" w:line="157" w:lineRule="exact"/>
        <w:rPr>
          <w:sz w:val="20"/>
          <w:szCs w:val="20"/>
          <w:color w:val="auto"/>
        </w:rPr>
      </w:pPr>
    </w:p>
    <w:p>
      <w:pPr>
        <w:jc w:val="both"/>
        <w:ind w:left="620" w:right="100"/>
        <w:spacing w:after="0" w:line="273" w:lineRule="auto"/>
        <w:rPr>
          <w:sz w:val="20"/>
          <w:szCs w:val="20"/>
          <w:color w:val="auto"/>
        </w:rPr>
      </w:pPr>
      <w:r>
        <w:rPr>
          <w:rFonts w:ascii="Times New Roman" w:cs="Times New Roman" w:eastAsia="Times New Roman" w:hAnsi="Times New Roman"/>
          <w:sz w:val="16"/>
          <w:szCs w:val="16"/>
          <w:color w:val="auto"/>
        </w:rPr>
        <w:t>In the event of any voluntary or involuntary liquidation, dissolution or winding up of the Company’s affairs, holders of Class V Common Stock are not entitled to receive any assets of the Company; however, by virtue of holding Opco Units, such holders are entitled to share ratably in all assets of Opco remaining after payment of Opco’s debts and other liabilities.</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Fully Paid and Nonassessable</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All shares of Class A Common Stock and Class V Common Stock are fully paid and non-assessable.</w:t>
      </w:r>
    </w:p>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No Preemptive, Conversion or Similar Rights</w:t>
      </w:r>
    </w:p>
    <w:p>
      <w:pPr>
        <w:spacing w:after="0" w:line="114"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The holders of Class A Common Stock and Class V Common Stock have no pre-emptive or conversion rights or other subscription rights. There are no redemption or sinking fund provisions applicable to the Class A Common Stock or the Class V Common Stock. The rights, preferences and privileges of holders of the Class A Common Stock and Class V Common Stock will be subject to those of holders of any shares of the Preferred Stock the Company may issue in the future.</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Issuance and Retirement of Class V Common Stock</w:t>
      </w:r>
    </w:p>
    <w:p>
      <w:pPr>
        <w:spacing w:after="0" w:line="114" w:lineRule="exact"/>
        <w:rPr>
          <w:sz w:val="20"/>
          <w:szCs w:val="20"/>
          <w:color w:val="auto"/>
        </w:rPr>
      </w:pPr>
    </w:p>
    <w:p>
      <w:pPr>
        <w:ind w:left="620" w:right="180"/>
        <w:spacing w:after="0" w:line="267" w:lineRule="auto"/>
        <w:rPr>
          <w:sz w:val="20"/>
          <w:szCs w:val="20"/>
          <w:color w:val="auto"/>
        </w:rPr>
      </w:pPr>
      <w:r>
        <w:rPr>
          <w:rFonts w:ascii="Times New Roman" w:cs="Times New Roman" w:eastAsia="Times New Roman" w:hAnsi="Times New Roman"/>
          <w:sz w:val="16"/>
          <w:szCs w:val="16"/>
          <w:color w:val="auto"/>
        </w:rPr>
        <w:t>Outstanding shares of Class V Common Stock will be retired upon the surrender to the Company of Paired Interests in exchange for shares of Class A Common Stock or a cash amount, as specified in the Exchange Agreement. The Company will not issue additional shares of Class V Common Stock other than in connection with the valid issuance or transfer of paired Opco Common Units, in accordance with the Opco LLC Agreement. Please see “</w:t>
      </w:r>
      <w:r>
        <w:rPr>
          <w:rFonts w:ascii="Times New Roman" w:cs="Times New Roman" w:eastAsia="Times New Roman" w:hAnsi="Times New Roman"/>
          <w:sz w:val="16"/>
          <w:szCs w:val="16"/>
          <w:i w:val="1"/>
          <w:iCs w:val="1"/>
          <w:color w:val="auto"/>
        </w:rPr>
        <w:t>Certain Relationships and Related Party Transactions—Transactions Related to the Business Combination</w:t>
      </w:r>
      <w:r>
        <w:rPr>
          <w:rFonts w:ascii="Times New Roman" w:cs="Times New Roman" w:eastAsia="Times New Roman" w:hAnsi="Times New Roman"/>
          <w:sz w:val="16"/>
          <w:szCs w:val="16"/>
          <w:color w:val="auto"/>
        </w:rPr>
        <w:t>” for more information.</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14" w:lineRule="exact"/>
        <w:rPr>
          <w:sz w:val="20"/>
          <w:szCs w:val="20"/>
          <w:color w:val="auto"/>
        </w:rPr>
      </w:pPr>
    </w:p>
    <w:p>
      <w:pPr>
        <w:ind w:left="620" w:right="100"/>
        <w:spacing w:after="0" w:line="267" w:lineRule="auto"/>
        <w:rPr>
          <w:sz w:val="20"/>
          <w:szCs w:val="20"/>
          <w:color w:val="auto"/>
        </w:rPr>
      </w:pPr>
      <w:r>
        <w:rPr>
          <w:rFonts w:ascii="Times New Roman" w:cs="Times New Roman" w:eastAsia="Times New Roman" w:hAnsi="Times New Roman"/>
          <w:sz w:val="16"/>
          <w:szCs w:val="16"/>
          <w:color w:val="auto"/>
        </w:rPr>
        <w:t>The Certificate of Incorporation authorizes the Board to establish one or more series of Preferred Stock. Unless required by law or any stock exchange, the authorized shares of Preferred Stock are available for issuance without further action by holders of any class of common stock. The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spacing w:after="0" w:line="162"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The issuance of Preferred Stock may have the effect of delaying, deferring or preventing a change in control of the Company without further action by the stockholders. Additionally, the issuance of Preferred Stock may adversely affect holders of shares of common stock by restricting dividends on the Class A Common Stock, diluting the voting power of the Class A Common Stock and the Class V Common Stock or subordinating the liquidation rights of the Class A Common Stock.</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14" w:lineRule="exact"/>
        <w:rPr>
          <w:sz w:val="20"/>
          <w:szCs w:val="20"/>
          <w:color w:val="auto"/>
        </w:rPr>
      </w:pPr>
    </w:p>
    <w:p>
      <w:pPr>
        <w:ind w:left="620" w:right="660"/>
        <w:spacing w:after="0" w:line="291" w:lineRule="auto"/>
        <w:rPr>
          <w:sz w:val="20"/>
          <w:szCs w:val="20"/>
          <w:color w:val="auto"/>
        </w:rPr>
      </w:pPr>
      <w:r>
        <w:rPr>
          <w:rFonts w:ascii="Times New Roman" w:cs="Times New Roman" w:eastAsia="Times New Roman" w:hAnsi="Times New Roman"/>
          <w:sz w:val="16"/>
          <w:szCs w:val="16"/>
          <w:color w:val="auto"/>
        </w:rPr>
        <w:t>As of March 25, 2022, there were an aggregate of 7,140,929 Warrants outstanding. As a result of the Domestication, the Warrants, which were previously exercisable for Class A Ordinary Shares, became warrants to purchase shares of Class A Common Stock.</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127</w:t>
      </w:r>
    </w:p>
    <w:p>
      <w:pPr>
        <w:sectPr>
          <w:pgSz w:w="11900" w:h="16838" w:orient="portrait"/>
          <w:cols w:equalWidth="0" w:num="1">
            <w:col w:w="10600"/>
          </w:cols>
          <w:pgMar w:left="320" w:top="452" w:right="979" w:bottom="1440" w:gutter="0" w:footer="0" w:header="0"/>
        </w:sectPr>
      </w:pPr>
    </w:p>
    <w:bookmarkStart w:id="131" w:name="page132"/>
    <w:bookmarkEnd w:id="13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0"/>
        <w:spacing w:after="0" w:line="259" w:lineRule="auto"/>
        <w:rPr>
          <w:sz w:val="20"/>
          <w:szCs w:val="20"/>
          <w:color w:val="auto"/>
        </w:rPr>
      </w:pPr>
      <w:r>
        <w:rPr>
          <w:rFonts w:ascii="Times New Roman" w:cs="Times New Roman" w:eastAsia="Times New Roman" w:hAnsi="Times New Roman"/>
          <w:sz w:val="16"/>
          <w:szCs w:val="16"/>
          <w:color w:val="auto"/>
        </w:rPr>
        <w:t>Each Warrant entitles the registered holder to purchase one share of Class A Common Stock at a price of $11.50 per share, subject to adjustment as discussed below. Pursuant to the Warrant Agreement, a Warrant Holder may exercise its Warrants only for a whole number of shares. This means that only an even number of Warrants may be exercised at any given time by a holder of Warrants. However, except as set forth below, no Warrants will be exercisable for cash unless the Company has an effective and current registration statement covering the Class A Common Stock issuable upon exercise of the Warrants and a current prospectus relating to such. Notwithstanding the foregoing, if a registration statement covering the Class A Common Stock is not effective within 60 business days from the Closing, holders of Warrants may, until such time as there is an effective registration statement and during any period when the Company fails to maintain an effective registration statement, exercise Warrants on a cashless basis pursuant to an available exemption from registration under the Securities Act. If an exemption from registration is not available, holders of Warrants will not be able to exercise their Warrants on a cashless basis. To the extent they are not redeemed or liquidated earlier, the Warrants will expire at 5:00 p.m., Eastern Time on October 15, 2026.</w:t>
      </w:r>
    </w:p>
    <w:p>
      <w:pPr>
        <w:spacing w:after="0" w:line="172" w:lineRule="exact"/>
        <w:rPr>
          <w:sz w:val="20"/>
          <w:szCs w:val="20"/>
          <w:color w:val="auto"/>
        </w:rPr>
      </w:pPr>
    </w:p>
    <w:p>
      <w:pPr>
        <w:ind w:left="620" w:right="100"/>
        <w:spacing w:after="0" w:line="260" w:lineRule="auto"/>
        <w:rPr>
          <w:sz w:val="20"/>
          <w:szCs w:val="20"/>
          <w:color w:val="auto"/>
        </w:rPr>
      </w:pPr>
      <w:r>
        <w:rPr>
          <w:rFonts w:ascii="Times New Roman" w:cs="Times New Roman" w:eastAsia="Times New Roman" w:hAnsi="Times New Roman"/>
          <w:sz w:val="16"/>
          <w:szCs w:val="16"/>
          <w:color w:val="auto"/>
        </w:rPr>
        <w:t>If the shares of Class A Common Stock are, at the time of any exercise of a Warrant, not listed on a national securities exchange such that they satisfy the definition of “covered securities” under the Securities Act, the Company may, at its option, require holders of Warrants who exercise Warrants to exercise such Warrants on a “cashless basis” and (i) in the event the Company so elects, the Company will not be required to file or maintain in effect a registration statement for the registration, under the Securities Act, of the shares of Class A Common Stock issuable upon exercise of the Warrants, or</w:t>
      </w:r>
    </w:p>
    <w:p>
      <w:pPr>
        <w:spacing w:after="0" w:line="3" w:lineRule="exact"/>
        <w:rPr>
          <w:sz w:val="20"/>
          <w:szCs w:val="20"/>
          <w:color w:val="auto"/>
        </w:rPr>
      </w:pPr>
    </w:p>
    <w:p>
      <w:pPr>
        <w:ind w:left="620" w:right="60" w:firstLine="3"/>
        <w:spacing w:after="0" w:line="257" w:lineRule="auto"/>
        <w:tabs>
          <w:tab w:leader="none" w:pos="8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does not so elect, the Company must use its best efforts to register or qualify for sale the shares of Class A Common Stock issuable upon exercise of the Warrants under the blue sky laws of the state of residence of the exercising Warrant holder to the extent an exemption is not available. If the Company requires the “cashless” exercise of Warrants, each holder would pay the exercise price by surrendering the Warrants for that number of shares of Class A Common Stock equal to the quotient obtained by dividing (x) the product of the number of shares underlying the Warrants, multiplied by the difference between the exercise price of the Warrants and the “fair market value” (defined below) by (y) the fair market value. The “fair market value” will mean the average reported last sale price of the shares of Class A Common Stock for the 10 trading days ending on the third trading day prior to the date on which the notice of redemption is sent to the holders of Warrants. Whether the Company will exercise its option to require all holders to exercise their Warrants on a “cashless basis” will depend on a variety of factors including the price of the shares of Class A Common Stock at the time the Warrants are called for redemption, the Company’s cash needs at such time and concerns regarding dilutive share issuances.</w:t>
      </w:r>
    </w:p>
    <w:p>
      <w:pPr>
        <w:spacing w:after="0" w:line="200" w:lineRule="exact"/>
        <w:rPr>
          <w:sz w:val="20"/>
          <w:szCs w:val="20"/>
          <w:color w:val="auto"/>
        </w:rPr>
      </w:pPr>
    </w:p>
    <w:p>
      <w:pPr>
        <w:spacing w:after="0" w:line="2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Redemption for Cash</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Company may call the Warrants for redemption, in whole and not in part, at a price of $0.01 per Warrant:</w:t>
      </w:r>
    </w:p>
    <w:p>
      <w:pPr>
        <w:spacing w:after="0" w:line="122" w:lineRule="exact"/>
        <w:rPr>
          <w:sz w:val="20"/>
          <w:szCs w:val="20"/>
          <w:color w:val="auto"/>
        </w:rPr>
      </w:pPr>
    </w:p>
    <w:p>
      <w:pPr>
        <w:ind w:left="1500" w:hanging="387"/>
        <w:spacing w:after="0"/>
        <w:tabs>
          <w:tab w:leader="none" w:pos="15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while the Warrants are exercisable;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not less than 30 days’ prior written notice of redemption to each holder of Warrants;</w:t>
      </w:r>
    </w:p>
    <w:p>
      <w:pPr>
        <w:spacing w:after="0" w:line="122" w:lineRule="exact"/>
        <w:rPr>
          <w:rFonts w:ascii="Times New Roman" w:cs="Times New Roman" w:eastAsia="Times New Roman" w:hAnsi="Times New Roman"/>
          <w:sz w:val="16"/>
          <w:szCs w:val="16"/>
          <w:color w:val="auto"/>
        </w:rPr>
      </w:pPr>
    </w:p>
    <w:p>
      <w:pPr>
        <w:ind w:left="1500" w:hanging="387"/>
        <w:spacing w:after="0" w:line="291" w:lineRule="auto"/>
        <w:tabs>
          <w:tab w:leader="none" w:pos="15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 reported last sale price of the shares of the Class A Common Stock equals or exceeds $18.00 per share, for any 20 trading days within a 30-day trading period ending on the third business day prior to the notice of redemption to holders of Warrant; and</w:t>
      </w:r>
    </w:p>
    <w:p>
      <w:pPr>
        <w:spacing w:after="0" w:line="56" w:lineRule="exact"/>
        <w:rPr>
          <w:rFonts w:ascii="Times New Roman" w:cs="Times New Roman" w:eastAsia="Times New Roman" w:hAnsi="Times New Roman"/>
          <w:sz w:val="16"/>
          <w:szCs w:val="16"/>
          <w:color w:val="auto"/>
        </w:rPr>
      </w:pPr>
    </w:p>
    <w:p>
      <w:pPr>
        <w:jc w:val="both"/>
        <w:ind w:left="1500" w:right="80" w:hanging="387"/>
        <w:spacing w:after="0" w:line="291" w:lineRule="auto"/>
        <w:tabs>
          <w:tab w:leader="none" w:pos="15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there is a current registration statement in effect with respect to the Class A Common Stock underlying such Warrants at the redemption date and for the entire 30-day trading period referred to above and continuing each day thereafter until the date of redemption.</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Redemption for Shares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Company may call the Warrants redemption of shares of Class A Common Stock, in whole and not in part, at a price of $0.10 per Warrant:</w:t>
      </w:r>
    </w:p>
    <w:p>
      <w:pPr>
        <w:spacing w:after="0" w:line="122" w:lineRule="exact"/>
        <w:rPr>
          <w:sz w:val="20"/>
          <w:szCs w:val="20"/>
          <w:color w:val="auto"/>
        </w:rPr>
      </w:pPr>
    </w:p>
    <w:p>
      <w:pPr>
        <w:ind w:left="1500" w:hanging="387"/>
        <w:spacing w:after="0"/>
        <w:tabs>
          <w:tab w:leader="none" w:pos="15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while the Warrants are exercisable;</w:t>
      </w:r>
    </w:p>
    <w:p>
      <w:pPr>
        <w:spacing w:after="0" w:line="1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128</w:t>
      </w:r>
    </w:p>
    <w:p>
      <w:pPr>
        <w:sectPr>
          <w:pgSz w:w="11900" w:h="16838" w:orient="portrait"/>
          <w:cols w:equalWidth="0" w:num="1">
            <w:col w:w="10620"/>
          </w:cols>
          <w:pgMar w:left="320" w:top="452" w:right="959" w:bottom="1440" w:gutter="0" w:footer="0" w:header="0"/>
        </w:sectPr>
      </w:pPr>
    </w:p>
    <w:bookmarkStart w:id="132" w:name="page133"/>
    <w:bookmarkEnd w:id="13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1" w:lineRule="exact"/>
        <w:rPr>
          <w:sz w:val="20"/>
          <w:szCs w:val="20"/>
          <w:color w:val="auto"/>
        </w:rPr>
      </w:pPr>
    </w:p>
    <w:p>
      <w:pPr>
        <w:ind w:left="1500" w:right="140" w:hanging="387"/>
        <w:spacing w:after="0" w:line="275" w:lineRule="auto"/>
        <w:tabs>
          <w:tab w:leader="none" w:pos="15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not less than 30 days’ prior written notice of redemption to each Warrant Holder;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holders will be able to exercise their Warrants on a cashless basis prior to redemption and receive that number of shares determined by reference to the table below, based on the redemption date and the “fair market value” (as defined below) of the Class A Common Stock except as otherwise described below;</w:t>
      </w:r>
    </w:p>
    <w:p>
      <w:pPr>
        <w:spacing w:after="0" w:line="68" w:lineRule="exact"/>
        <w:rPr>
          <w:rFonts w:ascii="Times New Roman" w:cs="Times New Roman" w:eastAsia="Times New Roman" w:hAnsi="Times New Roman"/>
          <w:sz w:val="16"/>
          <w:szCs w:val="16"/>
          <w:color w:val="auto"/>
        </w:rPr>
      </w:pPr>
    </w:p>
    <w:p>
      <w:pPr>
        <w:ind w:left="1500" w:right="20" w:hanging="387"/>
        <w:spacing w:after="0" w:line="291" w:lineRule="auto"/>
        <w:tabs>
          <w:tab w:leader="none" w:pos="15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last sale price of the shares of the Class A Common Stock equals or exceeds $10.00 per share, for any 20 trading days within a 30-day trading period ending on the third business day prior to the notice of redemption to Warrant Holders; and</w:t>
      </w:r>
    </w:p>
    <w:p>
      <w:pPr>
        <w:spacing w:after="0" w:line="56" w:lineRule="exact"/>
        <w:rPr>
          <w:rFonts w:ascii="Times New Roman" w:cs="Times New Roman" w:eastAsia="Times New Roman" w:hAnsi="Times New Roman"/>
          <w:sz w:val="16"/>
          <w:szCs w:val="16"/>
          <w:color w:val="auto"/>
        </w:rPr>
      </w:pPr>
    </w:p>
    <w:p>
      <w:pPr>
        <w:ind w:left="1500" w:right="40" w:hanging="387"/>
        <w:spacing w:after="0" w:line="291" w:lineRule="auto"/>
        <w:tabs>
          <w:tab w:leader="none" w:pos="15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 current registration statement in effect with respect to the Class A Common Stock underlying the Warrants at the redemption date and for the entire 30-day trading period referred to above and continuing each day thereafter until the date of redemption.</w:t>
      </w:r>
    </w:p>
    <w:p>
      <w:pPr>
        <w:spacing w:after="0" w:line="142" w:lineRule="exact"/>
        <w:rPr>
          <w:sz w:val="20"/>
          <w:szCs w:val="20"/>
          <w:color w:val="auto"/>
        </w:rPr>
      </w:pPr>
    </w:p>
    <w:p>
      <w:pPr>
        <w:ind w:left="620" w:right="20"/>
        <w:spacing w:after="0" w:line="260" w:lineRule="auto"/>
        <w:rPr>
          <w:sz w:val="20"/>
          <w:szCs w:val="20"/>
          <w:color w:val="auto"/>
        </w:rPr>
      </w:pPr>
      <w:r>
        <w:rPr>
          <w:rFonts w:ascii="Times New Roman" w:cs="Times New Roman" w:eastAsia="Times New Roman" w:hAnsi="Times New Roman"/>
          <w:sz w:val="16"/>
          <w:szCs w:val="16"/>
          <w:color w:val="auto"/>
        </w:rPr>
        <w:t>Beginning on the date the notice of redemption for shares of Class A Common Stock is given and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the Company pursuant to this redemption feature, based on the “fair market value” of shares of the Class A Common Stock on the corresponding redemption date (assuming holders elect to exercise their Warrants and such Warrants are not redeemed for $0.10 per Warrant), determined for these purposes based on the volume-weighted average price of the shares of Class A Common Stock during the 10 trading days immediately following the date on which the notice of redemption is sent to the Warrant holders, and the number of months that the corresponding redemption date precedes the expiration date of the Warrants, each as set forth in the table below. The Company will provide Warrant holders with the final fair market value no later than one business day after the 10-trading day period described above ends.</w:t>
      </w:r>
    </w:p>
    <w:p>
      <w:pPr>
        <w:spacing w:after="0" w:line="371"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Redemption Fair Market Value of Shares of Class A Common 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4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(period to expiration of Warrants)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7"/>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8"/>
              </w:rPr>
              <w:t>Redemption Date</w:t>
            </w:r>
          </w:p>
        </w:tc>
        <w:tc>
          <w:tcPr>
            <w:tcW w:w="372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$10.00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$11.00</w:t>
            </w:r>
          </w:p>
        </w:tc>
        <w:tc>
          <w:tcPr>
            <w:tcW w:w="140" w:type="dxa"/>
            <w:vAlign w:val="bottom"/>
          </w:tcPr>
          <w:p>
            <w:pPr>
              <w:spacing w:after="0"/>
              <w:rPr>
                <w:sz w:val="15"/>
                <w:szCs w:val="15"/>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$12.00</w:t>
            </w:r>
          </w:p>
        </w:tc>
        <w:tc>
          <w:tcPr>
            <w:tcW w:w="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13.00</w:t>
            </w:r>
          </w:p>
        </w:tc>
        <w:tc>
          <w:tcPr>
            <w:tcW w:w="140" w:type="dxa"/>
            <w:vAlign w:val="bottom"/>
          </w:tcPr>
          <w:p>
            <w:pPr>
              <w:spacing w:after="0"/>
              <w:rPr>
                <w:sz w:val="15"/>
                <w:szCs w:val="15"/>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14.00</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15.00</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16.00</w:t>
            </w:r>
          </w:p>
        </w:tc>
        <w:tc>
          <w:tcPr>
            <w:tcW w:w="16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17.00</w:t>
            </w:r>
          </w:p>
        </w:tc>
        <w:tc>
          <w:tcPr>
            <w:tcW w:w="16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7"/>
              </w:rPr>
              <w:t>≥</w:t>
            </w:r>
            <w:r>
              <w:rPr>
                <w:rFonts w:ascii="Times New Roman" w:cs="Times New Roman" w:eastAsia="Times New Roman" w:hAnsi="Times New Roman"/>
                <w:sz w:val="13"/>
                <w:szCs w:val="13"/>
                <w:b w:val="1"/>
                <w:bCs w:val="1"/>
                <w:u w:val="single" w:color="auto"/>
                <w:color w:val="auto"/>
                <w:w w:val="97"/>
              </w:rPr>
              <w:t>$</w:t>
            </w:r>
            <w:r>
              <w:rPr>
                <w:rFonts w:ascii="Times New Roman" w:cs="Times New Roman" w:eastAsia="Times New Roman" w:hAnsi="Times New Roman"/>
                <w:sz w:val="13"/>
                <w:szCs w:val="13"/>
                <w:b w:val="1"/>
                <w:bCs w:val="1"/>
                <w:color w:val="auto"/>
                <w:w w:val="97"/>
              </w:rPr>
              <w:t>18.00</w:t>
            </w:r>
          </w:p>
        </w:tc>
      </w:tr>
      <w:tr>
        <w:trPr>
          <w:trHeight w:val="181"/>
        </w:trPr>
        <w:tc>
          <w:tcPr>
            <w:tcW w:w="4700" w:type="dxa"/>
            <w:vAlign w:val="bottom"/>
            <w:tcBorders>
              <w:top w:val="single" w:sz="8" w:color="CCEEFF"/>
            </w:tcBorders>
            <w:gridSpan w:val="2"/>
            <w:shd w:val="clear" w:color="auto" w:fill="CCEEFF"/>
          </w:tcPr>
          <w:p>
            <w:pPr>
              <w:ind w:left="340"/>
              <w:spacing w:after="0" w:line="181" w:lineRule="exact"/>
              <w:rPr>
                <w:sz w:val="20"/>
                <w:szCs w:val="20"/>
                <w:color w:val="auto"/>
              </w:rPr>
            </w:pPr>
            <w:r>
              <w:rPr>
                <w:rFonts w:ascii="Times New Roman" w:cs="Times New Roman" w:eastAsia="Times New Roman" w:hAnsi="Times New Roman"/>
                <w:sz w:val="16"/>
                <w:szCs w:val="16"/>
                <w:color w:val="auto"/>
              </w:rPr>
              <w:t>60 months</w:t>
            </w:r>
          </w:p>
        </w:tc>
        <w:tc>
          <w:tcPr>
            <w:tcW w:w="5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0.261</w:t>
            </w: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0.281</w:t>
            </w: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color w:val="auto"/>
                <w:w w:val="94"/>
              </w:rPr>
              <w:t>0.297</w:t>
            </w: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0.311</w:t>
            </w:r>
          </w:p>
        </w:tc>
        <w:tc>
          <w:tcPr>
            <w:tcW w:w="1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6"/>
                <w:szCs w:val="16"/>
                <w:color w:val="auto"/>
                <w:w w:val="99"/>
              </w:rPr>
              <w:t>0.324</w:t>
            </w:r>
          </w:p>
        </w:tc>
        <w:tc>
          <w:tcPr>
            <w:tcW w:w="1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0.337</w:t>
            </w:r>
          </w:p>
        </w:tc>
        <w:tc>
          <w:tcPr>
            <w:tcW w:w="1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0.348</w:t>
            </w:r>
          </w:p>
        </w:tc>
        <w:tc>
          <w:tcPr>
            <w:tcW w:w="1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6"/>
                <w:szCs w:val="16"/>
                <w:color w:val="auto"/>
                <w:w w:val="94"/>
              </w:rPr>
              <w:t>0.358</w:t>
            </w:r>
          </w:p>
        </w:tc>
        <w:tc>
          <w:tcPr>
            <w:tcW w:w="1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0.361</w:t>
            </w:r>
          </w:p>
        </w:tc>
        <w:tc>
          <w:tcPr>
            <w:tcW w:w="40" w:type="dxa"/>
            <w:vAlign w:val="bottom"/>
            <w:tcBorders>
              <w:top w:val="single" w:sz="8" w:color="CCEEFF"/>
            </w:tcBorders>
            <w:shd w:val="clear" w:color="auto" w:fill="CCEEFF"/>
          </w:tcPr>
          <w:p>
            <w:pPr>
              <w:spacing w:after="0"/>
              <w:rPr>
                <w:sz w:val="15"/>
                <w:szCs w:val="15"/>
                <w:color w:val="auto"/>
              </w:rPr>
            </w:pPr>
          </w:p>
        </w:tc>
      </w:tr>
      <w:tr>
        <w:trPr>
          <w:trHeight w:val="196"/>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57 months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0.257</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0.277</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0.294</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0.310</w:t>
            </w: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0.324</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0.337</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0.348</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0.358</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54 months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0.252</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0.272</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0.291</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0.307</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0.322</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0.335</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0.347</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0.357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51 months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0.246</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0.268</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0.287</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0.304</w:t>
            </w: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0.320</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0.333</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0.346</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0.357</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48 months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0.241</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0.263</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0.283</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0.301</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0.317</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0.332</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0.344</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0.356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45 months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0.235</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0.258</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0.279</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0.298</w:t>
            </w: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0.315</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0.330</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0.343</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0.356</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42 months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0.228</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0.252</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0.274</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0.294</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0.312</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0.328</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0.342</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0.355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39 months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0.221</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0.246</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0.269</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0.290</w:t>
            </w: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0.309</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0.325</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0.340</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0.354</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36 months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0.213</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0.239</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0.263</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0.285</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0.305</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0.323</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0.339</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0.353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33 months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0.205</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0.232</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0.257</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0.280</w:t>
            </w: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0.301</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0.320</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0.337</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0.352</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30 months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0.196</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0.224</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0.250</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0.274</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0.297</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0.316</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0.335</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0.351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27 months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0.185</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0.214</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0.242</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0.268</w:t>
            </w: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0.291</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0.313</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0.332</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0.350</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24 months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0.173</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0.204</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0.233</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0.260</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0.285</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0.308</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0.329</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0.348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21 months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0.161</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0.193</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0.223</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0.252</w:t>
            </w: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0.279</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0.304</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0.326</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0.347</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18 months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0.146</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0.179</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0.211</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0.242</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0.271</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0.298</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0.322</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0.345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15 months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0.130</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0.164</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0.197</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0.230</w:t>
            </w: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0.262</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0.291</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0.317</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0.342</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12 months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0.111</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0.146</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0.181</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0.216</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0.250</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0.282</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0.312</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0.339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9 months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0.090</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0.125</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0.162</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0.199</w:t>
            </w: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0.237</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0.272</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0.305</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0.336</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6 months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0.065</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0.099</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0.137</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0.178</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0.219</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0.259</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0.296</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0.331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3 months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0.034</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0.065</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0.104</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0.150</w:t>
            </w: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0.197</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0.243</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0.286</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0.326</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0 months</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0.042</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0.115</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0.179</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0.233</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0.281</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0.323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0.361</w:t>
            </w:r>
          </w:p>
        </w:tc>
        <w:tc>
          <w:tcPr>
            <w:tcW w:w="40" w:type="dxa"/>
            <w:vAlign w:val="bottom"/>
            <w:shd w:val="clear" w:color="auto" w:fill="CCEEFF"/>
          </w:tcPr>
          <w:p>
            <w:pPr>
              <w:spacing w:after="0"/>
              <w:rPr>
                <w:sz w:val="17"/>
                <w:szCs w:val="17"/>
                <w:color w:val="auto"/>
              </w:rPr>
            </w:pPr>
          </w:p>
        </w:tc>
      </w:tr>
      <w:tr>
        <w:trPr>
          <w:trHeight w:val="330"/>
        </w:trPr>
        <w:tc>
          <w:tcPr>
            <w:tcW w:w="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620"/>
          </w:cols>
          <w:pgMar w:left="320" w:top="453" w:right="959" w:bottom="1440" w:gutter="0" w:footer="0" w:header="0"/>
        </w:sectPr>
      </w:pPr>
    </w:p>
    <w:bookmarkStart w:id="133" w:name="page134"/>
    <w:bookmarkEnd w:id="13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80"/>
        <w:spacing w:after="0" w:line="258" w:lineRule="auto"/>
        <w:rPr>
          <w:sz w:val="20"/>
          <w:szCs w:val="20"/>
          <w:color w:val="auto"/>
        </w:rPr>
      </w:pPr>
      <w:r>
        <w:rPr>
          <w:rFonts w:ascii="Times New Roman" w:cs="Times New Roman" w:eastAsia="Times New Roman" w:hAnsi="Times New Roman"/>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shares of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volume-weighted average price of the shares of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the Company pursuant to this redemption feature, since they will not be exercisable for any shares of Class A Common Stock.</w:t>
      </w:r>
    </w:p>
    <w:p>
      <w:pPr>
        <w:spacing w:after="0" w:line="369"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16"/>
          <w:szCs w:val="16"/>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57" w:lineRule="exact"/>
        <w:rPr>
          <w:sz w:val="20"/>
          <w:szCs w:val="20"/>
          <w:color w:val="auto"/>
        </w:rPr>
      </w:pPr>
    </w:p>
    <w:p>
      <w:pPr>
        <w:ind w:left="620" w:right="80"/>
        <w:spacing w:after="0" w:line="273" w:lineRule="auto"/>
        <w:rPr>
          <w:sz w:val="20"/>
          <w:szCs w:val="20"/>
          <w:color w:val="auto"/>
        </w:rPr>
      </w:pPr>
      <w:r>
        <w:rPr>
          <w:rFonts w:ascii="Times New Roman" w:cs="Times New Roman" w:eastAsia="Times New Roman" w:hAnsi="Times New Roman"/>
          <w:sz w:val="16"/>
          <w:szCs w:val="16"/>
          <w:color w:val="auto"/>
        </w:rPr>
        <w:t>The redemption criteria for the Warrants have been established at a price that is intended to provide Warrant Holders a reasonable premium to the initial exercise price and provide a sufficient differential between the then-prevailing share price and the Warrant exercise price so that if the share price declines as a result of a redemption call, the redemption will not cause the share price to drop below the exercise price of the Warrants.</w:t>
      </w:r>
    </w:p>
    <w:p>
      <w:pPr>
        <w:spacing w:after="0" w:line="157" w:lineRule="exact"/>
        <w:rPr>
          <w:sz w:val="20"/>
          <w:szCs w:val="20"/>
          <w:color w:val="auto"/>
        </w:rPr>
      </w:pPr>
    </w:p>
    <w:p>
      <w:pPr>
        <w:ind w:left="620"/>
        <w:spacing w:after="0" w:line="261" w:lineRule="auto"/>
        <w:rPr>
          <w:sz w:val="20"/>
          <w:szCs w:val="20"/>
          <w:color w:val="auto"/>
        </w:rPr>
      </w:pPr>
      <w:r>
        <w:rPr>
          <w:rFonts w:ascii="Times New Roman" w:cs="Times New Roman" w:eastAsia="Times New Roman" w:hAnsi="Times New Roman"/>
          <w:sz w:val="16"/>
          <w:szCs w:val="16"/>
          <w:color w:val="auto"/>
        </w:rPr>
        <w:t>The Warrants are issued pursuant to the Warrant Agreement. The Warrant Agreement provides that the terms of the Warrants may be amended without the consent of any holder for the purpose of (a) curing any ambiguity or to correct any defective provision or mistake, including to conform the provisions of the Warrant Agreement to the description of the terms of the Warrants and the Warrant Agreement set forth in this prospectus, (b) adjusting the provisions relating to cash dividends on ordinary shares as contemplated by and in accordance with the Warrant Agreement or (c)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Warrants is required to make any change that adversely affects the interests of the registered holders of Warrants.</w:t>
      </w:r>
    </w:p>
    <w:p>
      <w:pPr>
        <w:spacing w:after="0" w:line="364" w:lineRule="exact"/>
        <w:rPr>
          <w:sz w:val="20"/>
          <w:szCs w:val="20"/>
          <w:color w:val="auto"/>
        </w:rPr>
      </w:pPr>
    </w:p>
    <w:p>
      <w:pPr>
        <w:ind w:left="620" w:right="80"/>
        <w:spacing w:after="0" w:line="260" w:lineRule="auto"/>
        <w:rPr>
          <w:sz w:val="20"/>
          <w:szCs w:val="20"/>
          <w:color w:val="auto"/>
        </w:rPr>
      </w:pPr>
      <w:r>
        <w:rPr>
          <w:rFonts w:ascii="Times New Roman" w:cs="Times New Roman" w:eastAsia="Times New Roman" w:hAnsi="Times New Roman"/>
          <w:sz w:val="16"/>
          <w:szCs w:val="16"/>
          <w:color w:val="auto"/>
        </w:rPr>
        <w:t>The exercise price and number of shares of Class A Common Stock issuable on exercise of the Warrants may be adjusted in certain circumstances including in the event of a share dividend, extraordinary dividend or the Company’s recapitalization, reorganization, merger or consolidation. However, the Warrants will not be adjusted for issuances of Class A Common Stock at a price below their respective exercise prices. The Company is also permitted, in its sole discretion, to lower the exercise price (but not below the par value of Class A Common Stock) at any time prior to the expiration date for a period of not less than 15 business days; provided, however, that the Company provides at least five days’ prior written notice of such reduction to registered holders of the Warrants and that any such reduction will be applied consistently to all Warrants. Any such reduction in the exercise price will comply with any applicable regulations under the U.S. federal securities laws, including Rule 13e-4 under the Exchange Act generally and Rule 13e-4(f)(1)(i) specifically.</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130</w:t>
      </w:r>
    </w:p>
    <w:p>
      <w:pPr>
        <w:sectPr>
          <w:pgSz w:w="11900" w:h="16838" w:orient="portrait"/>
          <w:cols w:equalWidth="0" w:num="1">
            <w:col w:w="10620"/>
          </w:cols>
          <w:pgMar w:left="320" w:top="452" w:right="959" w:bottom="1440" w:gutter="0" w:footer="0" w:header="0"/>
        </w:sectPr>
      </w:pPr>
    </w:p>
    <w:bookmarkStart w:id="134" w:name="page135"/>
    <w:bookmarkEnd w:id="13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0"/>
        <w:spacing w:after="0" w:line="263" w:lineRule="auto"/>
        <w:rPr>
          <w:sz w:val="20"/>
          <w:szCs w:val="20"/>
          <w:color w:val="auto"/>
        </w:rPr>
      </w:pPr>
      <w:r>
        <w:rPr>
          <w:rFonts w:ascii="Times New Roman" w:cs="Times New Roman" w:eastAsia="Times New Roman" w:hAnsi="Times New Roman"/>
          <w:sz w:val="16"/>
          <w:szCs w:val="16"/>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the Company, for the number of Warrants being exercised. The Warrant Holder will not have the rights or privileges of holders of the Company’ Class A Ordinary Shares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shareholders.</w:t>
      </w:r>
    </w:p>
    <w:p>
      <w:pPr>
        <w:spacing w:after="0" w:line="163" w:lineRule="exact"/>
        <w:rPr>
          <w:sz w:val="20"/>
          <w:szCs w:val="20"/>
          <w:color w:val="auto"/>
        </w:rPr>
      </w:pPr>
    </w:p>
    <w:p>
      <w:pPr>
        <w:ind w:left="620"/>
        <w:spacing w:after="0" w:line="259" w:lineRule="auto"/>
        <w:rPr>
          <w:sz w:val="20"/>
          <w:szCs w:val="20"/>
          <w:color w:val="auto"/>
        </w:rPr>
      </w:pPr>
      <w:r>
        <w:rPr>
          <w:rFonts w:ascii="Times New Roman" w:cs="Times New Roman" w:eastAsia="Times New Roman" w:hAnsi="Times New Roman"/>
          <w:sz w:val="16"/>
          <w:szCs w:val="16"/>
          <w:color w:val="auto"/>
        </w:rPr>
        <w:t>Except as described above, no Warrants will be exercisable, and the Company will not be obligated to issue shares of Class A Common Stock unless at the time a holder seeks to exercise such Warrant, a prospectus relating to the Class A Common Stock issuable upon exercise of the Warrants is current and the shares of Class A Common Stock have been registered or qualified or deemed to be exempt under the securities laws of the state of residence of the holder of the Warrants. Under the terms of the Warrant Agreement, the Company has agreed to use its best efforts to meet these conditions and to maintain a current prospectus relating to the Class A Common Stock issuable upon exercise of the Warrants until the expiration of the Warrants. However, the Company cannot assure you that it will be able to do so and, if it does not maintain a current prospectus relating to the Class A Common Stock issuable upon exercise of the Warrants, holders will be unable to exercise their Warrants and the Company will not be required to settle any such Warrant. If the prospectus relating to the Class A Common Stock issuable upon the exercise of the Warrants is not current or if the Class A Common Stock is not qualified or exempt from qualification in the jurisdictions in which the holders of the Warrants reside, the Company will not be required to net cash settle or cash settle the Warrant exercise, the Warrants may have no value, the market for the Warrants may be limited and the Warrants may expire worthless.</w:t>
      </w:r>
    </w:p>
    <w:p>
      <w:pPr>
        <w:spacing w:after="0" w:line="368" w:lineRule="exact"/>
        <w:rPr>
          <w:sz w:val="20"/>
          <w:szCs w:val="20"/>
          <w:color w:val="auto"/>
        </w:rPr>
      </w:pPr>
    </w:p>
    <w:p>
      <w:pPr>
        <w:ind w:left="620" w:right="40"/>
        <w:spacing w:after="0" w:line="263" w:lineRule="auto"/>
        <w:rPr>
          <w:sz w:val="20"/>
          <w:szCs w:val="20"/>
          <w:color w:val="auto"/>
        </w:rPr>
      </w:pPr>
      <w:r>
        <w:rPr>
          <w:rFonts w:ascii="Times New Roman" w:cs="Times New Roman" w:eastAsia="Times New Roman" w:hAnsi="Times New Roman"/>
          <w:sz w:val="16"/>
          <w:szCs w:val="16"/>
          <w:color w:val="auto"/>
        </w:rPr>
        <w:t>Holders of Warrants may elect, at their sole option and discretion, to be subject to a restriction on the exercise of their Warrants such that an electing holder of Warrants (and his, her or its affiliates) would not be able to exercise their Warrants to the extent that, after giving effect to such exercise, such holder (and his, her or its affiliates) would beneficially own in excess of 4.9% or 9.8% (as specified by the holder) of the shares of Class A Common Stock outstanding. Notwithstanding the foregoing, any person who acquires a Warrant with the purpose or effect of changing or influencing the control of the Company, or in connection with or as a participant in any transaction having such purpose or effect, immediately upon such acquisition will be deemed to be the beneficial owner of the underlying Class A Common Stock and not be able to take advantage of this provision.</w:t>
      </w:r>
    </w:p>
    <w:p>
      <w:pPr>
        <w:spacing w:after="0" w:line="163" w:lineRule="exact"/>
        <w:rPr>
          <w:sz w:val="20"/>
          <w:szCs w:val="20"/>
          <w:color w:val="auto"/>
        </w:rPr>
      </w:pPr>
    </w:p>
    <w:p>
      <w:pPr>
        <w:ind w:left="620" w:right="200"/>
        <w:spacing w:after="0" w:line="267" w:lineRule="auto"/>
        <w:rPr>
          <w:sz w:val="20"/>
          <w:szCs w:val="20"/>
          <w:color w:val="auto"/>
        </w:rPr>
      </w:pPr>
      <w:r>
        <w:rPr>
          <w:rFonts w:ascii="Times New Roman" w:cs="Times New Roman" w:eastAsia="Times New Roman" w:hAnsi="Times New Roman"/>
          <w:sz w:val="16"/>
          <w:szCs w:val="16"/>
          <w:color w:val="auto"/>
        </w:rPr>
        <w:t>No fractional shares will be issued upon exercise of the Warrants. If, upon exercise of the Warrants, a holder would be entitled to receive a fractional interest in a share (as a result of a subsequent share dividend payable in shares of Class A Common Stock, or by a split up of the shares of Class A Common Stock or other similar event), the Company will, upon exercise, round up or down to the nearest whole number the number of Class A Common Stock to be issued to the holder of the Warrant.</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Anti-Dilution Adjustments</w:t>
      </w:r>
    </w:p>
    <w:p>
      <w:pPr>
        <w:spacing w:after="0" w:line="114" w:lineRule="exact"/>
        <w:rPr>
          <w:sz w:val="20"/>
          <w:szCs w:val="20"/>
          <w:color w:val="auto"/>
        </w:rPr>
      </w:pPr>
    </w:p>
    <w:p>
      <w:pPr>
        <w:ind w:left="620" w:right="20"/>
        <w:spacing w:after="0" w:line="260" w:lineRule="auto"/>
        <w:rPr>
          <w:sz w:val="20"/>
          <w:szCs w:val="20"/>
          <w:color w:val="auto"/>
        </w:rPr>
      </w:pPr>
      <w:r>
        <w:rPr>
          <w:rFonts w:ascii="Times New Roman" w:cs="Times New Roman" w:eastAsia="Times New Roman" w:hAnsi="Times New Roman"/>
          <w:sz w:val="16"/>
          <w:szCs w:val="16"/>
          <w:color w:val="auto"/>
        </w:rPr>
        <w:t xml:space="preserve">The exercise price and number of shares of Class A Common Stock issuable on exercise of the Warrants may be adjusted in certain circumstances including in the event of a share dividend, extraordinary dividend or recapitalization, reorganization, merger or consolidation. However, the Warrants will not be adjusted for issuances of shares of Class A Common Stock at a price below their respective exercise prices. The Company is also permitted, in its sole discretion, to lower the exercise price (but not below the par value of a share of Class A Common Stock) at any time prior to the expiration date for a period of not less than 15 business days;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that</w:t>
      </w:r>
      <w:r>
        <w:rPr>
          <w:rFonts w:ascii="Times New Roman" w:cs="Times New Roman" w:eastAsia="Times New Roman" w:hAnsi="Times New Roman"/>
          <w:sz w:val="16"/>
          <w:szCs w:val="16"/>
          <w:color w:val="auto"/>
        </w:rPr>
        <w:t xml:space="preserve"> the Company provides at least 5 days’ prior written notice of such reduction to registered holders of the Warrants and that any such reduction will be applied consistently to all of the Warrants. Any such reduction in the exercise price will comply with any applicable regulations under the U.S. federal securities laws, including Rule 13e-4 under the Exchange Act generally and Rule 13e-4(f)(1)(i) specifically.</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131</w:t>
      </w:r>
    </w:p>
    <w:p>
      <w:pPr>
        <w:sectPr>
          <w:pgSz w:w="11900" w:h="16838" w:orient="portrait"/>
          <w:cols w:equalWidth="0" w:num="1">
            <w:col w:w="10540"/>
          </w:cols>
          <w:pgMar w:left="320" w:top="453" w:right="1039" w:bottom="1440" w:gutter="0" w:footer="0" w:header="0"/>
        </w:sectPr>
      </w:pPr>
    </w:p>
    <w:bookmarkStart w:id="135" w:name="page136"/>
    <w:bookmarkEnd w:id="13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Anti-Takeover Effects of the Certificate of Incorporation, the By-Laws and Certain Provisions of Delaware Law</w:t>
      </w:r>
    </w:p>
    <w:p>
      <w:pPr>
        <w:spacing w:after="0" w:line="114"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The Certificate of Incorporation, the By-Laws and the DGCL contain provisions, which are summarized in the following paragraphs, which are intended to enhance the likelihood of continuity and stability in the composition of the Board and to discourage certain types of transactions that may involve an actual or threatened acquisition of the Company. These provisions are intended to avoid costly takeover battles, reduce the Company’s vulnerability to a hostile change of control or other unsolicited acquisition proposal, and enhance the ability of the Board to maximize stockholder value in connection with any unsolicited offer to acquire the Company.</w:t>
      </w:r>
    </w:p>
    <w:p>
      <w:pPr>
        <w:spacing w:after="0" w:line="165" w:lineRule="exact"/>
        <w:rPr>
          <w:sz w:val="20"/>
          <w:szCs w:val="20"/>
          <w:color w:val="auto"/>
        </w:rPr>
      </w:pPr>
    </w:p>
    <w:p>
      <w:pPr>
        <w:ind w:left="620"/>
        <w:spacing w:after="0" w:line="259" w:lineRule="auto"/>
        <w:rPr>
          <w:sz w:val="20"/>
          <w:szCs w:val="20"/>
          <w:color w:val="auto"/>
        </w:rPr>
      </w:pPr>
      <w:r>
        <w:rPr>
          <w:rFonts w:ascii="Times New Roman" w:cs="Times New Roman" w:eastAsia="Times New Roman" w:hAnsi="Times New Roman"/>
          <w:sz w:val="16"/>
          <w:szCs w:val="16"/>
          <w:color w:val="auto"/>
        </w:rPr>
        <w:t>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Class A Common Stock. The Certificate of Incorporation provides that any action required or permitted to be taken by the Company’s stockholders must be effected at a duly called annual or extraordinary general meeting of such stockholders and may not be effected by any consent in writing by such holders except that any action required or permitted to be taken by holders of Class V Common Stock, voting separately as a class, or, to the extent expressly permitted to do so by the certificate of designation relating to one or more series of Preferred Stock, voting separately as a series or separately as a class with one or more other such series, may be taken without a meeting, without prior notice and without a vote, if a consent or consents, setting forth the action so taken, are signed by holders of outstanding shares of the relevant class or series having not less than the minimum number of votes that would be necessary to authorize or take such action at a meeting at which all shares entitled to vote thereon were present and voted and are delivered to the Company in the manner forth in Section 228 of the DGCL.</w:t>
      </w:r>
    </w:p>
    <w:p>
      <w:pPr>
        <w:spacing w:after="0" w:line="2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Authorized but Unissued Capital Stock</w:t>
      </w:r>
    </w:p>
    <w:p>
      <w:pPr>
        <w:spacing w:after="0" w:line="114" w:lineRule="exact"/>
        <w:rPr>
          <w:sz w:val="20"/>
          <w:szCs w:val="20"/>
          <w:color w:val="auto"/>
        </w:rPr>
      </w:pPr>
    </w:p>
    <w:p>
      <w:pPr>
        <w:ind w:left="620" w:right="80"/>
        <w:spacing w:after="0" w:line="267" w:lineRule="auto"/>
        <w:rPr>
          <w:sz w:val="20"/>
          <w:szCs w:val="20"/>
          <w:color w:val="auto"/>
        </w:rPr>
      </w:pPr>
      <w:r>
        <w:rPr>
          <w:rFonts w:ascii="Times New Roman" w:cs="Times New Roman" w:eastAsia="Times New Roman" w:hAnsi="Times New Roman"/>
          <w:sz w:val="16"/>
          <w:szCs w:val="16"/>
          <w:color w:val="auto"/>
        </w:rPr>
        <w:t>Delaware law does not require stockholder approval for any issuance of authorized shares. However, the listing requirements of NYSE, which would apply if and so long as the Class A Common Stock remains listed on NYSE, require stockholder approval of certain issuances equal to or exceeding 20% of the then outstanding voting power or then outstanding number of shares of Class A Common Stock. Additional shares that may be issued in the future may be used for a variety of corporate purposes, including future public offerings, to raise additional capital or to facilitate acquisitions.</w:t>
      </w:r>
    </w:p>
    <w:p>
      <w:pPr>
        <w:spacing w:after="0" w:line="162" w:lineRule="exact"/>
        <w:rPr>
          <w:sz w:val="20"/>
          <w:szCs w:val="20"/>
          <w:color w:val="auto"/>
        </w:rPr>
      </w:pPr>
    </w:p>
    <w:p>
      <w:pPr>
        <w:ind w:left="620" w:right="80"/>
        <w:spacing w:after="0" w:line="267" w:lineRule="auto"/>
        <w:rPr>
          <w:sz w:val="20"/>
          <w:szCs w:val="20"/>
          <w:color w:val="auto"/>
        </w:rPr>
      </w:pPr>
      <w:r>
        <w:rPr>
          <w:rFonts w:ascii="Times New Roman" w:cs="Times New Roman" w:eastAsia="Times New Roman" w:hAnsi="Times New Roman"/>
          <w:sz w:val="16"/>
          <w:szCs w:val="16"/>
          <w:color w:val="auto"/>
        </w:rPr>
        <w:t>One of the effects of the existence of unissued and unreserved common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Class A Common Stock at prices higher than prevailing market prices.</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Election of Directors and Vacancies</w:t>
      </w:r>
    </w:p>
    <w:p>
      <w:pPr>
        <w:spacing w:after="0" w:line="114"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color w:val="auto"/>
        </w:rPr>
        <w:t>The Certificate of Incorporation provides that the Board will determine the number of directors who will serve on the Board. Subject to the Stockholders Agreement, the exact number of directors is fixed from time to time by a majority of the Board. The Board is divided into three classes designated as Class I, Class II and Class III. Class I directors will initially serve for a term expiring at the first annual meeting of stockholders following the Closing. Class II and Class III directors will initially serve for a term expiring at the second and third annual meeting of stockholders following the Closing,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the Board.</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132</w:t>
      </w:r>
    </w:p>
    <w:p>
      <w:pPr>
        <w:sectPr>
          <w:pgSz w:w="11900" w:h="16838" w:orient="portrait"/>
          <w:cols w:equalWidth="0" w:num="1">
            <w:col w:w="10600"/>
          </w:cols>
          <w:pgMar w:left="320" w:top="453" w:right="979" w:bottom="1440" w:gutter="0" w:footer="0" w:header="0"/>
        </w:sectPr>
      </w:pPr>
    </w:p>
    <w:bookmarkStart w:id="136" w:name="page137"/>
    <w:bookmarkEnd w:id="13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jc w:val="both"/>
        <w:ind w:left="620" w:right="120"/>
        <w:spacing w:after="0" w:line="273" w:lineRule="auto"/>
        <w:rPr>
          <w:sz w:val="20"/>
          <w:szCs w:val="20"/>
          <w:color w:val="auto"/>
        </w:rPr>
      </w:pPr>
      <w:r>
        <w:rPr>
          <w:rFonts w:ascii="Times New Roman" w:cs="Times New Roman" w:eastAsia="Times New Roman" w:hAnsi="Times New Roman"/>
          <w:sz w:val="16"/>
          <w:szCs w:val="16"/>
          <w:color w:val="auto"/>
        </w:rPr>
        <w:t>In addition, the Certificate of Incorporation provides that any vacancy on the Board, including a vacancy that results from an increase in the number of directors or a vacancy that results from the removal of a director with cause, may be filled only by a majority of the directors then in office, subject to the provisions of the Stockholders Agreement and any rights of holders of Preferred Stock.</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14"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The Company has elected not to be governed by Section 203 of the DGCL. Notwithstanding the foregoing, the Certificate of Incorporation provides that the Company will not engage in any “business combinations” (as defined in the Certificate of Incorporation), at any point in time at which the Company’s securities are registered under Section 12(b) or 12(g) of the Exchange Act, with any “interested stockholder” (as defined in the Certificate of Incorporation) for a three-year period after the time that such person became an interested stockholder unless:</w:t>
      </w:r>
    </w:p>
    <w:p>
      <w:pPr>
        <w:spacing w:after="0" w:line="76" w:lineRule="exact"/>
        <w:rPr>
          <w:sz w:val="20"/>
          <w:szCs w:val="20"/>
          <w:color w:val="auto"/>
        </w:rPr>
      </w:pPr>
    </w:p>
    <w:p>
      <w:pPr>
        <w:ind w:left="1500" w:right="200" w:hanging="387"/>
        <w:spacing w:after="0" w:line="291" w:lineRule="auto"/>
        <w:tabs>
          <w:tab w:leader="none" w:pos="15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such time, the Board approved either the business combination or the transaction which resulted in the stockholder becoming an interested stockholder;</w:t>
      </w:r>
    </w:p>
    <w:p>
      <w:pPr>
        <w:spacing w:after="0" w:line="56" w:lineRule="exact"/>
        <w:rPr>
          <w:rFonts w:ascii="Times New Roman" w:cs="Times New Roman" w:eastAsia="Times New Roman" w:hAnsi="Times New Roman"/>
          <w:sz w:val="16"/>
          <w:szCs w:val="16"/>
          <w:color w:val="auto"/>
        </w:rPr>
      </w:pPr>
    </w:p>
    <w:p>
      <w:pPr>
        <w:ind w:left="1500" w:hanging="387"/>
        <w:spacing w:after="0" w:line="262" w:lineRule="auto"/>
        <w:tabs>
          <w:tab w:leader="none" w:pos="15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which resulted in the stockholder becoming an interested stockholder, the interested stockholder owned at least 85% of the voting stock of the Company outstanding at the time the transaction commenced, excluding for purposes of determining the voting stock outstanding (but not the outstanding voting stock owned by the interested stockholder) those shares owned by</w:t>
      </w:r>
    </w:p>
    <w:p>
      <w:pPr>
        <w:spacing w:after="0" w:line="1" w:lineRule="exact"/>
        <w:rPr>
          <w:rFonts w:ascii="Times New Roman" w:cs="Times New Roman" w:eastAsia="Times New Roman" w:hAnsi="Times New Roman"/>
          <w:sz w:val="16"/>
          <w:szCs w:val="16"/>
          <w:color w:val="auto"/>
        </w:rPr>
      </w:pPr>
    </w:p>
    <w:p>
      <w:pPr>
        <w:ind w:left="1500" w:right="48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71" w:lineRule="exact"/>
        <w:rPr>
          <w:rFonts w:ascii="Times New Roman" w:cs="Times New Roman" w:eastAsia="Times New Roman" w:hAnsi="Times New Roman"/>
          <w:sz w:val="16"/>
          <w:szCs w:val="16"/>
          <w:color w:val="auto"/>
        </w:rPr>
      </w:pPr>
    </w:p>
    <w:p>
      <w:pPr>
        <w:ind w:left="1500" w:right="20" w:hanging="387"/>
        <w:spacing w:after="0" w:line="273" w:lineRule="auto"/>
        <w:tabs>
          <w:tab w:leader="none" w:pos="15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or subsequent to such time, the business combination is approved by the Board and authorized at an annual or special meeting of stockholders, and not by written consent, by the affirmative vote of at least 66 2/3% of the outstanding voting stock of the Company which is not owned by the interested stockholder.</w:t>
      </w:r>
    </w:p>
    <w:p>
      <w:pPr>
        <w:spacing w:after="0" w:line="157" w:lineRule="exact"/>
        <w:rPr>
          <w:sz w:val="20"/>
          <w:szCs w:val="20"/>
          <w:color w:val="auto"/>
        </w:rPr>
      </w:pPr>
    </w:p>
    <w:p>
      <w:pPr>
        <w:ind w:left="620" w:right="160"/>
        <w:spacing w:after="0" w:line="258" w:lineRule="auto"/>
        <w:rPr>
          <w:sz w:val="20"/>
          <w:szCs w:val="20"/>
          <w:color w:val="auto"/>
        </w:rPr>
      </w:pPr>
      <w:r>
        <w:rPr>
          <w:rFonts w:ascii="Times New Roman" w:cs="Times New Roman" w:eastAsia="Times New Roman" w:hAnsi="Times New Roman"/>
          <w:sz w:val="16"/>
          <w:szCs w:val="16"/>
          <w:color w:val="auto"/>
        </w:rPr>
        <w:t>Under the Certificate of Incorporation, a “business combination” is defined to generally include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The Certificate of Incorporation expressly excludes certain of the Company’s stockholders with whom the Company will enter into the Stockholders Agreement, certain of their respective direct or indirect transferees, and their respective successors and affiliates from the definition of “interested stockholder” irrespective of the percentage ownership of the total voting power beneficially owned by them. Under certain circumstances, such provisions in the Certificate of Incorporation make it more difficult for a person who would be an “interested stockholder” to effect various business combinations with a corporation for a three-year period. Accordingly, such provisions in the Certificate of Incorporation could have an anti-takeover effect with respect to certain transactions which the Board does not approve in advance. Such provisions may encourage companies interested in acquiring the Company to negotiate in advance with the Board because the stockholder approval requirement would be avoided if the Board approves either the business combination or the transaction that results in the stockholder becoming an interested stockholder. However, such provisions also could discourage attempts that might result in a premium over the market price for the shares held by stockholders. These provisions also may make it more difficult to accomplish transactions that stockholders may otherwise deem to be in their best interests.</w:t>
      </w:r>
    </w:p>
    <w:p>
      <w:pPr>
        <w:spacing w:after="0" w:line="2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Quorum</w:t>
      </w:r>
    </w:p>
    <w:p>
      <w:pPr>
        <w:spacing w:after="0" w:line="114" w:lineRule="exact"/>
        <w:rPr>
          <w:sz w:val="20"/>
          <w:szCs w:val="20"/>
          <w:color w:val="auto"/>
        </w:rPr>
      </w:pPr>
    </w:p>
    <w:p>
      <w:pPr>
        <w:ind w:left="620" w:right="40"/>
        <w:spacing w:after="0" w:line="291" w:lineRule="auto"/>
        <w:rPr>
          <w:sz w:val="20"/>
          <w:szCs w:val="20"/>
          <w:color w:val="auto"/>
        </w:rPr>
      </w:pPr>
      <w:r>
        <w:rPr>
          <w:rFonts w:ascii="Times New Roman" w:cs="Times New Roman" w:eastAsia="Times New Roman" w:hAnsi="Times New Roman"/>
          <w:sz w:val="16"/>
          <w:szCs w:val="16"/>
          <w:color w:val="auto"/>
        </w:rPr>
        <w:t>The By-Laws provide that at any meeting of the Board, a majority of the total number of directors then in office constitutes a quorum for the transaction of business.</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133</w:t>
      </w:r>
    </w:p>
    <w:p>
      <w:pPr>
        <w:sectPr>
          <w:pgSz w:w="11900" w:h="16838" w:orient="portrait"/>
          <w:cols w:equalWidth="0" w:num="1">
            <w:col w:w="10600"/>
          </w:cols>
          <w:pgMar w:left="320" w:top="453" w:right="979" w:bottom="1440" w:gutter="0" w:footer="0" w:header="0"/>
        </w:sectPr>
      </w:pPr>
    </w:p>
    <w:bookmarkStart w:id="137" w:name="page138"/>
    <w:bookmarkEnd w:id="13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20"/>
        <w:spacing w:after="0" w:line="291" w:lineRule="auto"/>
        <w:rPr>
          <w:sz w:val="20"/>
          <w:szCs w:val="20"/>
          <w:color w:val="auto"/>
        </w:rPr>
      </w:pPr>
      <w:r>
        <w:rPr>
          <w:rFonts w:ascii="Times New Roman" w:cs="Times New Roman" w:eastAsia="Times New Roman" w:hAnsi="Times New Roman"/>
          <w:sz w:val="16"/>
          <w:szCs w:val="16"/>
          <w:color w:val="auto"/>
        </w:rPr>
        <w:t>Additionally, the By-Laws provide that holders of a majority in voting power of the stock issued and outstanding and entitled to vote thereat, present in person or represented by proxy, shall constitute a quorum at all meetings of the stockholders for the transaction of business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No Cumulative Voting</w:t>
      </w:r>
    </w:p>
    <w:p>
      <w:pPr>
        <w:spacing w:after="0" w:line="114" w:lineRule="exact"/>
        <w:rPr>
          <w:sz w:val="20"/>
          <w:szCs w:val="20"/>
          <w:color w:val="auto"/>
        </w:rPr>
      </w:pPr>
    </w:p>
    <w:p>
      <w:pPr>
        <w:ind w:left="620" w:right="300"/>
        <w:spacing w:after="0" w:line="291" w:lineRule="auto"/>
        <w:rPr>
          <w:sz w:val="20"/>
          <w:szCs w:val="20"/>
          <w:color w:val="auto"/>
        </w:rPr>
      </w:pPr>
      <w:r>
        <w:rPr>
          <w:rFonts w:ascii="Times New Roman" w:cs="Times New Roman" w:eastAsia="Times New Roman" w:hAnsi="Times New Roman"/>
          <w:sz w:val="16"/>
          <w:szCs w:val="16"/>
          <w:color w:val="auto"/>
        </w:rPr>
        <w:t>Under Delaware law, the right to vote cumulatively does not exist unless the certificate of incorporation expressly authorizes cumulative voting. The Certificate of Incorporation does not authorize cumulative voting.</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General Stockholder Meetings</w:t>
      </w:r>
    </w:p>
    <w:p>
      <w:pPr>
        <w:spacing w:after="0" w:line="114" w:lineRule="exact"/>
        <w:rPr>
          <w:sz w:val="20"/>
          <w:szCs w:val="20"/>
          <w:color w:val="auto"/>
        </w:rPr>
      </w:pPr>
    </w:p>
    <w:p>
      <w:pPr>
        <w:ind w:left="620" w:right="160"/>
        <w:spacing w:after="0" w:line="291" w:lineRule="auto"/>
        <w:rPr>
          <w:sz w:val="20"/>
          <w:szCs w:val="20"/>
          <w:color w:val="auto"/>
        </w:rPr>
      </w:pPr>
      <w:r>
        <w:rPr>
          <w:rFonts w:ascii="Times New Roman" w:cs="Times New Roman" w:eastAsia="Times New Roman" w:hAnsi="Times New Roman"/>
          <w:sz w:val="16"/>
          <w:szCs w:val="16"/>
          <w:color w:val="auto"/>
        </w:rPr>
        <w:t>The Certificate of Incorporation provides that special meetings of stockholders may be called only by or at the direction of the Board, the Chairman of the Board or the Chief Executive Officer.</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Requirements for Advance Notification of Stockholder Meetings, Nominations and Proposals</w:t>
      </w:r>
    </w:p>
    <w:p>
      <w:pPr>
        <w:spacing w:after="0" w:line="114" w:lineRule="exact"/>
        <w:rPr>
          <w:sz w:val="20"/>
          <w:szCs w:val="20"/>
          <w:color w:val="auto"/>
        </w:rPr>
      </w:pPr>
    </w:p>
    <w:p>
      <w:pPr>
        <w:ind w:left="620"/>
        <w:spacing w:after="0" w:line="260" w:lineRule="auto"/>
        <w:rPr>
          <w:sz w:val="20"/>
          <w:szCs w:val="20"/>
          <w:color w:val="auto"/>
        </w:rPr>
      </w:pPr>
      <w:r>
        <w:rPr>
          <w:rFonts w:ascii="Times New Roman" w:cs="Times New Roman" w:eastAsia="Times New Roman" w:hAnsi="Times New Roman"/>
          <w:sz w:val="16"/>
          <w:szCs w:val="16"/>
          <w:color w:val="auto"/>
        </w:rPr>
        <w:t>The By-Laws establish advance notice procedures with respect to stockholder proposals and the nomination of candidates for election as directors, other than nominations made by or at the direction of the Board or a committee of the Board. For any matter to be “properly brought” before a meeting, a stockholder must comply with advance notice requirements and provide the Company with certain information. Generally, to be timely, a stockholder’s notice must be received at the Company’s principal executive offices not less than 90 days nor more than 120 days prior to the first anniversary date of the immediately preceding annual meeting of stockholders (for the purposes of the first annual meeting of the stockholders of the Company, the date of the preceding annual meeting will be deemed to be May 15, 2021). The By-Laws allow the Board to adopt rules and regulations for the conduct of a meeting of the stockholders as it deems appropriate,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Supermajority Provisions</w:t>
      </w:r>
    </w:p>
    <w:p>
      <w:pPr>
        <w:spacing w:after="0" w:line="114" w:lineRule="exact"/>
        <w:rPr>
          <w:sz w:val="20"/>
          <w:szCs w:val="20"/>
          <w:color w:val="auto"/>
        </w:rPr>
      </w:pPr>
    </w:p>
    <w:p>
      <w:pPr>
        <w:ind w:left="620" w:right="20"/>
        <w:spacing w:after="0" w:line="273" w:lineRule="auto"/>
        <w:rPr>
          <w:sz w:val="20"/>
          <w:szCs w:val="20"/>
          <w:color w:val="auto"/>
        </w:rPr>
      </w:pPr>
      <w:r>
        <w:rPr>
          <w:rFonts w:ascii="Times New Roman" w:cs="Times New Roman" w:eastAsia="Times New Roman" w:hAnsi="Times New Roman"/>
          <w:sz w:val="16"/>
          <w:szCs w:val="16"/>
          <w:color w:val="auto"/>
        </w:rPr>
        <w:t>The Certificate of Incorporation and the By-Laws provide that the Board is expressly authorized to make, alter, amend, change, add to, rescind or repeal, in whole or in part, the By-Laws without a stockholder vote in any matter not inconsistent with the laws of the State of Delaware or the Certificate of Incorporation and subject to the rights of the parties to the Stockholders Agreement.</w:t>
      </w:r>
    </w:p>
    <w:p>
      <w:pPr>
        <w:spacing w:after="0" w:line="157" w:lineRule="exact"/>
        <w:rPr>
          <w:sz w:val="20"/>
          <w:szCs w:val="20"/>
          <w:color w:val="auto"/>
        </w:rPr>
      </w:pPr>
    </w:p>
    <w:p>
      <w:pPr>
        <w:ind w:left="620" w:right="40"/>
        <w:spacing w:after="0" w:line="267" w:lineRule="auto"/>
        <w:rPr>
          <w:sz w:val="20"/>
          <w:szCs w:val="20"/>
          <w:color w:val="auto"/>
        </w:rPr>
      </w:pPr>
      <w:r>
        <w:rPr>
          <w:rFonts w:ascii="Times New Roman" w:cs="Times New Roman" w:eastAsia="Times New Roman" w:hAnsi="Times New Roman"/>
          <w:sz w:val="16"/>
          <w:szCs w:val="16"/>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The Certificate of Incorporation provides that the following provisions therein may be amended, altered, repealed or rescinded only by the affirmative vote of holders of at least 66 2/3% in voting power all the then outstanding shares of the Company’s stock entitled to vote thereon, voting together as a single class:</w:t>
      </w:r>
    </w:p>
    <w:p>
      <w:pPr>
        <w:spacing w:after="0" w:line="76" w:lineRule="exact"/>
        <w:rPr>
          <w:sz w:val="20"/>
          <w:szCs w:val="20"/>
          <w:color w:val="auto"/>
        </w:rPr>
      </w:pPr>
    </w:p>
    <w:p>
      <w:pPr>
        <w:ind w:left="1500" w:hanging="387"/>
        <w:spacing w:after="0"/>
        <w:tabs>
          <w:tab w:leader="none" w:pos="15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regarding the Board being authorized to amend the By-Laws without a stockholder vote;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providing for a classified Board (the election and term of directors);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regarding filling vacancies on the Board and newly created directorships;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regarding resignation and removal of directors;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regarding calling special meetings of stockholders;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regarding stockholder action by written consent;</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eliminating monetary damages for breaches of fiduciary duty by a director;</w:t>
      </w:r>
    </w:p>
    <w:p>
      <w:pPr>
        <w:spacing w:after="0" w:line="1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134</w:t>
      </w:r>
    </w:p>
    <w:p>
      <w:pPr>
        <w:sectPr>
          <w:pgSz w:w="11900" w:h="16838" w:orient="portrait"/>
          <w:cols w:equalWidth="0" w:num="1">
            <w:col w:w="10620"/>
          </w:cols>
          <w:pgMar w:left="320" w:top="453" w:right="959" w:bottom="1440" w:gutter="0" w:footer="0" w:header="0"/>
        </w:sectPr>
      </w:pPr>
    </w:p>
    <w:bookmarkStart w:id="138" w:name="page139"/>
    <w:bookmarkEnd w:id="13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500" w:hanging="387"/>
        <w:spacing w:after="0"/>
        <w:tabs>
          <w:tab w:leader="none" w:pos="15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regarding the election not to be governed by Section 203 of the DGCL;</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regarding competition and corporate opportunities;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regarding competition and corporate opportunities;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regarding exclusivity of forum;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amendment provision requiring that the above provisions be amended only with a 66 2/3% supermajority vote.</w:t>
      </w:r>
    </w:p>
    <w:p>
      <w:pPr>
        <w:spacing w:after="0" w:line="208" w:lineRule="exact"/>
        <w:rPr>
          <w:sz w:val="20"/>
          <w:szCs w:val="20"/>
          <w:color w:val="auto"/>
        </w:rPr>
      </w:pPr>
    </w:p>
    <w:p>
      <w:pPr>
        <w:ind w:left="620" w:right="40"/>
        <w:spacing w:after="0" w:line="261" w:lineRule="auto"/>
        <w:rPr>
          <w:sz w:val="20"/>
          <w:szCs w:val="20"/>
          <w:color w:val="auto"/>
        </w:rPr>
      </w:pPr>
      <w:r>
        <w:rPr>
          <w:rFonts w:ascii="Times New Roman" w:cs="Times New Roman" w:eastAsia="Times New Roman" w:hAnsi="Times New Roman"/>
          <w:sz w:val="16"/>
          <w:szCs w:val="16"/>
          <w:color w:val="auto"/>
        </w:rPr>
        <w:t>These provisions may have the effect of deterring hostile takeovers or delaying or preventing changes in control of the Company or its management, such as a merger, reorganization or tender offer. These provisions are intended to enhance the likelihood of continued stability in the composition of the Board and its policies and to discourage certain types of transactions that may involve an actual or threatened acquisition of the Company. These provisions are designed to reduce the Company’s vulnerability to an unsolicited acquisition proposal. The provisions are also intended to discourage certain tactics that may be used in proxy fights. However, such provisions could have the effect of discouraging others from making tender offers for the Company’s Shares and, as a consequence, may inhibit fluctuations in the market price of the Company’s Shares that could result from actual or rumored takeover attempts. Such provisions may also have the effect of preventing changes in management.</w:t>
      </w: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Exclusive Forum</w:t>
      </w:r>
    </w:p>
    <w:p>
      <w:pPr>
        <w:spacing w:after="0" w:line="114" w:lineRule="exact"/>
        <w:rPr>
          <w:sz w:val="20"/>
          <w:szCs w:val="20"/>
          <w:color w:val="auto"/>
        </w:rPr>
      </w:pPr>
    </w:p>
    <w:p>
      <w:pPr>
        <w:ind w:left="620"/>
        <w:spacing w:after="0" w:line="258" w:lineRule="auto"/>
        <w:rPr>
          <w:sz w:val="20"/>
          <w:szCs w:val="20"/>
          <w:color w:val="auto"/>
        </w:rPr>
      </w:pPr>
      <w:r>
        <w:rPr>
          <w:rFonts w:ascii="Times New Roman" w:cs="Times New Roman" w:eastAsia="Times New Roman" w:hAnsi="Times New Roman"/>
          <w:sz w:val="16"/>
          <w:szCs w:val="16"/>
          <w:color w:val="auto"/>
        </w:rPr>
        <w:t>The Certificate of Incorporation provides that, unless the Company consents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the Company, (b) any action asserting a claim of breach of a fiduciary duty owed by any current or former director, officer, other employee or stockholder of the Company to the Company or the Company’s stockholders, (c) any action asserting a claim against the Company or any director or officer of the Company (i) arising pursuant to any provision of the DGCL or the Certificate of Incorporation or the By-Laws or (ii) as to which the DGCL confers jurisdiction on the Court of Chancery of the State of Delaware or (d) any action to interpret, apply, enforce or determine the validity of the Certificate of Incorporation or the By-Laws or any of their provisions, (e) any action asserting a claim against the Company or any current or former director, officer, employee, stockholder or agent of the Company governed by the internal affairs doctrine of the law of the State of Delaware, or (f) any action asserting an “internal corporate claim” as defined in Section 115 of the DGCL. To the fullest extent permitted by law, any person or entity purchasing or otherwise acquiring or holding any interest in shares of capital stock of the Company will be deemed to have notice of and consented to the forum provisions in the Certificate of Incorporation. However, it is possible that a court could find the Company’s forum selection provisions to be inapplicable or unenforceable.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2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Effective April 4, 2022, the Transfer Agent and registrar for the Class A Common Stock and Warrants is American Stock Transfer &amp; Trust Company.</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transfer agent and registrar’s address is 6201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Avenue, Brooklyn, New York 11219.</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Listing</w:t>
      </w:r>
    </w:p>
    <w:p>
      <w:pPr>
        <w:spacing w:after="0" w:line="114" w:lineRule="exact"/>
        <w:rPr>
          <w:sz w:val="20"/>
          <w:szCs w:val="20"/>
          <w:color w:val="auto"/>
        </w:rPr>
      </w:pPr>
    </w:p>
    <w:p>
      <w:pPr>
        <w:ind w:left="620" w:right="220"/>
        <w:spacing w:after="0" w:line="291" w:lineRule="auto"/>
        <w:rPr>
          <w:sz w:val="20"/>
          <w:szCs w:val="20"/>
          <w:color w:val="auto"/>
        </w:rPr>
      </w:pPr>
      <w:r>
        <w:rPr>
          <w:rFonts w:ascii="Times New Roman" w:cs="Times New Roman" w:eastAsia="Times New Roman" w:hAnsi="Times New Roman"/>
          <w:sz w:val="16"/>
          <w:szCs w:val="16"/>
          <w:color w:val="auto"/>
        </w:rPr>
        <w:t>The Class A Common Stock and Warrants are listed on the NYSE under the symbols “BKKT” and “BKKT WS,” respectively. The Class V Common Stock is not listed on any securities exchange.</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135</w:t>
      </w:r>
    </w:p>
    <w:p>
      <w:pPr>
        <w:sectPr>
          <w:pgSz w:w="11900" w:h="16838" w:orient="portrait"/>
          <w:cols w:equalWidth="0" w:num="1">
            <w:col w:w="10620"/>
          </w:cols>
          <w:pgMar w:left="320" w:top="453" w:right="959" w:bottom="1440" w:gutter="0" w:footer="0" w:header="0"/>
        </w:sectPr>
      </w:pPr>
    </w:p>
    <w:bookmarkStart w:id="139" w:name="page140"/>
    <w:bookmarkEnd w:id="13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b w:val="1"/>
          <w:bCs w:val="1"/>
          <w:color w:val="auto"/>
        </w:rPr>
        <w:t>SECURITIES ACT RESTRICTIONS ON RESALE OF OUR SECURITIES</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Shares Eligible for Future Sale</w:t>
      </w:r>
    </w:p>
    <w:p>
      <w:pPr>
        <w:spacing w:after="0" w:line="114" w:lineRule="exact"/>
        <w:rPr>
          <w:sz w:val="20"/>
          <w:szCs w:val="20"/>
          <w:color w:val="auto"/>
        </w:rPr>
      </w:pPr>
    </w:p>
    <w:p>
      <w:pPr>
        <w:ind w:left="620" w:right="60"/>
        <w:spacing w:after="0" w:line="264" w:lineRule="auto"/>
        <w:rPr>
          <w:sz w:val="20"/>
          <w:szCs w:val="20"/>
          <w:color w:val="auto"/>
        </w:rPr>
      </w:pPr>
      <w:r>
        <w:rPr>
          <w:rFonts w:ascii="Times New Roman" w:cs="Times New Roman" w:eastAsia="Times New Roman" w:hAnsi="Times New Roman"/>
          <w:sz w:val="16"/>
          <w:szCs w:val="16"/>
          <w:color w:val="auto"/>
        </w:rPr>
        <w:t>Future sales of our Class A Common Stock in the public market, or the availability of such shares for sale in the public market, could adversely affect market prices of our Class A Common Stock prevailing from time to time. As described below, certain shares of our Class A Common Stock will not be available for sale shortly after this offering due to contractual and legal restrictions on resale.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65" w:lineRule="exact"/>
        <w:rPr>
          <w:sz w:val="20"/>
          <w:szCs w:val="20"/>
          <w:color w:val="auto"/>
        </w:rPr>
      </w:pPr>
    </w:p>
    <w:p>
      <w:pPr>
        <w:ind w:left="620" w:right="180"/>
        <w:spacing w:after="0" w:line="260" w:lineRule="auto"/>
        <w:rPr>
          <w:sz w:val="20"/>
          <w:szCs w:val="20"/>
          <w:color w:val="auto"/>
        </w:rPr>
      </w:pPr>
      <w:r>
        <w:rPr>
          <w:rFonts w:ascii="Times New Roman" w:cs="Times New Roman" w:eastAsia="Times New Roman" w:hAnsi="Times New Roman"/>
          <w:sz w:val="16"/>
          <w:szCs w:val="16"/>
          <w:color w:val="auto"/>
        </w:rPr>
        <w:t>As of March 25, 2022, we had a total of 57,164,488 shares of Class A Common Stock outstanding, 206,003,270 shares of Class V Common Stock (corresponding to an equal number of Paired Interests exchangeable for an equal number of shares of Class A Common Stock) outstanding or issuable upon the exercise of warrants, and 7,140,929 Warrants. As a result of the registration statement of which this prospectus forms a part, (i) 35,651,890 shares of Class A Common Stock will be freely tradable, subject to compliance with applicable securities law requirements (in addition to the</w:t>
      </w:r>
    </w:p>
    <w:p>
      <w:pPr>
        <w:spacing w:after="0" w:line="3" w:lineRule="exact"/>
        <w:rPr>
          <w:sz w:val="20"/>
          <w:szCs w:val="20"/>
          <w:color w:val="auto"/>
        </w:rPr>
      </w:pPr>
    </w:p>
    <w:p>
      <w:pPr>
        <w:ind w:left="620"/>
        <w:spacing w:after="0" w:line="259" w:lineRule="auto"/>
        <w:rPr>
          <w:sz w:val="20"/>
          <w:szCs w:val="20"/>
          <w:color w:val="auto"/>
        </w:rPr>
      </w:pPr>
      <w:r>
        <w:rPr>
          <w:rFonts w:ascii="Times New Roman" w:cs="Times New Roman" w:eastAsia="Times New Roman" w:hAnsi="Times New Roman"/>
          <w:sz w:val="16"/>
          <w:szCs w:val="16"/>
          <w:color w:val="auto"/>
        </w:rPr>
        <w:t>16,328,298 shares of Class A Common Stock and 7,140,929 Warrants already freely tradable) and (ii) upon the expiration of the Lock-Up Periods described in “</w:t>
      </w:r>
      <w:r>
        <w:rPr>
          <w:rFonts w:ascii="Times New Roman" w:cs="Times New Roman" w:eastAsia="Times New Roman" w:hAnsi="Times New Roman"/>
          <w:sz w:val="16"/>
          <w:szCs w:val="16"/>
          <w:i w:val="1"/>
          <w:iCs w:val="1"/>
          <w:color w:val="auto"/>
        </w:rPr>
        <w:t>The Offering—Lock-up Restrictions</w:t>
      </w:r>
      <w:r>
        <w:rPr>
          <w:rFonts w:ascii="Times New Roman" w:cs="Times New Roman" w:eastAsia="Times New Roman" w:hAnsi="Times New Roman"/>
          <w:sz w:val="16"/>
          <w:szCs w:val="16"/>
          <w:color w:val="auto"/>
        </w:rPr>
        <w:t>,” 5,184,300 shares of Class A Common Stock and 190,726,638 shares of Class V Common Stock (corresponding to an equal number of Paired Interests exchangeable for an equal number of shares of Class A Common Stock) outstanding or issuable upon the exercise of warrants; in each case, except for any securities held by our “affiliates,” as that term is defined in Rule 144 under the Securities Act, which would only be able to be sold in compliance with the Rule 144 limitations described below.</w:t>
      </w:r>
    </w:p>
    <w:p>
      <w:pPr>
        <w:spacing w:after="0" w:line="168" w:lineRule="exact"/>
        <w:rPr>
          <w:sz w:val="20"/>
          <w:szCs w:val="20"/>
          <w:color w:val="auto"/>
        </w:rPr>
      </w:pPr>
    </w:p>
    <w:p>
      <w:pPr>
        <w:ind w:left="620" w:right="140"/>
        <w:spacing w:after="0" w:line="264" w:lineRule="auto"/>
        <w:rPr>
          <w:sz w:val="20"/>
          <w:szCs w:val="20"/>
          <w:color w:val="auto"/>
        </w:rPr>
      </w:pPr>
      <w:r>
        <w:rPr>
          <w:rFonts w:ascii="Times New Roman" w:cs="Times New Roman" w:eastAsia="Times New Roman" w:hAnsi="Times New Roman"/>
          <w:sz w:val="16"/>
          <w:szCs w:val="16"/>
          <w:color w:val="auto"/>
        </w:rPr>
        <w:t>Additionally, 13,632,849 shares of Class A Common Stock and 175,328,507 shares of Class V Common Stock (corresponding to an equal number of Paired Interests exchangeable for an equal number of shares of Class A Common Stock) outstanding as of March 25, 2022 are currently “restricted securities” as that term is defined under Rule 144. Restricted securities may be sold in the public market only if their offer and sale is registered under the Securities Act (including pursuant to a registration statement on Form S-8) or if the offer and sale of those securities qualify for an exemption from registration, including exemptions provided by Rule 144 under the Securities Act.</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Rule 144</w:t>
      </w:r>
    </w:p>
    <w:p>
      <w:pPr>
        <w:spacing w:after="0" w:line="114" w:lineRule="exact"/>
        <w:rPr>
          <w:sz w:val="20"/>
          <w:szCs w:val="20"/>
          <w:color w:val="auto"/>
        </w:rPr>
      </w:pPr>
    </w:p>
    <w:p>
      <w:pPr>
        <w:ind w:left="620"/>
        <w:spacing w:after="0" w:line="261" w:lineRule="auto"/>
        <w:rPr>
          <w:sz w:val="20"/>
          <w:szCs w:val="20"/>
          <w:color w:val="auto"/>
        </w:rPr>
      </w:pPr>
      <w:r>
        <w:rPr>
          <w:rFonts w:ascii="Times New Roman" w:cs="Times New Roman" w:eastAsia="Times New Roman" w:hAnsi="Times New Roman"/>
          <w:sz w:val="16"/>
          <w:szCs w:val="16"/>
          <w:color w:val="auto"/>
        </w:rPr>
        <w:t>In general, under Rule 144 as currently in effect, once the Company has been subject to the public company reporting requirements of Section 13 or Section 15(d) of the Exchange Act for at least 90 days, a person who is not deemed to have been one of the Company’s affiliates for purposes of the Securities Act at any time during the 90 days preceding a sale and who has beneficially owned shares of Class A Common Stock or Warrants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the Company’s affiliates, then that person would be entitled to sell those shares without complying with any of the requirements of Rule 144.</w:t>
      </w:r>
    </w:p>
    <w:p>
      <w:pPr>
        <w:spacing w:after="0" w:line="168" w:lineRule="exact"/>
        <w:rPr>
          <w:sz w:val="20"/>
          <w:szCs w:val="20"/>
          <w:color w:val="auto"/>
        </w:rPr>
      </w:pPr>
    </w:p>
    <w:p>
      <w:pPr>
        <w:ind w:left="620" w:right="80"/>
        <w:spacing w:after="0" w:line="273" w:lineRule="auto"/>
        <w:rPr>
          <w:sz w:val="20"/>
          <w:szCs w:val="20"/>
          <w:color w:val="auto"/>
        </w:rPr>
      </w:pPr>
      <w:r>
        <w:rPr>
          <w:rFonts w:ascii="Times New Roman" w:cs="Times New Roman" w:eastAsia="Times New Roman" w:hAnsi="Times New Roman"/>
          <w:sz w:val="16"/>
          <w:szCs w:val="16"/>
          <w:color w:val="auto"/>
        </w:rPr>
        <w:t>In general, under Rule 144, as currently in effect, the Company’s affiliates or persons selling shares of Class A Common Stock or Warrants on behalf of the Company’s affiliates are entitled to sell upon expiration of the Lock-Up Periods described in “</w:t>
      </w:r>
      <w:r>
        <w:rPr>
          <w:rFonts w:ascii="Times New Roman" w:cs="Times New Roman" w:eastAsia="Times New Roman" w:hAnsi="Times New Roman"/>
          <w:sz w:val="16"/>
          <w:szCs w:val="16"/>
          <w:i w:val="1"/>
          <w:iCs w:val="1"/>
          <w:color w:val="auto"/>
        </w:rPr>
        <w:t>The Offering—Lock-Up Restrictions</w:t>
      </w:r>
      <w:r>
        <w:rPr>
          <w:rFonts w:ascii="Times New Roman" w:cs="Times New Roman" w:eastAsia="Times New Roman" w:hAnsi="Times New Roman"/>
          <w:sz w:val="16"/>
          <w:szCs w:val="16"/>
          <w:color w:val="auto"/>
        </w:rPr>
        <w:t>,” within any three-month period, a number of shares that does not exceed the greater of:</w:t>
      </w:r>
    </w:p>
    <w:p>
      <w:pPr>
        <w:spacing w:after="0" w:line="71" w:lineRule="exact"/>
        <w:rPr>
          <w:sz w:val="20"/>
          <w:szCs w:val="20"/>
          <w:color w:val="auto"/>
        </w:rPr>
      </w:pPr>
    </w:p>
    <w:p>
      <w:pPr>
        <w:ind w:left="1500" w:hanging="387"/>
        <w:spacing w:after="0"/>
        <w:tabs>
          <w:tab w:leader="none" w:pos="15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of the number of then outstanding equity securities of the same class; and</w:t>
      </w:r>
    </w:p>
    <w:p>
      <w:pPr>
        <w:spacing w:after="0" w:line="122" w:lineRule="exact"/>
        <w:rPr>
          <w:rFonts w:ascii="Times New Roman" w:cs="Times New Roman" w:eastAsia="Times New Roman" w:hAnsi="Times New Roman"/>
          <w:sz w:val="16"/>
          <w:szCs w:val="16"/>
          <w:color w:val="auto"/>
        </w:rPr>
      </w:pPr>
    </w:p>
    <w:p>
      <w:pPr>
        <w:ind w:left="1500" w:right="280" w:hanging="387"/>
        <w:spacing w:after="0" w:line="291" w:lineRule="auto"/>
        <w:tabs>
          <w:tab w:leader="none" w:pos="15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weekly trading volume of Class A Common Stock or Warrants, as applicable, during the four calendar weeks preceding the date of filing of a notice on Form 144 with respect to the sale.</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136</w:t>
      </w:r>
    </w:p>
    <w:p>
      <w:pPr>
        <w:sectPr>
          <w:pgSz w:w="11900" w:h="16838" w:orient="portrait"/>
          <w:cols w:equalWidth="0" w:num="1">
            <w:col w:w="10620"/>
          </w:cols>
          <w:pgMar w:left="320" w:top="453" w:right="959" w:bottom="1440" w:gutter="0" w:footer="0" w:header="0"/>
        </w:sectPr>
      </w:pPr>
    </w:p>
    <w:bookmarkStart w:id="140" w:name="page141"/>
    <w:bookmarkEnd w:id="14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40"/>
        <w:spacing w:after="0" w:line="291" w:lineRule="auto"/>
        <w:rPr>
          <w:sz w:val="20"/>
          <w:szCs w:val="20"/>
          <w:color w:val="auto"/>
        </w:rPr>
      </w:pPr>
      <w:r>
        <w:rPr>
          <w:rFonts w:ascii="Times New Roman" w:cs="Times New Roman" w:eastAsia="Times New Roman" w:hAnsi="Times New Roman"/>
          <w:sz w:val="16"/>
          <w:szCs w:val="16"/>
          <w:color w:val="auto"/>
        </w:rPr>
        <w:t>Sales under Rule 144 by the Company’s affiliates or persons selling Class A Common Stock or Warrants on behalf of our affiliates are also subject to certain manner of sale provisions and notice requirements and to the availability of current public information about the Company.</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Restrictions on the Use of Rule 144 by Shell Companies or Former Shell Companies</w:t>
      </w:r>
    </w:p>
    <w:p>
      <w:pPr>
        <w:spacing w:after="0" w:line="114" w:lineRule="exact"/>
        <w:rPr>
          <w:sz w:val="20"/>
          <w:szCs w:val="20"/>
          <w:color w:val="auto"/>
        </w:rPr>
      </w:pPr>
    </w:p>
    <w:p>
      <w:pPr>
        <w:ind w:left="620" w:right="340"/>
        <w:spacing w:after="0" w:line="273" w:lineRule="auto"/>
        <w:rPr>
          <w:sz w:val="20"/>
          <w:szCs w:val="20"/>
          <w:color w:val="auto"/>
        </w:rPr>
      </w:pPr>
      <w:r>
        <w:rPr>
          <w:rFonts w:ascii="Times New Roman" w:cs="Times New Roman" w:eastAsia="Times New Roman" w:hAnsi="Times New Roman"/>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71" w:lineRule="exact"/>
        <w:rPr>
          <w:sz w:val="20"/>
          <w:szCs w:val="20"/>
          <w:color w:val="auto"/>
        </w:rPr>
      </w:pPr>
    </w:p>
    <w:p>
      <w:pPr>
        <w:ind w:left="1500" w:hanging="387"/>
        <w:spacing w:after="0"/>
        <w:tabs>
          <w:tab w:leader="none" w:pos="15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of the securities that was formerly a shell company has ceased to be a shell company;</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of the securities is subject to the reporting requirements of Section 13 or 15(d) of the Exchange Act;</w:t>
      </w:r>
    </w:p>
    <w:p>
      <w:pPr>
        <w:spacing w:after="0" w:line="122" w:lineRule="exact"/>
        <w:rPr>
          <w:rFonts w:ascii="Times New Roman" w:cs="Times New Roman" w:eastAsia="Times New Roman" w:hAnsi="Times New Roman"/>
          <w:sz w:val="16"/>
          <w:szCs w:val="16"/>
          <w:color w:val="auto"/>
        </w:rPr>
      </w:pPr>
    </w:p>
    <w:p>
      <w:pPr>
        <w:ind w:left="1500" w:hanging="387"/>
        <w:spacing w:after="0" w:line="291" w:lineRule="auto"/>
        <w:tabs>
          <w:tab w:leader="none" w:pos="15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56" w:lineRule="exact"/>
        <w:rPr>
          <w:rFonts w:ascii="Times New Roman" w:cs="Times New Roman" w:eastAsia="Times New Roman" w:hAnsi="Times New Roman"/>
          <w:sz w:val="16"/>
          <w:szCs w:val="16"/>
          <w:color w:val="auto"/>
        </w:rPr>
      </w:pPr>
    </w:p>
    <w:p>
      <w:pPr>
        <w:ind w:left="1500" w:right="260" w:hanging="387"/>
        <w:spacing w:after="0" w:line="291" w:lineRule="auto"/>
        <w:tabs>
          <w:tab w:leader="none" w:pos="15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one year has elapsed from the time that the issuer filed current Form 10 type information with the SEC reflecting its status as an entity that is not a shell company.</w:t>
      </w:r>
    </w:p>
    <w:p>
      <w:pPr>
        <w:spacing w:after="0" w:line="142" w:lineRule="exact"/>
        <w:rPr>
          <w:sz w:val="20"/>
          <w:szCs w:val="20"/>
          <w:color w:val="auto"/>
        </w:rPr>
      </w:pPr>
    </w:p>
    <w:p>
      <w:pPr>
        <w:ind w:left="620" w:right="300"/>
        <w:spacing w:after="0" w:line="291" w:lineRule="auto"/>
        <w:rPr>
          <w:sz w:val="20"/>
          <w:szCs w:val="20"/>
          <w:color w:val="auto"/>
        </w:rPr>
      </w:pPr>
      <w:r>
        <w:rPr>
          <w:rFonts w:ascii="Times New Roman" w:cs="Times New Roman" w:eastAsia="Times New Roman" w:hAnsi="Times New Roman"/>
          <w:sz w:val="16"/>
          <w:szCs w:val="16"/>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Lock-up Agreements</w:t>
      </w:r>
    </w:p>
    <w:p>
      <w:pPr>
        <w:spacing w:after="0" w:line="114" w:lineRule="exact"/>
        <w:rPr>
          <w:sz w:val="20"/>
          <w:szCs w:val="20"/>
          <w:color w:val="auto"/>
        </w:rPr>
      </w:pPr>
    </w:p>
    <w:p>
      <w:pPr>
        <w:ind w:left="620" w:right="260"/>
        <w:spacing w:after="0" w:line="273" w:lineRule="auto"/>
        <w:rPr>
          <w:sz w:val="20"/>
          <w:szCs w:val="20"/>
          <w:color w:val="auto"/>
        </w:rPr>
      </w:pPr>
      <w:r>
        <w:rPr>
          <w:rFonts w:ascii="Times New Roman" w:cs="Times New Roman" w:eastAsia="Times New Roman" w:hAnsi="Times New Roman"/>
          <w:sz w:val="16"/>
          <w:szCs w:val="16"/>
          <w:color w:val="auto"/>
        </w:rPr>
        <w:t>Pursuant to the Stockholders Agreement and the Insider Letter Agreement, certain of our securities are subject to transfer restrictions. For more information, see the sections titled “</w:t>
      </w:r>
      <w:r>
        <w:rPr>
          <w:rFonts w:ascii="Times New Roman" w:cs="Times New Roman" w:eastAsia="Times New Roman" w:hAnsi="Times New Roman"/>
          <w:sz w:val="16"/>
          <w:szCs w:val="16"/>
          <w:i w:val="1"/>
          <w:iCs w:val="1"/>
          <w:color w:val="auto"/>
        </w:rPr>
        <w:t>The Offering—Lock-Up Restrictions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Certain Relationships and Related Party Transactions—Transactions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Related to the Business Combination—Stockholders Agreement.</w:t>
      </w:r>
      <w:r>
        <w:rPr>
          <w:rFonts w:ascii="Times New Roman" w:cs="Times New Roman" w:eastAsia="Times New Roman" w:hAnsi="Times New Roman"/>
          <w:sz w:val="16"/>
          <w:szCs w:val="16"/>
          <w:color w:val="auto"/>
        </w:rPr>
        <w:t>”</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137</w:t>
      </w:r>
    </w:p>
    <w:p>
      <w:pPr>
        <w:sectPr>
          <w:pgSz w:w="11900" w:h="16838" w:orient="portrait"/>
          <w:cols w:equalWidth="0" w:num="1">
            <w:col w:w="10620"/>
          </w:cols>
          <w:pgMar w:left="320" w:top="453" w:right="959" w:bottom="1440" w:gutter="0" w:footer="0" w:header="0"/>
        </w:sectPr>
      </w:pPr>
    </w:p>
    <w:bookmarkStart w:id="141" w:name="page142"/>
    <w:bookmarkEnd w:id="14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MATERIAL U.S. FEDERAL INCOME TAX CONSIDERATIONS FOR NON-U.S. HOLDERS OF OUR CLASS A COMMON STOCK</w:t>
      </w:r>
    </w:p>
    <w:p>
      <w:pPr>
        <w:spacing w:after="0" w:line="114" w:lineRule="exact"/>
        <w:rPr>
          <w:sz w:val="20"/>
          <w:szCs w:val="20"/>
          <w:color w:val="auto"/>
        </w:rPr>
      </w:pPr>
    </w:p>
    <w:p>
      <w:pPr>
        <w:ind w:left="620" w:right="20"/>
        <w:spacing w:after="0" w:line="261" w:lineRule="auto"/>
        <w:rPr>
          <w:sz w:val="20"/>
          <w:szCs w:val="20"/>
          <w:color w:val="auto"/>
        </w:rPr>
      </w:pPr>
      <w:r>
        <w:rPr>
          <w:rFonts w:ascii="Times New Roman" w:cs="Times New Roman" w:eastAsia="Times New Roman" w:hAnsi="Times New Roman"/>
          <w:sz w:val="16"/>
          <w:szCs w:val="16"/>
          <w:color w:val="auto"/>
        </w:rPr>
        <w:t>The following is a summary of material U.S. federal income tax considerations of the ownership and disposition of our Class A Common Stock acquired in this offering for non-U.S. Holders (as defined below). The discussion does not purport to be a complete analysis of all the potential tax considerations relating thereto. This summary is based 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68" w:lineRule="exact"/>
        <w:rPr>
          <w:sz w:val="20"/>
          <w:szCs w:val="20"/>
          <w:color w:val="auto"/>
        </w:rPr>
      </w:pPr>
    </w:p>
    <w:p>
      <w:pPr>
        <w:ind w:left="620" w:right="140"/>
        <w:spacing w:after="0" w:line="264" w:lineRule="auto"/>
        <w:rPr>
          <w:sz w:val="20"/>
          <w:szCs w:val="20"/>
          <w:color w:val="auto"/>
        </w:rPr>
      </w:pPr>
      <w:r>
        <w:rPr>
          <w:rFonts w:ascii="Times New Roman" w:cs="Times New Roman" w:eastAsia="Times New Roman" w:hAnsi="Times New Roman"/>
          <w:sz w:val="16"/>
          <w:szCs w:val="16"/>
          <w:color w:val="auto"/>
        </w:rPr>
        <w:t>This discussion does not address any tax considerations relating to the Business Combination or to holders who receive our Class A Common Stock in the Business Combination, or tax consequences of exchanging Paired Interests for our Class A Common Stock. This summary does not address the tax considerations arising under the laws of any U.S. state or local or non-U.S.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79" w:lineRule="exact"/>
        <w:rPr>
          <w:sz w:val="20"/>
          <w:szCs w:val="20"/>
          <w:color w:val="auto"/>
        </w:rPr>
      </w:pPr>
    </w:p>
    <w:p>
      <w:pPr>
        <w:ind w:left="1500" w:hanging="387"/>
        <w:spacing w:after="0"/>
        <w:tabs>
          <w:tab w:leader="none" w:pos="1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insurance companies, regulated investment companies, real estate investment trusts or other financial institutions;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subject to the alternative minimum tax;</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organizations;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pension plans and tax-qualified retirement plans;</w:t>
      </w:r>
    </w:p>
    <w:p>
      <w:pPr>
        <w:spacing w:after="0" w:line="122" w:lineRule="exact"/>
        <w:rPr>
          <w:rFonts w:ascii="Times New Roman" w:cs="Times New Roman" w:eastAsia="Times New Roman" w:hAnsi="Times New Roman"/>
          <w:sz w:val="16"/>
          <w:szCs w:val="16"/>
          <w:color w:val="auto"/>
        </w:rPr>
      </w:pPr>
    </w:p>
    <w:p>
      <w:pPr>
        <w:ind w:left="1500" w:right="320" w:hanging="387"/>
        <w:spacing w:after="0" w:line="291" w:lineRule="auto"/>
        <w:tabs>
          <w:tab w:leader="none" w:pos="1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controlled foreign corporations, passive foreign investment companies and corporations that accumulate earnings to avoid U.S. federal income tax;</w:t>
      </w:r>
    </w:p>
    <w:p>
      <w:pPr>
        <w:spacing w:after="0" w:line="56" w:lineRule="exact"/>
        <w:rPr>
          <w:rFonts w:ascii="Times New Roman" w:cs="Times New Roman" w:eastAsia="Times New Roman" w:hAnsi="Times New Roman"/>
          <w:sz w:val="16"/>
          <w:szCs w:val="16"/>
          <w:color w:val="auto"/>
        </w:rPr>
      </w:pPr>
    </w:p>
    <w:p>
      <w:pPr>
        <w:ind w:left="1500" w:right="120" w:hanging="387"/>
        <w:spacing w:after="0" w:line="291" w:lineRule="auto"/>
        <w:tabs>
          <w:tab w:leader="none" w:pos="1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entities or arrangements classified as partnerships for U.S. federal income tax purposes or other pass through entities (or investors in such entities or arrangements);</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brokers or dealers in securities or currencies;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traders in securities that elect to use a mark-to-market method of tax accounting for their securities holdings;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own, or are deemed to own, more than five percent of our capital stock (except to the extent specifically set forth below);</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former citizens or long-term residents of the United States;</w:t>
      </w:r>
    </w:p>
    <w:p>
      <w:pPr>
        <w:spacing w:after="0" w:line="122" w:lineRule="exact"/>
        <w:rPr>
          <w:rFonts w:ascii="Times New Roman" w:cs="Times New Roman" w:eastAsia="Times New Roman" w:hAnsi="Times New Roman"/>
          <w:sz w:val="16"/>
          <w:szCs w:val="16"/>
          <w:color w:val="auto"/>
        </w:rPr>
      </w:pPr>
    </w:p>
    <w:p>
      <w:pPr>
        <w:ind w:left="1500" w:right="300" w:hanging="387"/>
        <w:spacing w:after="0" w:line="291" w:lineRule="auto"/>
        <w:tabs>
          <w:tab w:leader="none" w:pos="1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hold our Class A Common Stock as a position in a hedging transaction, “straddle,” “conversion transaction,” or other risk reduction transaction;</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hold or receive our Class A Common Stock pursuant to the exercise of any option;</w:t>
      </w:r>
    </w:p>
    <w:p>
      <w:pPr>
        <w:spacing w:after="0" w:line="122" w:lineRule="exact"/>
        <w:rPr>
          <w:rFonts w:ascii="Times New Roman" w:cs="Times New Roman" w:eastAsia="Times New Roman" w:hAnsi="Times New Roman"/>
          <w:sz w:val="16"/>
          <w:szCs w:val="16"/>
          <w:color w:val="auto"/>
        </w:rPr>
      </w:pPr>
    </w:p>
    <w:p>
      <w:pPr>
        <w:ind w:left="1500" w:hanging="387"/>
        <w:spacing w:after="0" w:line="291" w:lineRule="auto"/>
        <w:tabs>
          <w:tab w:leader="none" w:pos="1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do not hold our Class A Common Stock as a capital asset within the meaning of Section 1221 of the Code (generally, property held for investment);</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deemed to sell our Class A Common Stock under the constructive sale provisions of the Code; or</w:t>
      </w:r>
    </w:p>
    <w:p>
      <w:pPr>
        <w:spacing w:after="0" w:line="122" w:lineRule="exact"/>
        <w:rPr>
          <w:rFonts w:ascii="Times New Roman" w:cs="Times New Roman" w:eastAsia="Times New Roman" w:hAnsi="Times New Roman"/>
          <w:sz w:val="16"/>
          <w:szCs w:val="16"/>
          <w:color w:val="auto"/>
        </w:rPr>
      </w:pPr>
    </w:p>
    <w:p>
      <w:pPr>
        <w:ind w:left="1500" w:right="480" w:hanging="387"/>
        <w:spacing w:after="0" w:line="291" w:lineRule="auto"/>
        <w:tabs>
          <w:tab w:leader="none" w:pos="15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subject to special tax accounting rules as a result of any item of gross income with respect to our Class A Common Stock or Warrants being taken into account in an “applicable financial statement” as defined in Section 451(b) of the Code.</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138</w:t>
      </w:r>
    </w:p>
    <w:p>
      <w:pPr>
        <w:sectPr>
          <w:pgSz w:w="11900" w:h="16838" w:orient="portrait"/>
          <w:cols w:equalWidth="0" w:num="1">
            <w:col w:w="10620"/>
          </w:cols>
          <w:pgMar w:left="320" w:top="453" w:right="959" w:bottom="1440" w:gutter="0" w:footer="0" w:header="0"/>
        </w:sectPr>
      </w:pPr>
    </w:p>
    <w:bookmarkStart w:id="142" w:name="page143"/>
    <w:bookmarkEnd w:id="14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00"/>
        <w:spacing w:after="0" w:line="267" w:lineRule="auto"/>
        <w:rPr>
          <w:sz w:val="20"/>
          <w:szCs w:val="20"/>
          <w:color w:val="auto"/>
        </w:rPr>
      </w:pPr>
      <w:r>
        <w:rPr>
          <w:rFonts w:ascii="Times New Roman" w:cs="Times New Roman" w:eastAsia="Times New Roman" w:hAnsi="Times New Roman"/>
          <w:sz w:val="16"/>
          <w:szCs w:val="16"/>
          <w:color w:val="auto"/>
        </w:rPr>
        <w:t>In addition, if a partnership (or other entity or arrangement classified as a partnership for U.S. federal income tax purposes) holds our Class A Common Stock, the tax treatment of a partner in the partnership generally will depend on the status of the partner and upon the activities of the partnership. A partner in a partnership that will hold our Class A Common Stock should consult his, her or its own tax advisor regarding the tax considerations of the purchase, ownership and disposition of our Class A Common Stock through a partnership.</w:t>
      </w:r>
    </w:p>
    <w:p>
      <w:pPr>
        <w:spacing w:after="0" w:line="162" w:lineRule="exact"/>
        <w:rPr>
          <w:sz w:val="20"/>
          <w:szCs w:val="20"/>
          <w:color w:val="auto"/>
        </w:rPr>
      </w:pPr>
    </w:p>
    <w:p>
      <w:pPr>
        <w:ind w:left="620" w:right="180"/>
        <w:spacing w:after="0" w:line="273" w:lineRule="auto"/>
        <w:rPr>
          <w:sz w:val="20"/>
          <w:szCs w:val="20"/>
          <w:color w:val="auto"/>
        </w:rPr>
      </w:pPr>
      <w:r>
        <w:rPr>
          <w:rFonts w:ascii="Times New Roman" w:cs="Times New Roman" w:eastAsia="Times New Roman" w:hAnsi="Times New Roman"/>
          <w:sz w:val="16"/>
          <w:szCs w:val="16"/>
          <w:color w:val="auto"/>
        </w:rPr>
        <w:t>You are urged to consult your tax advisor with respect to the application of the U.S. federal income tax laws to your particular situation, as well as any tax considerations of the purchase, ownership and disposition of our Class A Common Stock arising under the U.S. federal gift or estate tax rules or under the laws of any U.S. state or local, non-U.S. or other taxing jurisdiction or under any applicable tax treaty.</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Non-U.S. Holders</w:t>
      </w:r>
    </w:p>
    <w:p>
      <w:pPr>
        <w:spacing w:after="0" w:line="114" w:lineRule="exact"/>
        <w:rPr>
          <w:sz w:val="20"/>
          <w:szCs w:val="20"/>
          <w:color w:val="auto"/>
        </w:rPr>
      </w:pPr>
    </w:p>
    <w:p>
      <w:pPr>
        <w:ind w:left="620" w:right="200"/>
        <w:spacing w:after="0" w:line="291" w:lineRule="auto"/>
        <w:rPr>
          <w:sz w:val="20"/>
          <w:szCs w:val="20"/>
          <w:color w:val="auto"/>
        </w:rPr>
      </w:pPr>
      <w:r>
        <w:rPr>
          <w:rFonts w:ascii="Times New Roman" w:cs="Times New Roman" w:eastAsia="Times New Roman" w:hAnsi="Times New Roman"/>
          <w:sz w:val="16"/>
          <w:szCs w:val="16"/>
          <w:color w:val="auto"/>
        </w:rPr>
        <w:t>For purposes of this discussion, you are a “non-U.S. holder” if you are a beneficial owner of our Class A Common Stock that, for U.S. federal income tax purposes, is not a partnership (including any entity or arrangement treated as a partnership and the equity holders therein) and is not:</w:t>
      </w:r>
    </w:p>
    <w:p>
      <w:pPr>
        <w:spacing w:after="0" w:line="56" w:lineRule="exact"/>
        <w:rPr>
          <w:sz w:val="20"/>
          <w:szCs w:val="20"/>
          <w:color w:val="auto"/>
        </w:rPr>
      </w:pPr>
    </w:p>
    <w:p>
      <w:pPr>
        <w:ind w:left="1500" w:hanging="387"/>
        <w:spacing w:after="0"/>
        <w:tabs>
          <w:tab w:leader="none" w:pos="15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122" w:lineRule="exact"/>
        <w:rPr>
          <w:rFonts w:ascii="Times New Roman" w:cs="Times New Roman" w:eastAsia="Times New Roman" w:hAnsi="Times New Roman"/>
          <w:sz w:val="16"/>
          <w:szCs w:val="16"/>
          <w:color w:val="auto"/>
        </w:rPr>
      </w:pPr>
    </w:p>
    <w:p>
      <w:pPr>
        <w:ind w:left="1500" w:right="40" w:hanging="387"/>
        <w:spacing w:after="0" w:line="291" w:lineRule="auto"/>
        <w:tabs>
          <w:tab w:leader="none" w:pos="15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whose income is subject to U.S. federal income tax regardless of its source; or</w:t>
      </w:r>
    </w:p>
    <w:p>
      <w:pPr>
        <w:spacing w:after="0" w:line="122" w:lineRule="exact"/>
        <w:rPr>
          <w:rFonts w:ascii="Times New Roman" w:cs="Times New Roman" w:eastAsia="Times New Roman" w:hAnsi="Times New Roman"/>
          <w:sz w:val="16"/>
          <w:szCs w:val="16"/>
          <w:color w:val="auto"/>
        </w:rPr>
      </w:pPr>
    </w:p>
    <w:p>
      <w:pPr>
        <w:jc w:val="both"/>
        <w:ind w:left="1500" w:right="200" w:hanging="387"/>
        <w:spacing w:after="0" w:line="273" w:lineRule="auto"/>
        <w:tabs>
          <w:tab w:leader="none" w:pos="15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112" w:lineRule="exact"/>
        <w:rPr>
          <w:sz w:val="20"/>
          <w:szCs w:val="20"/>
          <w:color w:val="auto"/>
        </w:rPr>
      </w:pPr>
    </w:p>
    <w:p>
      <w:pPr>
        <w:ind w:left="620"/>
        <w:spacing w:after="0" w:line="262" w:lineRule="auto"/>
        <w:rPr>
          <w:sz w:val="20"/>
          <w:szCs w:val="20"/>
          <w:color w:val="auto"/>
        </w:rPr>
      </w:pPr>
      <w:r>
        <w:rPr>
          <w:rFonts w:ascii="Times New Roman" w:cs="Times New Roman" w:eastAsia="Times New Roman" w:hAnsi="Times New Roman"/>
          <w:sz w:val="16"/>
          <w:szCs w:val="16"/>
          <w:color w:val="auto"/>
        </w:rPr>
        <w:t>As described in “</w:t>
      </w:r>
      <w:r>
        <w:rPr>
          <w:rFonts w:ascii="Times New Roman" w:cs="Times New Roman" w:eastAsia="Times New Roman" w:hAnsi="Times New Roman"/>
          <w:sz w:val="16"/>
          <w:szCs w:val="16"/>
          <w:i w:val="1"/>
          <w:iCs w:val="1"/>
          <w:color w:val="auto"/>
        </w:rPr>
        <w:t>Dividend Policy</w:t>
      </w:r>
      <w:r>
        <w:rPr>
          <w:rFonts w:ascii="Times New Roman" w:cs="Times New Roman" w:eastAsia="Times New Roman" w:hAnsi="Times New Roman"/>
          <w:sz w:val="16"/>
          <w:szCs w:val="16"/>
          <w:color w:val="auto"/>
        </w:rPr>
        <w:t xml:space="preserve">,” we have never declared or paid cash dividends on our capital stock, and we do not anticipate paying any dividends on our Class A Common Stock following the completion of this offering. However, if we do make distributions on our Class A Common Stock (including constructive distributions, but not including certain distributions of our stock or rights to acquire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w:t>
      </w:r>
      <w:r>
        <w:rPr>
          <w:rFonts w:ascii="Times New Roman" w:cs="Times New Roman" w:eastAsia="Times New Roman" w:hAnsi="Times New Roman"/>
          <w:sz w:val="16"/>
          <w:szCs w:val="16"/>
          <w:i w:val="1"/>
          <w:iCs w:val="1"/>
          <w:color w:val="auto"/>
        </w:rPr>
        <w:t>“—Gain on Disposition of Class A Common Stock.</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620" w:right="40"/>
        <w:spacing w:after="0" w:line="259" w:lineRule="auto"/>
        <w:rPr>
          <w:sz w:val="20"/>
          <w:szCs w:val="20"/>
          <w:color w:val="auto"/>
        </w:rPr>
      </w:pPr>
      <w:r>
        <w:rPr>
          <w:rFonts w:ascii="Times New Roman" w:cs="Times New Roman" w:eastAsia="Times New Roman" w:hAnsi="Times New Roman"/>
          <w:sz w:val="16"/>
          <w:szCs w:val="16"/>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Under applicable Treasury Regulations, we may withhold up to 30% of the gross amount of the entire distribution even if the amount constituting a dividend, as described above, is less than the gross amount. You may obtain a refund of any excess amounts withheld by filing an appropriate claim for refund with the IRS. If you hold our Class A Common Stock through a financial institution or other agent acting on your behalf, you will be required to provide appropriate documentation to the agent, which then will be required to provide certification to us or our paying agent, either directly or through other intermediaries. Special certification and other requirements apply to certain non-U.S. holders that are pass-through entities rather than corporations or individuals.</w:t>
      </w:r>
    </w:p>
    <w:p>
      <w:pPr>
        <w:spacing w:after="0" w:line="1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139</w:t>
      </w:r>
    </w:p>
    <w:p>
      <w:pPr>
        <w:sectPr>
          <w:pgSz w:w="11900" w:h="16838" w:orient="portrait"/>
          <w:cols w:equalWidth="0" w:num="1">
            <w:col w:w="10620"/>
          </w:cols>
          <w:pgMar w:left="320" w:top="453" w:right="959" w:bottom="1440" w:gutter="0" w:footer="0" w:header="0"/>
        </w:sectPr>
      </w:pPr>
    </w:p>
    <w:bookmarkStart w:id="143" w:name="page144"/>
    <w:bookmarkEnd w:id="14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0"/>
        <w:spacing w:after="0" w:line="259" w:lineRule="auto"/>
        <w:rPr>
          <w:sz w:val="20"/>
          <w:szCs w:val="20"/>
          <w:color w:val="auto"/>
        </w:rPr>
      </w:pPr>
      <w:r>
        <w:rPr>
          <w:rFonts w:ascii="Times New Roman" w:cs="Times New Roman" w:eastAsia="Times New Roman" w:hAnsi="Times New Roman"/>
          <w:sz w:val="16"/>
          <w:szCs w:val="16"/>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or a successor form properly certifying such exemption. Such effectively connected dividends, although not subject to U.S. federal withholding tax, generally are taxed at the U.S. federal income tax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spacing w:after="0" w:line="2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Gain on Disposition of Class A Common Stock</w:t>
      </w:r>
    </w:p>
    <w:p>
      <w:pPr>
        <w:spacing w:after="0" w:line="114" w:lineRule="exact"/>
        <w:rPr>
          <w:sz w:val="20"/>
          <w:szCs w:val="20"/>
          <w:color w:val="auto"/>
        </w:rPr>
      </w:pPr>
    </w:p>
    <w:p>
      <w:pPr>
        <w:ind w:left="620" w:right="100"/>
        <w:spacing w:after="0" w:line="291" w:lineRule="auto"/>
        <w:rPr>
          <w:sz w:val="20"/>
          <w:szCs w:val="20"/>
          <w:color w:val="auto"/>
        </w:rPr>
      </w:pPr>
      <w:r>
        <w:rPr>
          <w:rFonts w:ascii="Times New Roman" w:cs="Times New Roman" w:eastAsia="Times New Roman" w:hAnsi="Times New Roman"/>
          <w:sz w:val="16"/>
          <w:szCs w:val="16"/>
          <w:color w:val="auto"/>
        </w:rPr>
        <w:t>Subject to the discussions below regarding backup withholding and FATCA withholding, you generally will not be required to pay U.S. federal income tax on any gain realized upon the sale or other disposition of our Class A Common Stock unless:</w:t>
      </w:r>
    </w:p>
    <w:p>
      <w:pPr>
        <w:spacing w:after="0" w:line="56" w:lineRule="exact"/>
        <w:rPr>
          <w:sz w:val="20"/>
          <w:szCs w:val="20"/>
          <w:color w:val="auto"/>
        </w:rPr>
      </w:pPr>
    </w:p>
    <w:p>
      <w:pPr>
        <w:ind w:left="1500" w:hanging="387"/>
        <w:spacing w:after="0" w:line="291" w:lineRule="auto"/>
        <w:tabs>
          <w:tab w:leader="none" w:pos="15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56" w:lineRule="exact"/>
        <w:rPr>
          <w:rFonts w:ascii="Times New Roman" w:cs="Times New Roman" w:eastAsia="Times New Roman" w:hAnsi="Times New Roman"/>
          <w:sz w:val="16"/>
          <w:szCs w:val="16"/>
          <w:color w:val="auto"/>
        </w:rPr>
      </w:pPr>
    </w:p>
    <w:p>
      <w:pPr>
        <w:ind w:left="1500" w:right="120" w:hanging="387"/>
        <w:spacing w:after="0" w:line="291" w:lineRule="auto"/>
        <w:tabs>
          <w:tab w:leader="none" w:pos="15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are an individual who is present in the United States for a period or periods aggregating 183 days or more during the calendar year in which the sale or disposition occurs and certain other conditions are met; or</w:t>
      </w:r>
    </w:p>
    <w:p>
      <w:pPr>
        <w:spacing w:after="0" w:line="56" w:lineRule="exact"/>
        <w:rPr>
          <w:rFonts w:ascii="Times New Roman" w:cs="Times New Roman" w:eastAsia="Times New Roman" w:hAnsi="Times New Roman"/>
          <w:sz w:val="16"/>
          <w:szCs w:val="16"/>
          <w:color w:val="auto"/>
        </w:rPr>
      </w:pPr>
    </w:p>
    <w:p>
      <w:pPr>
        <w:ind w:left="1500" w:right="80" w:hanging="387"/>
        <w:spacing w:after="0" w:line="273" w:lineRule="auto"/>
        <w:tabs>
          <w:tab w:leader="none" w:pos="15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Class A Common Stock constitutes a United States real property interest by reason of our status as a “United States real property holding corporation,” or a USRPHC, for U.S. federal income tax purposes at any time within the shorter of the five-year period preceding your disposition of, or your holding period for, our Class A Common Stock.</w:t>
      </w:r>
    </w:p>
    <w:p>
      <w:pPr>
        <w:spacing w:after="0" w:line="157" w:lineRule="exact"/>
        <w:rPr>
          <w:sz w:val="20"/>
          <w:szCs w:val="20"/>
          <w:color w:val="auto"/>
        </w:rPr>
      </w:pPr>
    </w:p>
    <w:p>
      <w:pPr>
        <w:ind w:left="620"/>
        <w:spacing w:after="0" w:line="261" w:lineRule="auto"/>
        <w:rPr>
          <w:sz w:val="20"/>
          <w:szCs w:val="20"/>
          <w:color w:val="auto"/>
        </w:rPr>
      </w:pPr>
      <w:r>
        <w:rPr>
          <w:rFonts w:ascii="Times New Roman" w:cs="Times New Roman" w:eastAsia="Times New Roman" w:hAnsi="Times New Roman"/>
          <w:sz w:val="16"/>
          <w:szCs w:val="16"/>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our regularly traded common stock at any time during the shorter of the five-year period preceding your disposition of, or your holding period for, our Class A Common Stock.</w:t>
      </w:r>
    </w:p>
    <w:p>
      <w:pPr>
        <w:spacing w:after="0" w:line="168" w:lineRule="exact"/>
        <w:rPr>
          <w:sz w:val="20"/>
          <w:szCs w:val="20"/>
          <w:color w:val="auto"/>
        </w:rPr>
      </w:pPr>
    </w:p>
    <w:p>
      <w:pPr>
        <w:ind w:left="620"/>
        <w:spacing w:after="0" w:line="261" w:lineRule="auto"/>
        <w:rPr>
          <w:sz w:val="20"/>
          <w:szCs w:val="20"/>
          <w:color w:val="auto"/>
        </w:rPr>
      </w:pPr>
      <w:r>
        <w:rPr>
          <w:rFonts w:ascii="Times New Roman" w:cs="Times New Roman" w:eastAsia="Times New Roman" w:hAnsi="Times New Roman"/>
          <w:sz w:val="16"/>
          <w:szCs w:val="16"/>
          <w:color w:val="auto"/>
        </w:rPr>
        <w:t>If you are a non-U.S. holder described in the first bullet above, you generally will be required to pay tax on the gain derived from the sale (net of certain deductions and credits) under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140</w:t>
      </w:r>
    </w:p>
    <w:p>
      <w:pPr>
        <w:sectPr>
          <w:pgSz w:w="11900" w:h="16838" w:orient="portrait"/>
          <w:cols w:equalWidth="0" w:num="1">
            <w:col w:w="10600"/>
          </w:cols>
          <w:pgMar w:left="320" w:top="452" w:right="979" w:bottom="1440" w:gutter="0" w:footer="0" w:header="0"/>
        </w:sectPr>
      </w:pPr>
    </w:p>
    <w:bookmarkStart w:id="144" w:name="page145"/>
    <w:bookmarkEnd w:id="14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Backup Withholding and Information Reporting</w:t>
      </w:r>
    </w:p>
    <w:p>
      <w:pPr>
        <w:spacing w:after="0" w:line="114" w:lineRule="exact"/>
        <w:rPr>
          <w:sz w:val="20"/>
          <w:szCs w:val="20"/>
          <w:color w:val="auto"/>
        </w:rPr>
      </w:pPr>
    </w:p>
    <w:p>
      <w:pPr>
        <w:ind w:left="620" w:right="280"/>
        <w:spacing w:after="0" w:line="273" w:lineRule="auto"/>
        <w:rPr>
          <w:sz w:val="20"/>
          <w:szCs w:val="20"/>
          <w:color w:val="auto"/>
        </w:rPr>
      </w:pPr>
      <w:r>
        <w:rPr>
          <w:rFonts w:ascii="Times New Roman" w:cs="Times New Roman" w:eastAsia="Times New Roman" w:hAnsi="Times New Roman"/>
          <w:sz w:val="16"/>
          <w:szCs w:val="16"/>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57"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Payments of dividends on or of proceeds from the disposition of our Class A Common Stock made to you may be subject to backup withholding at the applicable statutory rate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62" w:lineRule="exact"/>
        <w:rPr>
          <w:sz w:val="20"/>
          <w:szCs w:val="20"/>
          <w:color w:val="auto"/>
        </w:rPr>
      </w:pPr>
    </w:p>
    <w:p>
      <w:pPr>
        <w:jc w:val="both"/>
        <w:ind w:left="620" w:right="40"/>
        <w:spacing w:after="0" w:line="273" w:lineRule="auto"/>
        <w:rPr>
          <w:sz w:val="20"/>
          <w:szCs w:val="20"/>
          <w:color w:val="auto"/>
        </w:rPr>
      </w:pPr>
      <w:r>
        <w:rPr>
          <w:rFonts w:ascii="Times New Roman" w:cs="Times New Roman" w:eastAsia="Times New Roman" w:hAnsi="Times New Roman"/>
          <w:sz w:val="16"/>
          <w:szCs w:val="16"/>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Additional Withholding Requirements under the Foreign Account Tax Compliance Act</w:t>
      </w:r>
    </w:p>
    <w:p>
      <w:pPr>
        <w:spacing w:after="0" w:line="114" w:lineRule="exact"/>
        <w:rPr>
          <w:sz w:val="20"/>
          <w:szCs w:val="20"/>
          <w:color w:val="auto"/>
        </w:rPr>
      </w:pPr>
    </w:p>
    <w:p>
      <w:pPr>
        <w:ind w:left="620" w:right="20"/>
        <w:spacing w:after="0" w:line="259" w:lineRule="auto"/>
        <w:rPr>
          <w:sz w:val="20"/>
          <w:szCs w:val="20"/>
          <w:color w:val="auto"/>
        </w:rPr>
      </w:pPr>
      <w:r>
        <w:rPr>
          <w:rFonts w:ascii="Times New Roman" w:cs="Times New Roman" w:eastAsia="Times New Roman" w:hAnsi="Times New Roman"/>
          <w:sz w:val="16"/>
          <w:szCs w:val="16"/>
          <w:color w:val="auto"/>
        </w:rPr>
        <w:t>FATCA, including sections 1471 through 1474 of the Code and the Treasury Regulations and other official IRS guidance issued thereunder, generally imposes a U.S. federal withholding tax of 30% on dividends (including constructive dividends) on, and the gross proceeds from a sale or other disposition of, our Class A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(including constructive dividends) on, and the gross proceeds from a sale or other disposition of, our Class A Common Stock or Warrants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72" w:lineRule="exact"/>
        <w:rPr>
          <w:sz w:val="20"/>
          <w:szCs w:val="20"/>
          <w:color w:val="auto"/>
        </w:rPr>
      </w:pPr>
    </w:p>
    <w:p>
      <w:pPr>
        <w:ind w:left="620"/>
        <w:spacing w:after="0" w:line="260" w:lineRule="auto"/>
        <w:rPr>
          <w:sz w:val="20"/>
          <w:szCs w:val="20"/>
          <w:color w:val="auto"/>
        </w:rPr>
      </w:pPr>
      <w:r>
        <w:rPr>
          <w:rFonts w:ascii="Times New Roman" w:cs="Times New Roman" w:eastAsia="Times New Roman" w:hAnsi="Times New Roman"/>
          <w:sz w:val="16"/>
          <w:szCs w:val="16"/>
          <w:color w:val="auto"/>
        </w:rPr>
        <w:t>The withholding obligations under FATCA generally apply to dividends (including constructive dividends) on our Class A Common Stock and to the payment of gross proceeds of a sale or other disposition of our Class A Common Stock. However, the U.S. Treasury Department has issued proposed regulations that, if finalized in their present form, would eliminate FATCA withholding on gross proceeds of the sale or other disposition of our Class A Common Stock (but not on payments of dividends). The preamble of such proposed regulations states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you might be eligible for refunds or credits of such taxes. An intergovernmental agreement between the United States and your country of residence may modify the requirements described in this section. You should consult with your own tax advisors regarding the application of FATCA withholding to your investment in, and ownership and disposition of, our Class A Common Stock.</w:t>
      </w:r>
    </w:p>
    <w:p>
      <w:pPr>
        <w:spacing w:after="0" w:line="261" w:lineRule="exact"/>
        <w:rPr>
          <w:sz w:val="20"/>
          <w:szCs w:val="20"/>
          <w:color w:val="auto"/>
        </w:rPr>
      </w:pPr>
    </w:p>
    <w:p>
      <w:pPr>
        <w:jc w:val="both"/>
        <w:ind w:left="620" w:right="440"/>
        <w:spacing w:after="0" w:line="269" w:lineRule="auto"/>
        <w:rPr>
          <w:sz w:val="20"/>
          <w:szCs w:val="20"/>
          <w:color w:val="auto"/>
        </w:rPr>
      </w:pPr>
      <w:r>
        <w:rPr>
          <w:rFonts w:ascii="Times New Roman" w:cs="Times New Roman" w:eastAsia="Times New Roman" w:hAnsi="Times New Roman"/>
          <w:sz w:val="16"/>
          <w:szCs w:val="16"/>
          <w:b w:val="1"/>
          <w:bCs w:val="1"/>
          <w:color w:val="auto"/>
        </w:rPr>
        <w:t>The preceding discussion of U.S. federal income tax considerations is for general information only. It is not tax advice to investors in their particular circumstances. You should consult your own tax advisor regarding the particular U.S. federal, state and local and non-U.S. tax considerations of purchasing, owning and disposing of our Class A Common Stock, including the consequences of any proposed change in applicable laws.</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141</w:t>
      </w:r>
    </w:p>
    <w:p>
      <w:pPr>
        <w:sectPr>
          <w:pgSz w:w="11900" w:h="16838" w:orient="portrait"/>
          <w:cols w:equalWidth="0" w:num="1">
            <w:col w:w="10620"/>
          </w:cols>
          <w:pgMar w:left="320" w:top="453" w:right="959" w:bottom="1440" w:gutter="0" w:footer="0" w:header="0"/>
        </w:sectPr>
      </w:pPr>
    </w:p>
    <w:bookmarkStart w:id="145" w:name="page146"/>
    <w:bookmarkEnd w:id="14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212" w:lineRule="exact"/>
        <w:rPr>
          <w:sz w:val="20"/>
          <w:szCs w:val="20"/>
          <w:color w:val="auto"/>
        </w:rPr>
      </w:pPr>
    </w:p>
    <w:p>
      <w:pPr>
        <w:ind w:left="620" w:right="60"/>
        <w:spacing w:after="0" w:line="264" w:lineRule="auto"/>
        <w:rPr>
          <w:sz w:val="20"/>
          <w:szCs w:val="20"/>
          <w:color w:val="auto"/>
        </w:rPr>
      </w:pPr>
      <w:r>
        <w:rPr>
          <w:rFonts w:ascii="Times New Roman" w:cs="Times New Roman" w:eastAsia="Times New Roman" w:hAnsi="Times New Roman"/>
          <w:sz w:val="16"/>
          <w:szCs w:val="16"/>
          <w:color w:val="auto"/>
        </w:rPr>
        <w:t>This prospectus relates to the issuance by us, and the resale by the Selling Securityholders, of 190,726,638 shares of Class A Common Stock, issuable upon the exchange of the Paired Interests. This prospectus also relates to the resale by the Selling Securityholders of (i) 32,500,000 shares of Class A Common Stock issued in the PIPE Financing, (ii) 5,184,300 shares of Class A Common Stock issued to the Sponsor and certain of its affiliates upon the conversion of a corresponding number of Class B Ordinary Shares, originally sold to the Sponsor in a private placement prior to the IPO and (iii) 3,151,890 shares of Class A Common Stock issued upon the “cashless exercise” of the a portion of Private Placement Warrants.</w:t>
      </w:r>
    </w:p>
    <w:p>
      <w:pPr>
        <w:spacing w:after="0" w:line="165" w:lineRule="exact"/>
        <w:rPr>
          <w:sz w:val="20"/>
          <w:szCs w:val="20"/>
          <w:color w:val="auto"/>
        </w:rPr>
      </w:pPr>
    </w:p>
    <w:p>
      <w:pPr>
        <w:ind w:left="620" w:right="300"/>
        <w:spacing w:after="0" w:line="291" w:lineRule="auto"/>
        <w:rPr>
          <w:sz w:val="20"/>
          <w:szCs w:val="20"/>
          <w:color w:val="auto"/>
        </w:rPr>
      </w:pPr>
      <w:r>
        <w:rPr>
          <w:rFonts w:ascii="Times New Roman" w:cs="Times New Roman" w:eastAsia="Times New Roman" w:hAnsi="Times New Roman"/>
          <w:sz w:val="16"/>
          <w:szCs w:val="16"/>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42"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With respect to the registration of all shares of Class A Common Stock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w:t>
      </w:r>
    </w:p>
    <w:p>
      <w:pPr>
        <w:spacing w:after="0" w:line="165" w:lineRule="exact"/>
        <w:rPr>
          <w:sz w:val="20"/>
          <w:szCs w:val="20"/>
          <w:color w:val="auto"/>
        </w:rPr>
      </w:pPr>
    </w:p>
    <w:p>
      <w:pPr>
        <w:ind w:left="620" w:right="40"/>
        <w:spacing w:after="0" w:line="258" w:lineRule="auto"/>
        <w:rPr>
          <w:sz w:val="20"/>
          <w:szCs w:val="20"/>
          <w:color w:val="auto"/>
        </w:rPr>
      </w:pPr>
      <w:r>
        <w:rPr>
          <w:rFonts w:ascii="Times New Roman" w:cs="Times New Roman" w:eastAsia="Times New Roman" w:hAnsi="Times New Roman"/>
          <w:sz w:val="16"/>
          <w:szCs w:val="16"/>
          <w:color w:val="auto"/>
        </w:rPr>
        <w:t>The securities beneficially owned by the Selling Securityholders covered by this prospectus may be offered and sold from time to time by the Selling Securityholders. The term “Selling Securityholders” includes distributees,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may subject to certain conditions. The underwriters may be obligated to purchase all the securities offered if any of the securities are purchased.</w:t>
      </w:r>
    </w:p>
    <w:p>
      <w:pPr>
        <w:spacing w:after="0" w:line="174" w:lineRule="exact"/>
        <w:rPr>
          <w:sz w:val="20"/>
          <w:szCs w:val="20"/>
          <w:color w:val="auto"/>
        </w:rPr>
      </w:pPr>
    </w:p>
    <w:p>
      <w:pPr>
        <w:ind w:left="620" w:right="80"/>
        <w:spacing w:after="0" w:line="291" w:lineRule="auto"/>
        <w:rPr>
          <w:sz w:val="20"/>
          <w:szCs w:val="20"/>
          <w:color w:val="auto"/>
        </w:rPr>
      </w:pPr>
      <w:r>
        <w:rPr>
          <w:rFonts w:ascii="Times New Roman" w:cs="Times New Roman" w:eastAsia="Times New Roman" w:hAnsi="Times New Roman"/>
          <w:sz w:val="16"/>
          <w:szCs w:val="16"/>
          <w:color w:val="auto"/>
        </w:rPr>
        <w:t>Subject to the limitations set forth in any applicable registration rights agreement, the Selling Securityholders may use any one or more of the following methods when selling the securities offered by this prospectus:</w:t>
      </w:r>
    </w:p>
    <w:p>
      <w:pPr>
        <w:spacing w:after="0" w:line="56" w:lineRule="exact"/>
        <w:rPr>
          <w:sz w:val="20"/>
          <w:szCs w:val="20"/>
          <w:color w:val="auto"/>
        </w:rPr>
      </w:pPr>
    </w:p>
    <w:p>
      <w:pPr>
        <w:ind w:left="1500" w:hanging="387"/>
        <w:spacing w:after="0"/>
        <w:tabs>
          <w:tab w:leader="none" w:pos="15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by a broker-dealer as principal and resale by such broker-dealer for its own account pursuant to this prospectus;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brokerage transactions and transactions in which the broker solicits purchasers;</w:t>
      </w:r>
    </w:p>
    <w:p>
      <w:pPr>
        <w:spacing w:after="0" w:line="122" w:lineRule="exact"/>
        <w:rPr>
          <w:rFonts w:ascii="Times New Roman" w:cs="Times New Roman" w:eastAsia="Times New Roman" w:hAnsi="Times New Roman"/>
          <w:sz w:val="16"/>
          <w:szCs w:val="16"/>
          <w:color w:val="auto"/>
        </w:rPr>
      </w:pPr>
    </w:p>
    <w:p>
      <w:pPr>
        <w:ind w:left="1500" w:right="200" w:hanging="387"/>
        <w:spacing w:after="0" w:line="291" w:lineRule="auto"/>
        <w:tabs>
          <w:tab w:leader="none" w:pos="15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 trades in which the broker-dealer so engaged will attempt to sell the securities as agent but may position and resell a portion of the block as principal to facilitate the transaction;</w:t>
      </w:r>
    </w:p>
    <w:p>
      <w:pPr>
        <w:spacing w:after="0" w:line="56"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over-the-counter distribution in accordance with the rules of the NYSE;</w:t>
      </w:r>
    </w:p>
    <w:p>
      <w:pPr>
        <w:spacing w:after="0" w:line="122" w:lineRule="exact"/>
        <w:rPr>
          <w:rFonts w:ascii="Times New Roman" w:cs="Times New Roman" w:eastAsia="Times New Roman" w:hAnsi="Times New Roman"/>
          <w:sz w:val="16"/>
          <w:szCs w:val="16"/>
          <w:color w:val="auto"/>
        </w:rPr>
      </w:pPr>
    </w:p>
    <w:p>
      <w:pPr>
        <w:jc w:val="both"/>
        <w:ind w:left="1500" w:right="20" w:hanging="387"/>
        <w:spacing w:after="0" w:line="273" w:lineRule="auto"/>
        <w:tabs>
          <w:tab w:leader="none" w:pos="15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142</w:t>
      </w:r>
    </w:p>
    <w:p>
      <w:pPr>
        <w:sectPr>
          <w:pgSz w:w="11900" w:h="16838" w:orient="portrait"/>
          <w:cols w:equalWidth="0" w:num="1">
            <w:col w:w="10620"/>
          </w:cols>
          <w:pgMar w:left="320" w:top="452" w:right="959" w:bottom="1440" w:gutter="0" w:footer="0" w:header="0"/>
        </w:sectPr>
      </w:pPr>
    </w:p>
    <w:bookmarkStart w:id="146" w:name="page147"/>
    <w:bookmarkEnd w:id="14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500" w:hanging="387"/>
        <w:spacing w:after="0"/>
        <w:tabs>
          <w:tab w:leader="none" w:pos="15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one or more underwritten offerings on a firm commitment or best efforts basis;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settlement of short sales entered into after the date of this prospectus;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agreements with broker-dealers to sell a specified number of the securities at a stipulated price per share or Warrant;</w:t>
      </w:r>
    </w:p>
    <w:p>
      <w:pPr>
        <w:spacing w:after="0" w:line="122" w:lineRule="exact"/>
        <w:rPr>
          <w:rFonts w:ascii="Times New Roman" w:cs="Times New Roman" w:eastAsia="Times New Roman" w:hAnsi="Times New Roman"/>
          <w:sz w:val="16"/>
          <w:szCs w:val="16"/>
          <w:color w:val="auto"/>
        </w:rPr>
      </w:pPr>
    </w:p>
    <w:p>
      <w:pPr>
        <w:ind w:left="1500" w:right="80" w:hanging="387"/>
        <w:spacing w:after="0" w:line="273" w:lineRule="auto"/>
        <w:tabs>
          <w:tab w:leader="none" w:pos="15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0"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to purchasers, including through a specific bidding, auction or other process or in privately negotiated transactions;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writing or settlement of options or other hedging transactions, whether through an options exchange or otherwise;</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 combination of any of the above methods of sale; or</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permitted pursuant to applicable law.</w:t>
      </w:r>
    </w:p>
    <w:p>
      <w:pPr>
        <w:spacing w:after="0" w:line="208" w:lineRule="exact"/>
        <w:rPr>
          <w:sz w:val="20"/>
          <w:szCs w:val="20"/>
          <w:color w:val="auto"/>
        </w:rPr>
      </w:pPr>
    </w:p>
    <w:p>
      <w:pPr>
        <w:ind w:left="620" w:right="40"/>
        <w:spacing w:after="0" w:line="264" w:lineRule="auto"/>
        <w:rPr>
          <w:sz w:val="20"/>
          <w:szCs w:val="20"/>
          <w:color w:val="auto"/>
        </w:rPr>
      </w:pPr>
      <w:r>
        <w:rPr>
          <w:rFonts w:ascii="Times New Roman" w:cs="Times New Roman" w:eastAsia="Times New Roman" w:hAnsi="Times New Roman"/>
          <w:sz w:val="16"/>
          <w:szCs w:val="16"/>
          <w:color w:val="auto"/>
        </w:rPr>
        <w:t>In addition, a Selling Securityholder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65" w:lineRule="exact"/>
        <w:rPr>
          <w:sz w:val="20"/>
          <w:szCs w:val="20"/>
          <w:color w:val="auto"/>
        </w:rPr>
      </w:pPr>
    </w:p>
    <w:p>
      <w:pPr>
        <w:ind w:left="620" w:right="220"/>
        <w:spacing w:after="0" w:line="267" w:lineRule="auto"/>
        <w:rPr>
          <w:sz w:val="20"/>
          <w:szCs w:val="20"/>
          <w:color w:val="auto"/>
        </w:rPr>
      </w:pPr>
      <w:r>
        <w:rPr>
          <w:rFonts w:ascii="Times New Roman" w:cs="Times New Roman" w:eastAsia="Times New Roman" w:hAnsi="Times New Roman"/>
          <w:sz w:val="16"/>
          <w:szCs w:val="16"/>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62" w:lineRule="exact"/>
        <w:rPr>
          <w:sz w:val="20"/>
          <w:szCs w:val="20"/>
          <w:color w:val="auto"/>
        </w:rPr>
      </w:pPr>
    </w:p>
    <w:p>
      <w:pPr>
        <w:ind w:left="620" w:right="20"/>
        <w:spacing w:after="0" w:line="267" w:lineRule="auto"/>
        <w:rPr>
          <w:sz w:val="20"/>
          <w:szCs w:val="20"/>
          <w:color w:val="auto"/>
        </w:rPr>
      </w:pPr>
      <w:r>
        <w:rPr>
          <w:rFonts w:ascii="Times New Roman" w:cs="Times New Roman" w:eastAsia="Times New Roman" w:hAnsi="Times New Roman"/>
          <w:sz w:val="16"/>
          <w:szCs w:val="16"/>
          <w:color w:val="auto"/>
        </w:rPr>
        <w:t>The Selling Securityholders also may transfer the securities in other circumstances, in which case the transferees, distributees, pledgees or other successors-in-interest will be the selling beneficial owners for purposes of this prospectus. Upon being notified by a Selling Securityholder that a donee, pledgee, transferee, or other successor-in-interest intends to sell our securities, we will, to the extent required, promptly file a supplement to this prospectus to name specifically such person as a selling securityholder.</w:t>
      </w:r>
    </w:p>
    <w:p>
      <w:pPr>
        <w:spacing w:after="0" w:line="162"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16"/>
          <w:szCs w:val="16"/>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71" w:lineRule="exact"/>
        <w:rPr>
          <w:sz w:val="20"/>
          <w:szCs w:val="20"/>
          <w:color w:val="auto"/>
        </w:rPr>
      </w:pPr>
    </w:p>
    <w:p>
      <w:pPr>
        <w:ind w:left="1500" w:hanging="387"/>
        <w:spacing w:after="0"/>
        <w:tabs>
          <w:tab w:leader="none" w:pos="15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settlement of short sales entered into after the date of this prospectus;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of any participating agents, broker-dealers or underwriters; and</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applicable commissions, discounts, concessions and other items constituting compensation from the selling securityholders.</w:t>
      </w:r>
    </w:p>
    <w:p>
      <w:pPr>
        <w:spacing w:after="0" w:line="208" w:lineRule="exact"/>
        <w:rPr>
          <w:sz w:val="20"/>
          <w:szCs w:val="20"/>
          <w:color w:val="auto"/>
        </w:rPr>
      </w:pPr>
    </w:p>
    <w:p>
      <w:pPr>
        <w:ind w:left="620" w:right="40"/>
        <w:spacing w:after="0" w:line="273" w:lineRule="auto"/>
        <w:rPr>
          <w:sz w:val="20"/>
          <w:szCs w:val="20"/>
          <w:color w:val="auto"/>
        </w:rPr>
      </w:pPr>
      <w:r>
        <w:rPr>
          <w:rFonts w:ascii="Times New Roman" w:cs="Times New Roman" w:eastAsia="Times New Roman" w:hAnsi="Times New Roman"/>
          <w:sz w:val="16"/>
          <w:szCs w:val="16"/>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143</w:t>
      </w:r>
    </w:p>
    <w:p>
      <w:pPr>
        <w:sectPr>
          <w:pgSz w:w="11900" w:h="16838" w:orient="portrait"/>
          <w:cols w:equalWidth="0" w:num="1">
            <w:col w:w="10600"/>
          </w:cols>
          <w:pgMar w:left="320" w:top="453" w:right="979" w:bottom="1440" w:gutter="0" w:footer="0" w:header="0"/>
        </w:sectPr>
      </w:pPr>
    </w:p>
    <w:bookmarkStart w:id="147" w:name="page148"/>
    <w:bookmarkEnd w:id="14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00"/>
        <w:spacing w:after="0" w:line="263" w:lineRule="auto"/>
        <w:rPr>
          <w:sz w:val="20"/>
          <w:szCs w:val="20"/>
          <w:color w:val="auto"/>
        </w:rPr>
      </w:pPr>
      <w:r>
        <w:rPr>
          <w:rFonts w:ascii="Times New Roman" w:cs="Times New Roman" w:eastAsia="Times New Roman" w:hAnsi="Times New Roman"/>
          <w:sz w:val="16"/>
          <w:szCs w:val="16"/>
          <w:color w:val="auto"/>
        </w:rPr>
        <w:t>and redeliver the securities to close out such short positions. The Selling Securityholders may also enter into option or other transactions with broker-dealers or other financial institutions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63" w:lineRule="exact"/>
        <w:rPr>
          <w:sz w:val="20"/>
          <w:szCs w:val="20"/>
          <w:color w:val="auto"/>
        </w:rPr>
      </w:pPr>
    </w:p>
    <w:p>
      <w:pPr>
        <w:ind w:left="620"/>
        <w:spacing w:after="0" w:line="260" w:lineRule="auto"/>
        <w:rPr>
          <w:sz w:val="20"/>
          <w:szCs w:val="20"/>
          <w:color w:val="auto"/>
        </w:rPr>
      </w:pPr>
      <w:r>
        <w:rPr>
          <w:rFonts w:ascii="Times New Roman" w:cs="Times New Roman" w:eastAsia="Times New Roman" w:hAnsi="Times New Roman"/>
          <w:sz w:val="16"/>
          <w:szCs w:val="16"/>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 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367" w:lineRule="exact"/>
        <w:rPr>
          <w:sz w:val="20"/>
          <w:szCs w:val="20"/>
          <w:color w:val="auto"/>
        </w:rPr>
      </w:pPr>
    </w:p>
    <w:p>
      <w:pPr>
        <w:ind w:left="620" w:right="160"/>
        <w:spacing w:after="0" w:line="273" w:lineRule="auto"/>
        <w:rPr>
          <w:sz w:val="20"/>
          <w:szCs w:val="20"/>
          <w:color w:val="auto"/>
        </w:rPr>
      </w:pPr>
      <w:r>
        <w:rPr>
          <w:rFonts w:ascii="Times New Roman" w:cs="Times New Roman" w:eastAsia="Times New Roman" w:hAnsi="Times New Roman"/>
          <w:sz w:val="16"/>
          <w:szCs w:val="16"/>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57" w:lineRule="exact"/>
        <w:rPr>
          <w:sz w:val="20"/>
          <w:szCs w:val="20"/>
          <w:color w:val="auto"/>
        </w:rPr>
      </w:pPr>
    </w:p>
    <w:p>
      <w:pPr>
        <w:ind w:left="620" w:right="740"/>
        <w:spacing w:after="0" w:line="291" w:lineRule="auto"/>
        <w:rPr>
          <w:sz w:val="20"/>
          <w:szCs w:val="20"/>
          <w:color w:val="auto"/>
        </w:rPr>
      </w:pPr>
      <w:r>
        <w:rPr>
          <w:rFonts w:ascii="Times New Roman" w:cs="Times New Roman" w:eastAsia="Times New Roman" w:hAnsi="Times New Roman"/>
          <w:sz w:val="16"/>
          <w:szCs w:val="16"/>
          <w:color w:val="auto"/>
        </w:rPr>
        <w:t>It is possible that one or more underwriters may make a market in our securities, but such underwriters will not be obligated to do so and may discontinue any market making at any time without notice.</w:t>
      </w:r>
    </w:p>
    <w:p>
      <w:pPr>
        <w:spacing w:after="0" w:line="142" w:lineRule="exact"/>
        <w:rPr>
          <w:sz w:val="20"/>
          <w:szCs w:val="20"/>
          <w:color w:val="auto"/>
        </w:rPr>
      </w:pPr>
    </w:p>
    <w:p>
      <w:pPr>
        <w:ind w:left="620" w:right="140"/>
        <w:spacing w:after="0" w:line="267" w:lineRule="auto"/>
        <w:rPr>
          <w:sz w:val="20"/>
          <w:szCs w:val="20"/>
          <w:color w:val="auto"/>
        </w:rPr>
      </w:pPr>
      <w:r>
        <w:rPr>
          <w:rFonts w:ascii="Times New Roman" w:cs="Times New Roman" w:eastAsia="Times New Roman" w:hAnsi="Times New Roman"/>
          <w:sz w:val="16"/>
          <w:szCs w:val="16"/>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62" w:lineRule="exact"/>
        <w:rPr>
          <w:sz w:val="20"/>
          <w:szCs w:val="20"/>
          <w:color w:val="auto"/>
        </w:rPr>
      </w:pPr>
    </w:p>
    <w:p>
      <w:pPr>
        <w:ind w:left="620" w:right="80"/>
        <w:spacing w:after="0" w:line="260" w:lineRule="auto"/>
        <w:rPr>
          <w:sz w:val="20"/>
          <w:szCs w:val="20"/>
          <w:color w:val="auto"/>
        </w:rPr>
      </w:pPr>
      <w:r>
        <w:rPr>
          <w:rFonts w:ascii="Times New Roman" w:cs="Times New Roman" w:eastAsia="Times New Roman" w:hAnsi="Times New Roman"/>
          <w:sz w:val="16"/>
          <w:szCs w:val="16"/>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67" w:lineRule="exact"/>
        <w:rPr>
          <w:sz w:val="20"/>
          <w:szCs w:val="20"/>
          <w:color w:val="auto"/>
        </w:rPr>
      </w:pPr>
    </w:p>
    <w:p>
      <w:pPr>
        <w:ind w:left="620" w:right="60"/>
        <w:spacing w:after="0" w:line="291" w:lineRule="auto"/>
        <w:rPr>
          <w:sz w:val="20"/>
          <w:szCs w:val="20"/>
          <w:color w:val="auto"/>
        </w:rPr>
      </w:pPr>
      <w:r>
        <w:rPr>
          <w:rFonts w:ascii="Times New Roman" w:cs="Times New Roman" w:eastAsia="Times New Roman" w:hAnsi="Times New Roman"/>
          <w:sz w:val="16"/>
          <w:szCs w:val="16"/>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144</w:t>
      </w:r>
    </w:p>
    <w:p>
      <w:pPr>
        <w:sectPr>
          <w:pgSz w:w="11900" w:h="16838" w:orient="portrait"/>
          <w:cols w:equalWidth="0" w:num="1">
            <w:col w:w="10620"/>
          </w:cols>
          <w:pgMar w:left="320" w:top="452" w:right="959" w:bottom="1440" w:gutter="0" w:footer="0" w:header="0"/>
        </w:sectPr>
      </w:pPr>
    </w:p>
    <w:bookmarkStart w:id="148" w:name="page149"/>
    <w:bookmarkEnd w:id="14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440"/>
        <w:spacing w:after="0" w:line="291" w:lineRule="auto"/>
        <w:rPr>
          <w:sz w:val="20"/>
          <w:szCs w:val="20"/>
          <w:color w:val="auto"/>
        </w:rPr>
      </w:pPr>
      <w:r>
        <w:rPr>
          <w:rFonts w:ascii="Times New Roman" w:cs="Times New Roman" w:eastAsia="Times New Roman" w:hAnsi="Times New Roman"/>
          <w:sz w:val="16"/>
          <w:szCs w:val="16"/>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42" w:lineRule="exact"/>
        <w:rPr>
          <w:sz w:val="20"/>
          <w:szCs w:val="20"/>
          <w:color w:val="auto"/>
        </w:rPr>
      </w:pPr>
    </w:p>
    <w:p>
      <w:pPr>
        <w:ind w:left="620" w:right="80"/>
        <w:spacing w:after="0" w:line="264" w:lineRule="auto"/>
        <w:rPr>
          <w:sz w:val="20"/>
          <w:szCs w:val="20"/>
          <w:color w:val="auto"/>
        </w:rPr>
      </w:pPr>
      <w:r>
        <w:rPr>
          <w:rFonts w:ascii="Times New Roman" w:cs="Times New Roman" w:eastAsia="Times New Roman" w:hAnsi="Times New Roman"/>
          <w:sz w:val="16"/>
          <w:szCs w:val="16"/>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65" w:lineRule="exact"/>
        <w:rPr>
          <w:sz w:val="20"/>
          <w:szCs w:val="20"/>
          <w:color w:val="auto"/>
        </w:rPr>
      </w:pPr>
    </w:p>
    <w:p>
      <w:pPr>
        <w:ind w:left="620" w:right="320"/>
        <w:spacing w:after="0" w:line="273" w:lineRule="auto"/>
        <w:rPr>
          <w:sz w:val="20"/>
          <w:szCs w:val="20"/>
          <w:color w:val="auto"/>
        </w:rPr>
      </w:pPr>
      <w:r>
        <w:rPr>
          <w:rFonts w:ascii="Times New Roman" w:cs="Times New Roman" w:eastAsia="Times New Roman" w:hAnsi="Times New Roman"/>
          <w:sz w:val="16"/>
          <w:szCs w:val="16"/>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57"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16"/>
          <w:szCs w:val="16"/>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57" w:lineRule="exact"/>
        <w:rPr>
          <w:sz w:val="20"/>
          <w:szCs w:val="20"/>
          <w:color w:val="auto"/>
        </w:rPr>
      </w:pPr>
    </w:p>
    <w:p>
      <w:pPr>
        <w:ind w:left="620" w:right="120"/>
        <w:spacing w:after="0" w:line="291" w:lineRule="auto"/>
        <w:rPr>
          <w:sz w:val="20"/>
          <w:szCs w:val="20"/>
          <w:color w:val="auto"/>
        </w:rPr>
      </w:pPr>
      <w:r>
        <w:rPr>
          <w:rFonts w:ascii="Times New Roman" w:cs="Times New Roman" w:eastAsia="Times New Roman" w:hAnsi="Times New Roman"/>
          <w:sz w:val="16"/>
          <w:szCs w:val="16"/>
          <w:color w:val="auto"/>
        </w:rPr>
        <w:t>The underwriters, broker-dealers and agents may engage in transactions with us or the Selling Securityholders, or perform services for us or the Selling Securityholders, in the ordinary course of business.</w:t>
      </w:r>
    </w:p>
    <w:p>
      <w:pPr>
        <w:spacing w:after="0" w:line="142" w:lineRule="exact"/>
        <w:rPr>
          <w:sz w:val="20"/>
          <w:szCs w:val="20"/>
          <w:color w:val="auto"/>
        </w:rPr>
      </w:pPr>
    </w:p>
    <w:p>
      <w:pPr>
        <w:ind w:left="620" w:right="340"/>
        <w:spacing w:after="0" w:line="273" w:lineRule="auto"/>
        <w:rPr>
          <w:sz w:val="20"/>
          <w:szCs w:val="20"/>
          <w:color w:val="auto"/>
        </w:rPr>
      </w:pPr>
      <w:r>
        <w:rPr>
          <w:rFonts w:ascii="Times New Roman" w:cs="Times New Roman" w:eastAsia="Times New Roman" w:hAnsi="Times New Roman"/>
          <w:sz w:val="16"/>
          <w:szCs w:val="16"/>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57" w:lineRule="exact"/>
        <w:rPr>
          <w:sz w:val="20"/>
          <w:szCs w:val="20"/>
          <w:color w:val="auto"/>
        </w:rPr>
      </w:pPr>
    </w:p>
    <w:p>
      <w:pPr>
        <w:ind w:left="620" w:right="20"/>
        <w:spacing w:after="0" w:line="267" w:lineRule="auto"/>
        <w:rPr>
          <w:sz w:val="20"/>
          <w:szCs w:val="20"/>
          <w:color w:val="auto"/>
        </w:rPr>
      </w:pPr>
      <w:r>
        <w:rPr>
          <w:rFonts w:ascii="Times New Roman" w:cs="Times New Roman" w:eastAsia="Times New Roman" w:hAnsi="Times New Roman"/>
          <w:sz w:val="16"/>
          <w:szCs w:val="16"/>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62" w:lineRule="exact"/>
        <w:rPr>
          <w:sz w:val="20"/>
          <w:szCs w:val="20"/>
          <w:color w:val="auto"/>
        </w:rPr>
      </w:pPr>
    </w:p>
    <w:p>
      <w:pPr>
        <w:ind w:left="620" w:right="80"/>
        <w:spacing w:after="0" w:line="291" w:lineRule="auto"/>
        <w:rPr>
          <w:sz w:val="20"/>
          <w:szCs w:val="20"/>
          <w:color w:val="auto"/>
        </w:rPr>
      </w:pPr>
      <w:r>
        <w:rPr>
          <w:rFonts w:ascii="Times New Roman" w:cs="Times New Roman" w:eastAsia="Times New Roman" w:hAnsi="Times New Roman"/>
          <w:sz w:val="16"/>
          <w:szCs w:val="16"/>
          <w:color w:val="auto"/>
        </w:rPr>
        <w:t>We will make copies of this prospectus available to the Selling Securityholders for the purpose of satisfying the prospectus delivery requirements of the Securities Act.</w:t>
      </w:r>
    </w:p>
    <w:p>
      <w:pPr>
        <w:spacing w:after="0" w:line="142" w:lineRule="exact"/>
        <w:rPr>
          <w:sz w:val="20"/>
          <w:szCs w:val="20"/>
          <w:color w:val="auto"/>
        </w:rPr>
      </w:pPr>
    </w:p>
    <w:p>
      <w:pPr>
        <w:ind w:left="620" w:right="40"/>
        <w:spacing w:after="0" w:line="267" w:lineRule="auto"/>
        <w:rPr>
          <w:sz w:val="20"/>
          <w:szCs w:val="20"/>
          <w:color w:val="auto"/>
        </w:rPr>
      </w:pPr>
      <w:r>
        <w:rPr>
          <w:rFonts w:ascii="Times New Roman" w:cs="Times New Roman" w:eastAsia="Times New Roman" w:hAnsi="Times New Roman"/>
          <w:sz w:val="16"/>
          <w:szCs w:val="16"/>
          <w:color w:val="auto"/>
        </w:rPr>
        <w:t>Under the Registration Rights Agreement,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162" w:lineRule="exact"/>
        <w:rPr>
          <w:sz w:val="20"/>
          <w:szCs w:val="20"/>
          <w:color w:val="auto"/>
        </w:rPr>
      </w:pPr>
    </w:p>
    <w:p>
      <w:pPr>
        <w:ind w:left="620" w:right="200"/>
        <w:spacing w:after="0" w:line="267" w:lineRule="auto"/>
        <w:rPr>
          <w:sz w:val="20"/>
          <w:szCs w:val="20"/>
          <w:color w:val="auto"/>
        </w:rPr>
      </w:pPr>
      <w:r>
        <w:rPr>
          <w:rFonts w:ascii="Times New Roman" w:cs="Times New Roman" w:eastAsia="Times New Roman" w:hAnsi="Times New Roman"/>
          <w:sz w:val="16"/>
          <w:szCs w:val="16"/>
          <w:color w:val="auto"/>
        </w:rPr>
        <w:t>Pursuant to each Subscription Agreement, we must use commercially reasonable efforts to keep the registration statement of which this prospectus constitutes a part effective until the earlier of (i) October 15, 2024, (ii) the date on which all shares issued pursuant the Subscription Agreements have been sold, and (iii) the first date on each subscriber named in such Subscription Agreement (“Subscriber”) can sell all of the shares purchased by such Subscriber under such Subscription Agreement (or shares received in exchange therefor, collectively, the</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145</w:t>
      </w:r>
    </w:p>
    <w:p>
      <w:pPr>
        <w:sectPr>
          <w:pgSz w:w="11900" w:h="16838" w:orient="portrait"/>
          <w:cols w:equalWidth="0" w:num="1">
            <w:col w:w="10620"/>
          </w:cols>
          <w:pgMar w:left="320" w:top="453" w:right="959" w:bottom="1440" w:gutter="0" w:footer="0" w:header="0"/>
        </w:sectPr>
      </w:pPr>
    </w:p>
    <w:bookmarkStart w:id="149" w:name="page150"/>
    <w:bookmarkEnd w:id="14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40"/>
        <w:spacing w:after="0" w:line="263" w:lineRule="auto"/>
        <w:rPr>
          <w:sz w:val="20"/>
          <w:szCs w:val="20"/>
          <w:color w:val="auto"/>
        </w:rPr>
      </w:pPr>
      <w:r>
        <w:rPr>
          <w:rFonts w:ascii="Times New Roman" w:cs="Times New Roman" w:eastAsia="Times New Roman" w:hAnsi="Times New Roman"/>
          <w:sz w:val="16"/>
          <w:szCs w:val="16"/>
          <w:color w:val="auto"/>
        </w:rPr>
        <w:t>“Subscribed Shares”) under Rule 144 of the Securities Act without limitation as to the manner of sale or the amount of such securities that may be sold. We must use commercially reasonable efforts to file all reports, and provide all customary and reasonable cooperation, necessary to enable each Subscriber to resell its Subscribed Shares pursuant to the registration statement of which this prospectus constitutes a part (for as long as such registration statement remains effective pursuant to our obligations under such Subscription Agreement) or Rule 144 of the Securities Act (when Rule 144 of the Securities Act becomes available), as applicable, qualify the Subscribed Shares for listing on the applicable stock exchange on which shares of our Class A Common Stock are then-listed, and update or amend such registration statement as necessary to include the Subscribed Shares.</w:t>
      </w:r>
    </w:p>
    <w:p>
      <w:pPr>
        <w:spacing w:after="0" w:line="163"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Additionally, pursuant to the Registration Rights Agreement, we must use our reasonable best efforts to maintain the registration statement of which this prospectus constitutes a part effective, and to be supplemented and amended to the extent necessary to ensure that such registration statement is available or, if not available, that another registration statement is available, for the resale of all registrable securities, until all such securities have ceased to be registrable securities, as described in the Registration Rights Agreement.</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146</w:t>
      </w:r>
    </w:p>
    <w:p>
      <w:pPr>
        <w:sectPr>
          <w:pgSz w:w="11900" w:h="16838" w:orient="portrait"/>
          <w:cols w:equalWidth="0" w:num="1">
            <w:col w:w="10580"/>
          </w:cols>
          <w:pgMar w:left="320" w:top="453" w:right="999" w:bottom="1440" w:gutter="0" w:footer="0" w:header="0"/>
        </w:sectPr>
      </w:pPr>
    </w:p>
    <w:bookmarkStart w:id="150" w:name="page151"/>
    <w:bookmarkEnd w:id="15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212" w:lineRule="exact"/>
        <w:rPr>
          <w:sz w:val="20"/>
          <w:szCs w:val="20"/>
          <w:color w:val="auto"/>
        </w:rPr>
      </w:pPr>
    </w:p>
    <w:p>
      <w:pPr>
        <w:ind w:left="620"/>
        <w:spacing w:after="0" w:line="291" w:lineRule="auto"/>
        <w:rPr>
          <w:sz w:val="20"/>
          <w:szCs w:val="20"/>
          <w:color w:val="auto"/>
        </w:rPr>
      </w:pPr>
      <w:r>
        <w:rPr>
          <w:rFonts w:ascii="Times New Roman" w:cs="Times New Roman" w:eastAsia="Times New Roman" w:hAnsi="Times New Roman"/>
          <w:sz w:val="16"/>
          <w:szCs w:val="16"/>
          <w:color w:val="auto"/>
        </w:rPr>
        <w:t>Wilson Sonsini Goodrich &amp; Rosati, P.C., Austin, Texas, which has acted as our counsel in connection with this offering, will pass upon the validity of our securities being offered by this prospectus.</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147</w:t>
      </w:r>
    </w:p>
    <w:p>
      <w:pPr>
        <w:sectPr>
          <w:pgSz w:w="11900" w:h="16838" w:orient="portrait"/>
          <w:cols w:equalWidth="0" w:num="1">
            <w:col w:w="10400"/>
          </w:cols>
          <w:pgMar w:left="320" w:top="453" w:right="1179" w:bottom="1440" w:gutter="0" w:footer="0" w:header="0"/>
        </w:sectPr>
      </w:pPr>
    </w:p>
    <w:bookmarkStart w:id="151" w:name="page152"/>
    <w:bookmarkEnd w:id="15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EXPERTS</w:t>
      </w:r>
      <w:r>
        <w:rPr>
          <w:rFonts w:ascii="Times New Roman" w:cs="Times New Roman" w:eastAsia="Times New Roman" w:hAnsi="Times New Roman"/>
          <w:sz w:val="23"/>
          <w:szCs w:val="23"/>
          <w:b w:val="1"/>
          <w:bCs w:val="1"/>
          <w:color w:val="auto"/>
          <w:vertAlign w:val="superscript"/>
        </w:rPr>
        <w:t>2</w:t>
      </w:r>
    </w:p>
    <w:p>
      <w:pPr>
        <w:spacing w:after="0" w:line="132" w:lineRule="exact"/>
        <w:rPr>
          <w:sz w:val="20"/>
          <w:szCs w:val="20"/>
          <w:color w:val="auto"/>
        </w:rPr>
      </w:pPr>
    </w:p>
    <w:p>
      <w:pPr>
        <w:jc w:val="both"/>
        <w:ind w:left="620" w:right="100"/>
        <w:spacing w:after="0" w:line="264" w:lineRule="auto"/>
        <w:rPr>
          <w:sz w:val="20"/>
          <w:szCs w:val="20"/>
          <w:color w:val="auto"/>
        </w:rPr>
      </w:pPr>
      <w:r>
        <w:rPr>
          <w:rFonts w:ascii="Times New Roman" w:cs="Times New Roman" w:eastAsia="Times New Roman" w:hAnsi="Times New Roman"/>
          <w:sz w:val="16"/>
          <w:szCs w:val="16"/>
          <w:color w:val="auto"/>
        </w:rPr>
        <w:t>The financial statements of Bakkt Holdings, Inc (f/k/a VIH), as of December 31, 2021 and for the period October 15, 2021 to December 31, 2021 (“the Successor”) and as of December 31, 2020, and for the period January 1, 2021 to October 14, 2021 and the year ended December 31, 2020 (collectively referred to as “the Predecessor”), included in this prospectus have been audited by Ernst &amp; Young LLP, independent registered public accounting firm, as set forth in their report thereon appearing elsewhere in this prospectus, and are included in reliance on such report given on the authority of said firm as experts in accounting and auditing</w:t>
      </w:r>
    </w:p>
    <w:p>
      <w:pPr>
        <w:spacing w:after="0" w:line="165"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The financial statements of VIH, as of December 31, 2020, and for the period from January 1, 2020 through October 14, 2021, included in this prospectus have been audited by WithumSmith+Brown, PC, the Company’s independent registered public accounting firm prior to the business combination, as set forth in their report thereon appearing elsewhere in this prospectus, and are included in reliance on such report given on the authority of said firm as experts in accounting and auditing.</w:t>
      </w:r>
    </w:p>
    <w:p>
      <w:pPr>
        <w:spacing w:after="0" w:line="2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Changes in Registrant’s Certifying Accountant</w:t>
      </w:r>
      <w:r>
        <w:rPr>
          <w:rFonts w:ascii="Times New Roman" w:cs="Times New Roman" w:eastAsia="Times New Roman" w:hAnsi="Times New Roman"/>
          <w:sz w:val="23"/>
          <w:szCs w:val="23"/>
          <w:i w:val="1"/>
          <w:iCs w:val="1"/>
          <w:color w:val="auto"/>
          <w:vertAlign w:val="superscript"/>
        </w:rPr>
        <w:t>3</w:t>
      </w:r>
    </w:p>
    <w:p>
      <w:pPr>
        <w:spacing w:after="0" w:line="40" w:lineRule="exact"/>
        <w:rPr>
          <w:sz w:val="20"/>
          <w:szCs w:val="20"/>
          <w:color w:val="auto"/>
        </w:rPr>
      </w:pPr>
    </w:p>
    <w:p>
      <w:pPr>
        <w:ind w:left="620" w:right="140"/>
        <w:spacing w:after="0" w:line="264" w:lineRule="auto"/>
        <w:rPr>
          <w:sz w:val="20"/>
          <w:szCs w:val="20"/>
          <w:color w:val="auto"/>
        </w:rPr>
      </w:pPr>
      <w:r>
        <w:rPr>
          <w:rFonts w:ascii="Times New Roman" w:cs="Times New Roman" w:eastAsia="Times New Roman" w:hAnsi="Times New Roman"/>
          <w:sz w:val="16"/>
          <w:szCs w:val="16"/>
          <w:color w:val="auto"/>
        </w:rPr>
        <w:t>On October 15, 2021, following the consummation of the Business Combination, our Audit Committee approved the engagement of EY as our independent registered public accounting firm. EY served as the independent registered public accounting firm of Opco prior to the Business Combination. Accordingly, Withum, VIH’s independent registered public accounting firm prior to the Business Combination, was informed that it was replaced by EY as our independent registered public accounting firm.</w:t>
      </w:r>
    </w:p>
    <w:p>
      <w:pPr>
        <w:spacing w:after="0" w:line="163" w:lineRule="exact"/>
        <w:rPr>
          <w:sz w:val="20"/>
          <w:szCs w:val="20"/>
          <w:color w:val="auto"/>
        </w:rPr>
      </w:pPr>
    </w:p>
    <w:p>
      <w:pPr>
        <w:ind w:left="620" w:right="60"/>
        <w:spacing w:after="0" w:line="259" w:lineRule="auto"/>
        <w:rPr>
          <w:sz w:val="20"/>
          <w:szCs w:val="20"/>
          <w:color w:val="auto"/>
        </w:rPr>
      </w:pPr>
      <w:r>
        <w:rPr>
          <w:rFonts w:ascii="Times New Roman" w:cs="Times New Roman" w:eastAsia="Times New Roman" w:hAnsi="Times New Roman"/>
          <w:sz w:val="16"/>
          <w:szCs w:val="16"/>
          <w:color w:val="auto"/>
        </w:rPr>
        <w:t>Withum’s report on VIH’s financial statements as of December 31, 2020, and for the period from July 31, 2020 (inception) through December 31, 2020 and the period from January 1, 2021 through October 14, 2021, and the related statements of operations, changes in shareholders’ equity and cash flows for the period from July 31, 2020 (inception) through December 31, 2020 and the year ended December 31, 2020, and for the period from January 1, 2021 through October 14, 2021, did not contain any adverse opinion or disclaimer of opinion, nor were they qualified or modified as to uncertainty, audit scope or accounting principles, except for VIH’s restatement of its financial statements as described in the Explanatory Note to VIH’s Form</w:t>
      </w:r>
    </w:p>
    <w:p>
      <w:pPr>
        <w:spacing w:after="0" w:line="3" w:lineRule="exact"/>
        <w:rPr>
          <w:sz w:val="20"/>
          <w:szCs w:val="20"/>
          <w:color w:val="auto"/>
        </w:rPr>
      </w:pPr>
    </w:p>
    <w:p>
      <w:pPr>
        <w:ind w:left="620" w:right="300"/>
        <w:spacing w:after="0" w:line="271" w:lineRule="auto"/>
        <w:rPr>
          <w:sz w:val="20"/>
          <w:szCs w:val="20"/>
          <w:color w:val="auto"/>
        </w:rPr>
      </w:pPr>
      <w:r>
        <w:rPr>
          <w:rFonts w:ascii="Times New Roman" w:cs="Times New Roman" w:eastAsia="Times New Roman" w:hAnsi="Times New Roman"/>
          <w:sz w:val="16"/>
          <w:szCs w:val="16"/>
          <w:color w:val="auto"/>
        </w:rPr>
        <w:t>10-K/A, filed with the SEC on December 8, 2021, which resulted from the misapplication in the guidance around accounting for certain outstanding warrants to purchase common stock as of December 31, 2020.</w:t>
      </w:r>
    </w:p>
    <w:p>
      <w:pPr>
        <w:spacing w:after="0" w:line="157" w:lineRule="exact"/>
        <w:rPr>
          <w:sz w:val="20"/>
          <w:szCs w:val="20"/>
          <w:color w:val="auto"/>
        </w:rPr>
      </w:pPr>
    </w:p>
    <w:p>
      <w:pPr>
        <w:ind w:left="620" w:right="60"/>
        <w:spacing w:after="0" w:line="261" w:lineRule="auto"/>
        <w:rPr>
          <w:sz w:val="20"/>
          <w:szCs w:val="20"/>
          <w:color w:val="auto"/>
        </w:rPr>
      </w:pPr>
      <w:r>
        <w:rPr>
          <w:rFonts w:ascii="Times New Roman" w:cs="Times New Roman" w:eastAsia="Times New Roman" w:hAnsi="Times New Roman"/>
          <w:sz w:val="16"/>
          <w:szCs w:val="16"/>
          <w:color w:val="auto"/>
        </w:rPr>
        <w:t>During the period from July 31, 2020 (inception) through December 31, 2020, and the subsequent interim period through October 15, 2021, there were no: (i)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or (ii) reportable events as defined in Item 304(a)(1)(v) of Regulation S-K under the Exchange Act, except that prior to the consummation of the Business Combination and appointment of the Company’s current officers and directors, Withum advised VIH of the following material weakness: a deficiency in VIH’s internal control over financial reporting existed relating related to the accounting for a significant and unusual transaction related to the warrants we issued in connection its initial public offering in September 2020 as of and for the year ended December 31, 2020.</w:t>
      </w:r>
    </w:p>
    <w:p>
      <w:pPr>
        <w:spacing w:after="0" w:line="168" w:lineRule="exact"/>
        <w:rPr>
          <w:sz w:val="20"/>
          <w:szCs w:val="20"/>
          <w:color w:val="auto"/>
        </w:rPr>
      </w:pPr>
    </w:p>
    <w:p>
      <w:pPr>
        <w:ind w:left="620" w:right="80"/>
        <w:spacing w:after="0" w:line="267" w:lineRule="auto"/>
        <w:rPr>
          <w:sz w:val="20"/>
          <w:szCs w:val="20"/>
          <w:color w:val="auto"/>
        </w:rPr>
      </w:pPr>
      <w:r>
        <w:rPr>
          <w:rFonts w:ascii="Times New Roman" w:cs="Times New Roman" w:eastAsia="Times New Roman" w:hAnsi="Times New Roman"/>
          <w:sz w:val="16"/>
          <w:szCs w:val="16"/>
          <w:color w:val="auto"/>
        </w:rPr>
        <w:t>From July 31, 2020 (inception) through October 15, 2021, VIH did not consult EY with respect to either (i) the application of accounting principles to a specified transaction, either completed or proposed; or the type of audit opinion that might be rendered on VIH’s financial statements, and no written report or oral advice was provided to VIH by EY that EY concluded was an important factor considered by VIH in reaching a decision as to the accounting, auditing or financial reporting issue; or (ii) any matter that was either the subject of a disagreement,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66675</wp:posOffset>
            </wp:positionV>
            <wp:extent cx="70040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61" w:lineRule="exact"/>
        <w:rPr>
          <w:sz w:val="20"/>
          <w:szCs w:val="20"/>
          <w:color w:val="auto"/>
        </w:rPr>
      </w:pPr>
    </w:p>
    <w:p>
      <w:pPr>
        <w:ind w:left="820" w:hanging="197"/>
        <w:spacing w:after="0"/>
        <w:tabs>
          <w:tab w:leader="none" w:pos="820" w:val="left"/>
        </w:tabs>
        <w:numPr>
          <w:ilvl w:val="0"/>
          <w:numId w:val="10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NTD: Subject to review by EY and Withum.</w:t>
      </w:r>
    </w:p>
    <w:p>
      <w:pPr>
        <w:ind w:left="820" w:hanging="197"/>
        <w:spacing w:after="0" w:line="181" w:lineRule="auto"/>
        <w:tabs>
          <w:tab w:leader="none" w:pos="820" w:val="left"/>
        </w:tabs>
        <w:numPr>
          <w:ilvl w:val="0"/>
          <w:numId w:val="1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NTD: Subject to review by Withum.</w:t>
      </w:r>
    </w:p>
    <w:p>
      <w:pPr>
        <w:spacing w:after="0" w:line="1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148</w:t>
      </w:r>
    </w:p>
    <w:p>
      <w:pPr>
        <w:sectPr>
          <w:pgSz w:w="11900" w:h="16838" w:orient="portrait"/>
          <w:cols w:equalWidth="0" w:num="1">
            <w:col w:w="10620"/>
          </w:cols>
          <w:pgMar w:left="320" w:top="453" w:right="959" w:bottom="1440" w:gutter="0" w:footer="0" w:header="0"/>
        </w:sectPr>
      </w:pPr>
    </w:p>
    <w:bookmarkStart w:id="152" w:name="page153"/>
    <w:bookmarkEnd w:id="15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80"/>
        <w:spacing w:after="0" w:line="291" w:lineRule="auto"/>
        <w:rPr>
          <w:sz w:val="20"/>
          <w:szCs w:val="20"/>
          <w:color w:val="auto"/>
        </w:rPr>
      </w:pPr>
      <w:r>
        <w:rPr>
          <w:rFonts w:ascii="Times New Roman" w:cs="Times New Roman" w:eastAsia="Times New Roman" w:hAnsi="Times New Roman"/>
          <w:sz w:val="16"/>
          <w:szCs w:val="16"/>
          <w:color w:val="auto"/>
        </w:rPr>
        <w:t>as that term is described in Item 304(a)(1)(iv) of Regulation S-K under the Exchange Act and the related instructions to Item 304 of Regulation S-K under the Exchange Act, or a reportable event, as that term is defined in Item 304(a)(1)(v) of Regulation S-K under the Exchange Act.</w:t>
      </w:r>
    </w:p>
    <w:p>
      <w:pPr>
        <w:spacing w:after="0" w:line="142"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16"/>
          <w:szCs w:val="16"/>
          <w:color w:val="auto"/>
        </w:rPr>
        <w:t>We have provided Withum with a copy of these disclosures and have requested that Withum furnish a letter addressed to the SEC stating whether it agrees with the statements made by us and, if not, stating the respects in which it does not agree. A copy of Withum’s letter dated [·], 2022 is attached as Exhibit 16.1 hereto.</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149</w:t>
      </w:r>
    </w:p>
    <w:p>
      <w:pPr>
        <w:sectPr>
          <w:pgSz w:w="11900" w:h="16838" w:orient="portrait"/>
          <w:cols w:equalWidth="0" w:num="1">
            <w:col w:w="10580"/>
          </w:cols>
          <w:pgMar w:left="320" w:top="453" w:right="999" w:bottom="1440" w:gutter="0" w:footer="0" w:header="0"/>
        </w:sectPr>
      </w:pPr>
    </w:p>
    <w:bookmarkStart w:id="153" w:name="page154"/>
    <w:bookmarkEnd w:id="15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WHERE YOU CAN FIND ADDITIONAL INFORMATION</w:t>
      </w:r>
    </w:p>
    <w:p>
      <w:pPr>
        <w:spacing w:after="0" w:line="212"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color w:val="auto"/>
        </w:rPr>
        <w:t>We have filed with the SEC a registration statement on Form S-1 under the Securities Act that registers the shares of our Class A Common Stock and the Warrants to be offered by this prospectus. This prospectus constitutes only a part of the registration statement. Some items are contained in exhibits to the registration statement as permitted by the rules and regulations of the SEC. For further information with respect to us and our securities, we refer you to the registration statement, including the exhibits filed as a part of the registration statement. Statements contained in this prospectus concerning the contents of any contract or document referred to are not necessarily complete. Each statement in this prospectus relating to a contract or document filed as an exhibit to this registration statement is qualified in all respects by the document filed as an exhibit with this registration statement.</w:t>
      </w:r>
    </w:p>
    <w:p>
      <w:pPr>
        <w:spacing w:after="0" w:line="163" w:lineRule="exact"/>
        <w:rPr>
          <w:sz w:val="20"/>
          <w:szCs w:val="20"/>
          <w:color w:val="auto"/>
        </w:rPr>
      </w:pPr>
    </w:p>
    <w:p>
      <w:pPr>
        <w:ind w:left="620" w:right="20"/>
        <w:spacing w:after="0" w:line="267" w:lineRule="auto"/>
        <w:rPr>
          <w:sz w:val="20"/>
          <w:szCs w:val="20"/>
          <w:color w:val="auto"/>
        </w:rPr>
      </w:pPr>
      <w:r>
        <w:rPr>
          <w:rFonts w:ascii="Times New Roman" w:cs="Times New Roman" w:eastAsia="Times New Roman" w:hAnsi="Times New Roman"/>
          <w:sz w:val="16"/>
          <w:szCs w:val="16"/>
          <w:color w:val="auto"/>
        </w:rPr>
        <w:t xml:space="preserve">We file annual, quarterly and current reports, proxy statements and other information with the SEC. The SEC maintains a website at www.sec.gov that contains reports, proxy and information statements and other information about issuers, like us, that file electronically with the SEC. We make available, free of charge, on our investor relations website at </w:t>
      </w:r>
      <w:r>
        <w:rPr>
          <w:rFonts w:ascii="Times New Roman" w:cs="Times New Roman" w:eastAsia="Times New Roman" w:hAnsi="Times New Roman"/>
          <w:sz w:val="16"/>
          <w:szCs w:val="16"/>
          <w:i w:val="1"/>
          <w:iCs w:val="1"/>
          <w:color w:val="auto"/>
        </w:rPr>
        <w:t>investors.bakkt.com</w:t>
      </w:r>
      <w:r>
        <w:rPr>
          <w:rFonts w:ascii="Times New Roman" w:cs="Times New Roman" w:eastAsia="Times New Roman" w:hAnsi="Times New Roman"/>
          <w:sz w:val="16"/>
          <w:szCs w:val="16"/>
          <w:color w:val="auto"/>
        </w:rPr>
        <w:t xml:space="preserve"> under “</w:t>
      </w:r>
      <w:r>
        <w:rPr>
          <w:rFonts w:ascii="Times New Roman" w:cs="Times New Roman" w:eastAsia="Times New Roman" w:hAnsi="Times New Roman"/>
          <w:sz w:val="16"/>
          <w:szCs w:val="16"/>
          <w:i w:val="1"/>
          <w:iCs w:val="1"/>
          <w:color w:val="auto"/>
        </w:rPr>
        <w:t>Financials—SEC Filings</w:t>
      </w:r>
      <w:r>
        <w:rPr>
          <w:rFonts w:ascii="Times New Roman" w:cs="Times New Roman" w:eastAsia="Times New Roman" w:hAnsi="Times New Roman"/>
          <w:sz w:val="16"/>
          <w:szCs w:val="16"/>
          <w:color w:val="auto"/>
        </w:rPr>
        <w:t>,” the information that we file and furnish to the SEC as soon as reasonably practicable thereafter. Information contained on our website is not a part of or incorporated by reference into this prospectus.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150</w:t>
      </w:r>
    </w:p>
    <w:p>
      <w:pPr>
        <w:sectPr>
          <w:pgSz w:w="11900" w:h="16838" w:orient="portrait"/>
          <w:cols w:equalWidth="0" w:num="1">
            <w:col w:w="10620"/>
          </w:cols>
          <w:pgMar w:left="320" w:top="453" w:right="959" w:bottom="1440" w:gutter="0" w:footer="0" w:header="0"/>
        </w:sectPr>
      </w:pPr>
    </w:p>
    <w:bookmarkStart w:id="154" w:name="page155"/>
    <w:bookmarkEnd w:id="15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208" w:lineRule="exact"/>
        <w:rPr>
          <w:sz w:val="20"/>
          <w:szCs w:val="20"/>
          <w:color w:val="auto"/>
        </w:rPr>
      </w:pPr>
    </w:p>
    <w:p>
      <w:pPr>
        <w:ind w:left="620" w:right="80"/>
        <w:spacing w:after="0" w:line="297" w:lineRule="auto"/>
        <w:rPr>
          <w:sz w:val="20"/>
          <w:szCs w:val="20"/>
          <w:color w:val="auto"/>
        </w:rPr>
      </w:pPr>
      <w:r>
        <w:rPr>
          <w:rFonts w:ascii="Times New Roman" w:cs="Times New Roman" w:eastAsia="Times New Roman" w:hAnsi="Times New Roman"/>
          <w:sz w:val="16"/>
          <w:szCs w:val="16"/>
          <w:b w:val="1"/>
          <w:bCs w:val="1"/>
          <w:color w:val="auto"/>
        </w:rPr>
        <w:t>Audited Consolidated Financial Statements of Bakkt Holdings, Inc. as of December 31, 2021 and 2020 and for years ended December 31, 2021 and 2020</w:t>
      </w:r>
    </w:p>
    <w:p>
      <w:pPr>
        <w:spacing w:after="0" w:line="156" w:lineRule="exact"/>
        <w:rPr>
          <w:sz w:val="20"/>
          <w:szCs w:val="20"/>
          <w:color w:val="auto"/>
        </w:rPr>
      </w:pPr>
    </w:p>
    <w:tbl>
      <w:tblPr>
        <w:tblLayout w:type="fixed"/>
        <w:tblInd w:w="620" w:type="dxa"/>
        <w:tblCellMar>
          <w:top w:w="0" w:type="dxa"/>
          <w:left w:w="0" w:type="dxa"/>
          <w:bottom w:w="0" w:type="dxa"/>
          <w:right w:w="0" w:type="dxa"/>
        </w:tblCellMar>
      </w:tblPr>
      <w:tr>
        <w:trPr>
          <w:trHeight w:val="157"/>
        </w:trPr>
        <w:tc>
          <w:tcPr>
            <w:tcW w:w="9580" w:type="dxa"/>
            <w:vAlign w:val="bottom"/>
            <w:gridSpan w:val="8"/>
            <w:vMerge w:val="restart"/>
          </w:tcPr>
          <w:p>
            <w:pPr>
              <w:spacing w:after="0"/>
              <w:rPr>
                <w:rFonts w:ascii="Times New Roman" w:cs="Times New Roman" w:eastAsia="Times New Roman" w:hAnsi="Times New Roman"/>
                <w:sz w:val="16"/>
                <w:szCs w:val="16"/>
                <w:color w:val="0000EE"/>
              </w:rPr>
            </w:pPr>
            <w:hyperlink w:anchor="page156">
              <w:r>
                <w:rPr>
                  <w:rFonts w:ascii="Times New Roman" w:cs="Times New Roman" w:eastAsia="Times New Roman" w:hAnsi="Times New Roman"/>
                  <w:sz w:val="16"/>
                  <w:szCs w:val="16"/>
                  <w:color w:val="0000EE"/>
                </w:rPr>
                <w:t>Report of Independent Registered Public Accounting Firm (PCAOB ID: 42)</w:t>
              </w:r>
            </w:hyperlink>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52"/>
        </w:trPr>
        <w:tc>
          <w:tcPr>
            <w:tcW w:w="958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tcBorders>
              <w:top w:val="single" w:sz="8" w:color="0000EE"/>
              <w:bottom w:val="single" w:sz="8" w:color="0000EE"/>
            </w:tcBorders>
          </w:tcPr>
          <w:p>
            <w:pPr>
              <w:spacing w:after="0" w:line="176" w:lineRule="exact"/>
              <w:rPr>
                <w:rFonts w:ascii="Times New Roman" w:cs="Times New Roman" w:eastAsia="Times New Roman" w:hAnsi="Times New Roman"/>
                <w:sz w:val="16"/>
                <w:szCs w:val="16"/>
                <w:color w:val="0000EE"/>
              </w:rPr>
            </w:pPr>
            <w:hyperlink w:anchor="page157">
              <w:r>
                <w:rPr>
                  <w:rFonts w:ascii="Times New Roman" w:cs="Times New Roman" w:eastAsia="Times New Roman" w:hAnsi="Times New Roman"/>
                  <w:sz w:val="16"/>
                  <w:szCs w:val="16"/>
                  <w:color w:val="0000EE"/>
                </w:rPr>
                <w:t>Consolidated Balance Sheets</w:t>
              </w:r>
            </w:hyperlink>
          </w:p>
        </w:tc>
        <w:tc>
          <w:tcPr>
            <w:tcW w:w="3080" w:type="dxa"/>
            <w:vAlign w:val="bottom"/>
            <w:tcBorders>
              <w:top w:val="single" w:sz="8" w:color="0000EE"/>
            </w:tcBorders>
            <w:gridSpan w:val="5"/>
          </w:tcPr>
          <w:p>
            <w:pPr>
              <w:spacing w:after="0"/>
              <w:rPr>
                <w:sz w:val="15"/>
                <w:szCs w:val="15"/>
                <w:color w:val="auto"/>
              </w:rPr>
            </w:pPr>
          </w:p>
        </w:tc>
        <w:tc>
          <w:tcPr>
            <w:tcW w:w="4600" w:type="dxa"/>
            <w:vAlign w:val="bottom"/>
            <w:gridSpan w:val="2"/>
          </w:tcPr>
          <w:p>
            <w:pPr>
              <w:spacing w:after="0"/>
              <w:rPr>
                <w:sz w:val="15"/>
                <w:szCs w:val="15"/>
                <w:color w:val="auto"/>
              </w:rPr>
            </w:pPr>
          </w:p>
        </w:tc>
        <w:tc>
          <w:tcPr>
            <w:tcW w:w="4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F-3</w:t>
            </w:r>
          </w:p>
        </w:tc>
        <w:tc>
          <w:tcPr>
            <w:tcW w:w="0" w:type="dxa"/>
            <w:vAlign w:val="bottom"/>
          </w:tcPr>
          <w:p>
            <w:pPr>
              <w:spacing w:after="0"/>
              <w:rPr>
                <w:sz w:val="1"/>
                <w:szCs w:val="1"/>
                <w:color w:val="auto"/>
              </w:rPr>
            </w:pPr>
          </w:p>
        </w:tc>
      </w:tr>
      <w:tr>
        <w:trPr>
          <w:trHeight w:val="176"/>
        </w:trPr>
        <w:tc>
          <w:tcPr>
            <w:tcW w:w="2560" w:type="dxa"/>
            <w:vAlign w:val="bottom"/>
            <w:tcBorders>
              <w:bottom w:val="single" w:sz="8" w:color="0000EE"/>
            </w:tcBorders>
            <w:gridSpan w:val="2"/>
          </w:tcPr>
          <w:p>
            <w:pPr>
              <w:spacing w:after="0" w:line="176" w:lineRule="exact"/>
              <w:rPr>
                <w:rFonts w:ascii="Times New Roman" w:cs="Times New Roman" w:eastAsia="Times New Roman" w:hAnsi="Times New Roman"/>
                <w:sz w:val="16"/>
                <w:szCs w:val="16"/>
                <w:color w:val="0000EE"/>
              </w:rPr>
            </w:pPr>
            <w:hyperlink w:anchor="page158">
              <w:r>
                <w:rPr>
                  <w:rFonts w:ascii="Times New Roman" w:cs="Times New Roman" w:eastAsia="Times New Roman" w:hAnsi="Times New Roman"/>
                  <w:sz w:val="16"/>
                  <w:szCs w:val="16"/>
                  <w:color w:val="0000EE"/>
                </w:rPr>
                <w:t>Consolidated Statements of Operations</w:t>
              </w:r>
            </w:hyperlink>
          </w:p>
        </w:tc>
        <w:tc>
          <w:tcPr>
            <w:tcW w:w="7020" w:type="dxa"/>
            <w:vAlign w:val="bottom"/>
            <w:gridSpan w:val="6"/>
          </w:tcPr>
          <w:p>
            <w:pPr>
              <w:spacing w:after="0"/>
              <w:rPr>
                <w:sz w:val="15"/>
                <w:szCs w:val="15"/>
                <w:color w:val="auto"/>
              </w:rPr>
            </w:pPr>
          </w:p>
        </w:tc>
        <w:tc>
          <w:tcPr>
            <w:tcW w:w="4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F-4</w:t>
            </w:r>
          </w:p>
        </w:tc>
        <w:tc>
          <w:tcPr>
            <w:tcW w:w="0" w:type="dxa"/>
            <w:vAlign w:val="bottom"/>
          </w:tcPr>
          <w:p>
            <w:pPr>
              <w:spacing w:after="0"/>
              <w:rPr>
                <w:sz w:val="1"/>
                <w:szCs w:val="1"/>
                <w:color w:val="auto"/>
              </w:rPr>
            </w:pPr>
          </w:p>
        </w:tc>
      </w:tr>
      <w:tr>
        <w:trPr>
          <w:trHeight w:val="176"/>
        </w:trPr>
        <w:tc>
          <w:tcPr>
            <w:tcW w:w="3220" w:type="dxa"/>
            <w:vAlign w:val="bottom"/>
            <w:tcBorders>
              <w:bottom w:val="single" w:sz="8" w:color="0000EE"/>
            </w:tcBorders>
            <w:gridSpan w:val="5"/>
          </w:tcPr>
          <w:p>
            <w:pPr>
              <w:spacing w:after="0" w:line="176" w:lineRule="exact"/>
              <w:rPr>
                <w:rFonts w:ascii="Times New Roman" w:cs="Times New Roman" w:eastAsia="Times New Roman" w:hAnsi="Times New Roman"/>
                <w:sz w:val="16"/>
                <w:szCs w:val="16"/>
                <w:color w:val="0000EE"/>
              </w:rPr>
            </w:pPr>
            <w:hyperlink w:anchor="page159">
              <w:r>
                <w:rPr>
                  <w:rFonts w:ascii="Times New Roman" w:cs="Times New Roman" w:eastAsia="Times New Roman" w:hAnsi="Times New Roman"/>
                  <w:sz w:val="16"/>
                  <w:szCs w:val="16"/>
                  <w:color w:val="0000EE"/>
                </w:rPr>
                <w:t>Consolidated Statements of Comprehensive Loss</w:t>
              </w:r>
            </w:hyperlink>
          </w:p>
        </w:tc>
        <w:tc>
          <w:tcPr>
            <w:tcW w:w="6360" w:type="dxa"/>
            <w:vAlign w:val="bottom"/>
            <w:gridSpan w:val="3"/>
          </w:tcPr>
          <w:p>
            <w:pPr>
              <w:spacing w:after="0"/>
              <w:rPr>
                <w:sz w:val="15"/>
                <w:szCs w:val="15"/>
                <w:color w:val="auto"/>
              </w:rPr>
            </w:pPr>
          </w:p>
        </w:tc>
        <w:tc>
          <w:tcPr>
            <w:tcW w:w="4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F-5</w:t>
            </w:r>
          </w:p>
        </w:tc>
        <w:tc>
          <w:tcPr>
            <w:tcW w:w="0" w:type="dxa"/>
            <w:vAlign w:val="bottom"/>
          </w:tcPr>
          <w:p>
            <w:pPr>
              <w:spacing w:after="0"/>
              <w:rPr>
                <w:sz w:val="1"/>
                <w:szCs w:val="1"/>
                <w:color w:val="auto"/>
              </w:rPr>
            </w:pPr>
          </w:p>
        </w:tc>
      </w:tr>
      <w:tr>
        <w:trPr>
          <w:trHeight w:val="176"/>
        </w:trPr>
        <w:tc>
          <w:tcPr>
            <w:tcW w:w="9580" w:type="dxa"/>
            <w:vAlign w:val="bottom"/>
            <w:gridSpan w:val="8"/>
          </w:tcPr>
          <w:p>
            <w:pPr>
              <w:spacing w:after="0" w:line="176" w:lineRule="exact"/>
              <w:rPr>
                <w:rFonts w:ascii="Times New Roman" w:cs="Times New Roman" w:eastAsia="Times New Roman" w:hAnsi="Times New Roman"/>
                <w:sz w:val="16"/>
                <w:szCs w:val="16"/>
                <w:color w:val="0000EE"/>
              </w:rPr>
            </w:pPr>
            <w:hyperlink w:anchor="page160">
              <w:r>
                <w:rPr>
                  <w:rFonts w:ascii="Times New Roman" w:cs="Times New Roman" w:eastAsia="Times New Roman" w:hAnsi="Times New Roman"/>
                  <w:sz w:val="16"/>
                  <w:szCs w:val="16"/>
                  <w:color w:val="0000EE"/>
                </w:rPr>
                <w:t>Consolidated Statements of Changes in Stockholders’ Equity and Mezzanine Equity</w:t>
              </w:r>
            </w:hyperlink>
          </w:p>
        </w:tc>
        <w:tc>
          <w:tcPr>
            <w:tcW w:w="4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F-6</w:t>
            </w:r>
          </w:p>
        </w:tc>
        <w:tc>
          <w:tcPr>
            <w:tcW w:w="0" w:type="dxa"/>
            <w:vAlign w:val="bottom"/>
          </w:tcPr>
          <w:p>
            <w:pPr>
              <w:spacing w:after="0"/>
              <w:rPr>
                <w:sz w:val="1"/>
                <w:szCs w:val="1"/>
                <w:color w:val="auto"/>
              </w:rPr>
            </w:pPr>
          </w:p>
        </w:tc>
      </w:tr>
      <w:tr>
        <w:trPr>
          <w:trHeight w:val="176"/>
        </w:trPr>
        <w:tc>
          <w:tcPr>
            <w:tcW w:w="5500" w:type="dxa"/>
            <w:vAlign w:val="bottom"/>
            <w:tcBorders>
              <w:top w:val="single" w:sz="8" w:color="0000EE"/>
            </w:tcBorders>
            <w:gridSpan w:val="7"/>
          </w:tcPr>
          <w:p>
            <w:pPr>
              <w:spacing w:after="0" w:line="176" w:lineRule="exact"/>
              <w:rPr>
                <w:rFonts w:ascii="Times New Roman" w:cs="Times New Roman" w:eastAsia="Times New Roman" w:hAnsi="Times New Roman"/>
                <w:sz w:val="16"/>
                <w:szCs w:val="16"/>
                <w:color w:val="0000EE"/>
              </w:rPr>
            </w:pPr>
            <w:hyperlink w:anchor="page162">
              <w:r>
                <w:rPr>
                  <w:rFonts w:ascii="Times New Roman" w:cs="Times New Roman" w:eastAsia="Times New Roman" w:hAnsi="Times New Roman"/>
                  <w:sz w:val="16"/>
                  <w:szCs w:val="16"/>
                  <w:color w:val="0000EE"/>
                </w:rPr>
                <w:t>Consolidated Statements of Cash Flows</w:t>
              </w:r>
            </w:hyperlink>
          </w:p>
        </w:tc>
        <w:tc>
          <w:tcPr>
            <w:tcW w:w="4080" w:type="dxa"/>
            <w:vAlign w:val="bottom"/>
          </w:tcPr>
          <w:p>
            <w:pPr>
              <w:spacing w:after="0"/>
              <w:rPr>
                <w:sz w:val="15"/>
                <w:szCs w:val="15"/>
                <w:color w:val="auto"/>
              </w:rPr>
            </w:pPr>
          </w:p>
        </w:tc>
        <w:tc>
          <w:tcPr>
            <w:tcW w:w="4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F-8</w:t>
            </w:r>
          </w:p>
        </w:tc>
        <w:tc>
          <w:tcPr>
            <w:tcW w:w="0" w:type="dxa"/>
            <w:vAlign w:val="bottom"/>
          </w:tcPr>
          <w:p>
            <w:pPr>
              <w:spacing w:after="0"/>
              <w:rPr>
                <w:sz w:val="1"/>
                <w:szCs w:val="1"/>
                <w:color w:val="auto"/>
              </w:rPr>
            </w:pPr>
          </w:p>
        </w:tc>
      </w:tr>
      <w:tr>
        <w:trPr>
          <w:trHeight w:val="20"/>
        </w:trPr>
        <w:tc>
          <w:tcPr>
            <w:tcW w:w="26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8"/>
          </w:tcPr>
          <w:p>
            <w:pPr>
              <w:spacing w:after="0" w:line="176" w:lineRule="exact"/>
              <w:rPr>
                <w:rFonts w:ascii="Times New Roman" w:cs="Times New Roman" w:eastAsia="Times New Roman" w:hAnsi="Times New Roman"/>
                <w:sz w:val="16"/>
                <w:szCs w:val="16"/>
                <w:color w:val="0000EE"/>
              </w:rPr>
            </w:pPr>
            <w:hyperlink w:anchor="page164">
              <w:r>
                <w:rPr>
                  <w:rFonts w:ascii="Times New Roman" w:cs="Times New Roman" w:eastAsia="Times New Roman" w:hAnsi="Times New Roman"/>
                  <w:sz w:val="16"/>
                  <w:szCs w:val="16"/>
                  <w:color w:val="0000EE"/>
                </w:rPr>
                <w:t>Notes to the Consolidated Financial Statements</w:t>
              </w:r>
            </w:hyperlink>
          </w:p>
        </w:tc>
        <w:tc>
          <w:tcPr>
            <w:tcW w:w="4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rPr>
              <w:t>F-10</w:t>
            </w:r>
          </w:p>
        </w:tc>
        <w:tc>
          <w:tcPr>
            <w:tcW w:w="0" w:type="dxa"/>
            <w:vAlign w:val="bottom"/>
          </w:tcPr>
          <w:p>
            <w:pPr>
              <w:spacing w:after="0"/>
              <w:rPr>
                <w:sz w:val="1"/>
                <w:szCs w:val="1"/>
                <w:color w:val="auto"/>
              </w:rPr>
            </w:pPr>
          </w:p>
        </w:tc>
      </w:tr>
      <w:tr>
        <w:trPr>
          <w:trHeight w:val="20"/>
        </w:trPr>
        <w:tc>
          <w:tcPr>
            <w:tcW w:w="1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620" w:right="240"/>
        <w:spacing w:after="0" w:line="297" w:lineRule="auto"/>
        <w:rPr>
          <w:sz w:val="20"/>
          <w:szCs w:val="20"/>
          <w:color w:val="auto"/>
        </w:rPr>
      </w:pPr>
      <w:r>
        <w:rPr>
          <w:rFonts w:ascii="Times New Roman" w:cs="Times New Roman" w:eastAsia="Times New Roman" w:hAnsi="Times New Roman"/>
          <w:sz w:val="16"/>
          <w:szCs w:val="16"/>
          <w:b w:val="1"/>
          <w:bCs w:val="1"/>
          <w:color w:val="auto"/>
        </w:rPr>
        <w:t>Audited Financial Statements of Bakkt Holdings, Inc. (f/k/a VPC Impact Acquisition Holdings) as of December 31, 2020 and for the periods from July 31, 2020 (Inception) through December 31, 2020 and from January 1, 2021 through October 14, 2021</w:t>
      </w:r>
    </w:p>
    <w:p>
      <w:pPr>
        <w:spacing w:after="0" w:line="156" w:lineRule="exact"/>
        <w:rPr>
          <w:sz w:val="20"/>
          <w:szCs w:val="20"/>
          <w:color w:val="auto"/>
        </w:rPr>
      </w:pPr>
    </w:p>
    <w:tbl>
      <w:tblPr>
        <w:tblLayout w:type="fixed"/>
        <w:tblInd w:w="620" w:type="dxa"/>
        <w:tblCellMar>
          <w:top w:w="0" w:type="dxa"/>
          <w:left w:w="0" w:type="dxa"/>
          <w:bottom w:w="0" w:type="dxa"/>
          <w:right w:w="0" w:type="dxa"/>
        </w:tblCellMar>
      </w:tblPr>
      <w:tr>
        <w:trPr>
          <w:trHeight w:val="157"/>
        </w:trPr>
        <w:tc>
          <w:tcPr>
            <w:tcW w:w="3840" w:type="dxa"/>
            <w:vAlign w:val="bottom"/>
            <w:gridSpan w:val="5"/>
            <w:vMerge w:val="restart"/>
          </w:tcPr>
          <w:p>
            <w:pPr>
              <w:spacing w:after="0"/>
              <w:rPr>
                <w:rFonts w:ascii="Times New Roman" w:cs="Times New Roman" w:eastAsia="Times New Roman" w:hAnsi="Times New Roman"/>
                <w:sz w:val="16"/>
                <w:szCs w:val="16"/>
                <w:color w:val="0000EE"/>
              </w:rPr>
            </w:pPr>
            <w:hyperlink w:anchor="page211">
              <w:r>
                <w:rPr>
                  <w:rFonts w:ascii="Times New Roman" w:cs="Times New Roman" w:eastAsia="Times New Roman" w:hAnsi="Times New Roman"/>
                  <w:sz w:val="16"/>
                  <w:szCs w:val="16"/>
                  <w:color w:val="0000EE"/>
                </w:rPr>
                <w:t>Report of Independent Registered Public Accounting Firm</w:t>
              </w:r>
            </w:hyperlink>
          </w:p>
        </w:tc>
        <w:tc>
          <w:tcPr>
            <w:tcW w:w="620" w:type="dxa"/>
            <w:vAlign w:val="bottom"/>
            <w:gridSpan w:val="2"/>
            <w:vMerge w:val="restart"/>
          </w:tcPr>
          <w:p>
            <w:pPr>
              <w:spacing w:after="0"/>
              <w:rPr>
                <w:sz w:val="13"/>
                <w:szCs w:val="13"/>
                <w:color w:val="auto"/>
              </w:rPr>
            </w:pPr>
          </w:p>
        </w:tc>
        <w:tc>
          <w:tcPr>
            <w:tcW w:w="512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57"/>
        </w:trPr>
        <w:tc>
          <w:tcPr>
            <w:tcW w:w="3840" w:type="dxa"/>
            <w:vAlign w:val="bottom"/>
            <w:tcBorders>
              <w:bottom w:val="single" w:sz="8" w:color="0000EE"/>
            </w:tcBorders>
            <w:gridSpan w:val="5"/>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5120" w:type="dxa"/>
            <w:vAlign w:val="bottom"/>
          </w:tcPr>
          <w:p>
            <w:pPr>
              <w:spacing w:after="0"/>
              <w:rPr>
                <w:sz w:val="13"/>
                <w:szCs w:val="13"/>
                <w:color w:val="auto"/>
              </w:rPr>
            </w:pPr>
          </w:p>
        </w:tc>
        <w:tc>
          <w:tcPr>
            <w:tcW w:w="380" w:type="dxa"/>
            <w:vAlign w:val="bottom"/>
            <w:tcBorders>
              <w:top w:val="single" w:sz="8" w:color="auto"/>
            </w:tcBorders>
          </w:tcPr>
          <w:p>
            <w:pPr>
              <w:ind w:left="60"/>
              <w:spacing w:after="0" w:line="152" w:lineRule="exact"/>
              <w:rPr>
                <w:sz w:val="20"/>
                <w:szCs w:val="20"/>
                <w:color w:val="auto"/>
              </w:rPr>
            </w:pPr>
            <w:r>
              <w:rPr>
                <w:rFonts w:ascii="Times New Roman" w:cs="Times New Roman" w:eastAsia="Times New Roman" w:hAnsi="Times New Roman"/>
                <w:sz w:val="16"/>
                <w:szCs w:val="16"/>
                <w:color w:val="auto"/>
                <w:w w:val="99"/>
              </w:rPr>
              <w:t>F-57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tcBorders>
              <w:bottom w:val="single" w:sz="8" w:color="0000EE"/>
            </w:tcBorders>
          </w:tcPr>
          <w:p>
            <w:pPr>
              <w:spacing w:after="0" w:line="176" w:lineRule="exact"/>
              <w:rPr>
                <w:rFonts w:ascii="Times New Roman" w:cs="Times New Roman" w:eastAsia="Times New Roman" w:hAnsi="Times New Roman"/>
                <w:sz w:val="16"/>
                <w:szCs w:val="16"/>
                <w:color w:val="0000EE"/>
              </w:rPr>
            </w:pPr>
            <w:hyperlink w:anchor="page212">
              <w:r>
                <w:rPr>
                  <w:rFonts w:ascii="Times New Roman" w:cs="Times New Roman" w:eastAsia="Times New Roman" w:hAnsi="Times New Roman"/>
                  <w:sz w:val="16"/>
                  <w:szCs w:val="16"/>
                  <w:color w:val="0000EE"/>
                </w:rPr>
                <w:t>Consolidated Balance Sheets</w:t>
              </w:r>
            </w:hyperlink>
          </w:p>
        </w:tc>
        <w:tc>
          <w:tcPr>
            <w:tcW w:w="2560" w:type="dxa"/>
            <w:vAlign w:val="bottom"/>
            <w:gridSpan w:val="6"/>
          </w:tcPr>
          <w:p>
            <w:pPr>
              <w:spacing w:after="0"/>
              <w:rPr>
                <w:sz w:val="15"/>
                <w:szCs w:val="15"/>
                <w:color w:val="auto"/>
              </w:rPr>
            </w:pPr>
          </w:p>
        </w:tc>
        <w:tc>
          <w:tcPr>
            <w:tcW w:w="5120" w:type="dxa"/>
            <w:vAlign w:val="bottom"/>
          </w:tcPr>
          <w:p>
            <w:pPr>
              <w:spacing w:after="0"/>
              <w:rPr>
                <w:sz w:val="15"/>
                <w:szCs w:val="15"/>
                <w:color w:val="auto"/>
              </w:rPr>
            </w:pPr>
          </w:p>
        </w:tc>
        <w:tc>
          <w:tcPr>
            <w:tcW w:w="40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6"/>
                <w:szCs w:val="16"/>
                <w:color w:val="auto"/>
              </w:rPr>
              <w:t>F-58</w:t>
            </w:r>
          </w:p>
        </w:tc>
        <w:tc>
          <w:tcPr>
            <w:tcW w:w="0" w:type="dxa"/>
            <w:vAlign w:val="bottom"/>
          </w:tcPr>
          <w:p>
            <w:pPr>
              <w:spacing w:after="0"/>
              <w:rPr>
                <w:sz w:val="1"/>
                <w:szCs w:val="1"/>
                <w:color w:val="auto"/>
              </w:rPr>
            </w:pPr>
          </w:p>
        </w:tc>
      </w:tr>
      <w:tr>
        <w:trPr>
          <w:trHeight w:val="176"/>
        </w:trPr>
        <w:tc>
          <w:tcPr>
            <w:tcW w:w="2560" w:type="dxa"/>
            <w:vAlign w:val="bottom"/>
            <w:tcBorders>
              <w:bottom w:val="single" w:sz="8" w:color="0000EE"/>
            </w:tcBorders>
            <w:gridSpan w:val="2"/>
          </w:tcPr>
          <w:p>
            <w:pPr>
              <w:spacing w:after="0" w:line="176" w:lineRule="exact"/>
              <w:rPr>
                <w:rFonts w:ascii="Times New Roman" w:cs="Times New Roman" w:eastAsia="Times New Roman" w:hAnsi="Times New Roman"/>
                <w:sz w:val="16"/>
                <w:szCs w:val="16"/>
                <w:color w:val="0000EE"/>
              </w:rPr>
            </w:pPr>
            <w:hyperlink w:anchor="page213">
              <w:r>
                <w:rPr>
                  <w:rFonts w:ascii="Times New Roman" w:cs="Times New Roman" w:eastAsia="Times New Roman" w:hAnsi="Times New Roman"/>
                  <w:sz w:val="16"/>
                  <w:szCs w:val="16"/>
                  <w:color w:val="0000EE"/>
                </w:rPr>
                <w:t>Consolidated Statements of Operations</w:t>
              </w:r>
            </w:hyperlink>
          </w:p>
        </w:tc>
        <w:tc>
          <w:tcPr>
            <w:tcW w:w="1900" w:type="dxa"/>
            <w:vAlign w:val="bottom"/>
            <w:gridSpan w:val="5"/>
          </w:tcPr>
          <w:p>
            <w:pPr>
              <w:spacing w:after="0"/>
              <w:rPr>
                <w:sz w:val="15"/>
                <w:szCs w:val="15"/>
                <w:color w:val="auto"/>
              </w:rPr>
            </w:pPr>
          </w:p>
        </w:tc>
        <w:tc>
          <w:tcPr>
            <w:tcW w:w="5120" w:type="dxa"/>
            <w:vAlign w:val="bottom"/>
          </w:tcPr>
          <w:p>
            <w:pPr>
              <w:spacing w:after="0"/>
              <w:rPr>
                <w:sz w:val="15"/>
                <w:szCs w:val="15"/>
                <w:color w:val="auto"/>
              </w:rPr>
            </w:pPr>
          </w:p>
        </w:tc>
        <w:tc>
          <w:tcPr>
            <w:tcW w:w="40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6"/>
                <w:szCs w:val="16"/>
                <w:color w:val="auto"/>
              </w:rPr>
              <w:t>F-59</w:t>
            </w:r>
          </w:p>
        </w:tc>
        <w:tc>
          <w:tcPr>
            <w:tcW w:w="0" w:type="dxa"/>
            <w:vAlign w:val="bottom"/>
          </w:tcPr>
          <w:p>
            <w:pPr>
              <w:spacing w:after="0"/>
              <w:rPr>
                <w:sz w:val="1"/>
                <w:szCs w:val="1"/>
                <w:color w:val="auto"/>
              </w:rPr>
            </w:pPr>
          </w:p>
        </w:tc>
      </w:tr>
      <w:tr>
        <w:trPr>
          <w:trHeight w:val="176"/>
        </w:trPr>
        <w:tc>
          <w:tcPr>
            <w:tcW w:w="4020" w:type="dxa"/>
            <w:vAlign w:val="bottom"/>
            <w:tcBorders>
              <w:bottom w:val="single" w:sz="8" w:color="0000EE"/>
            </w:tcBorders>
            <w:gridSpan w:val="6"/>
          </w:tcPr>
          <w:p>
            <w:pPr>
              <w:spacing w:after="0" w:line="176" w:lineRule="exact"/>
              <w:rPr>
                <w:rFonts w:ascii="Times New Roman" w:cs="Times New Roman" w:eastAsia="Times New Roman" w:hAnsi="Times New Roman"/>
                <w:sz w:val="16"/>
                <w:szCs w:val="16"/>
                <w:color w:val="0000EE"/>
              </w:rPr>
            </w:pPr>
            <w:hyperlink w:anchor="page214">
              <w:r>
                <w:rPr>
                  <w:rFonts w:ascii="Times New Roman" w:cs="Times New Roman" w:eastAsia="Times New Roman" w:hAnsi="Times New Roman"/>
                  <w:sz w:val="16"/>
                  <w:szCs w:val="16"/>
                  <w:color w:val="0000EE"/>
                </w:rPr>
                <w:t>Consolidated Statements of Changes in Shareholders’ Deficit</w:t>
              </w:r>
            </w:hyperlink>
          </w:p>
        </w:tc>
        <w:tc>
          <w:tcPr>
            <w:tcW w:w="4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40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6"/>
                <w:szCs w:val="16"/>
                <w:color w:val="auto"/>
              </w:rPr>
              <w:t>F-60</w:t>
            </w:r>
          </w:p>
        </w:tc>
        <w:tc>
          <w:tcPr>
            <w:tcW w:w="0" w:type="dxa"/>
            <w:vAlign w:val="bottom"/>
          </w:tcPr>
          <w:p>
            <w:pPr>
              <w:spacing w:after="0"/>
              <w:rPr>
                <w:sz w:val="1"/>
                <w:szCs w:val="1"/>
                <w:color w:val="auto"/>
              </w:rPr>
            </w:pPr>
          </w:p>
        </w:tc>
      </w:tr>
      <w:tr>
        <w:trPr>
          <w:trHeight w:val="176"/>
        </w:trPr>
        <w:tc>
          <w:tcPr>
            <w:tcW w:w="4460" w:type="dxa"/>
            <w:vAlign w:val="bottom"/>
            <w:gridSpan w:val="7"/>
          </w:tcPr>
          <w:p>
            <w:pPr>
              <w:spacing w:after="0" w:line="176" w:lineRule="exact"/>
              <w:rPr>
                <w:rFonts w:ascii="Times New Roman" w:cs="Times New Roman" w:eastAsia="Times New Roman" w:hAnsi="Times New Roman"/>
                <w:sz w:val="16"/>
                <w:szCs w:val="16"/>
                <w:color w:val="0000EE"/>
              </w:rPr>
            </w:pPr>
            <w:hyperlink w:anchor="page215">
              <w:r>
                <w:rPr>
                  <w:rFonts w:ascii="Times New Roman" w:cs="Times New Roman" w:eastAsia="Times New Roman" w:hAnsi="Times New Roman"/>
                  <w:sz w:val="16"/>
                  <w:szCs w:val="16"/>
                  <w:color w:val="0000EE"/>
                </w:rPr>
                <w:t>Consolidated Statements of Cash Flows</w:t>
              </w:r>
            </w:hyperlink>
          </w:p>
        </w:tc>
        <w:tc>
          <w:tcPr>
            <w:tcW w:w="5120" w:type="dxa"/>
            <w:vAlign w:val="bottom"/>
          </w:tcPr>
          <w:p>
            <w:pPr>
              <w:spacing w:after="0"/>
              <w:rPr>
                <w:sz w:val="15"/>
                <w:szCs w:val="15"/>
                <w:color w:val="auto"/>
              </w:rPr>
            </w:pPr>
          </w:p>
        </w:tc>
        <w:tc>
          <w:tcPr>
            <w:tcW w:w="40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6"/>
                <w:szCs w:val="16"/>
                <w:color w:val="auto"/>
              </w:rPr>
              <w:t>F-61</w:t>
            </w:r>
          </w:p>
        </w:tc>
        <w:tc>
          <w:tcPr>
            <w:tcW w:w="0" w:type="dxa"/>
            <w:vAlign w:val="bottom"/>
          </w:tcPr>
          <w:p>
            <w:pPr>
              <w:spacing w:after="0"/>
              <w:rPr>
                <w:sz w:val="1"/>
                <w:szCs w:val="1"/>
                <w:color w:val="auto"/>
              </w:rPr>
            </w:pPr>
          </w:p>
        </w:tc>
      </w:tr>
      <w:tr>
        <w:trPr>
          <w:trHeight w:val="20"/>
        </w:trPr>
        <w:tc>
          <w:tcPr>
            <w:tcW w:w="26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60" w:type="dxa"/>
            <w:vAlign w:val="bottom"/>
            <w:gridSpan w:val="7"/>
          </w:tcPr>
          <w:p>
            <w:pPr>
              <w:spacing w:after="0" w:line="176" w:lineRule="exact"/>
              <w:rPr>
                <w:rFonts w:ascii="Times New Roman" w:cs="Times New Roman" w:eastAsia="Times New Roman" w:hAnsi="Times New Roman"/>
                <w:sz w:val="16"/>
                <w:szCs w:val="16"/>
                <w:color w:val="0000EE"/>
              </w:rPr>
            </w:pPr>
            <w:hyperlink w:anchor="page216">
              <w:r>
                <w:rPr>
                  <w:rFonts w:ascii="Times New Roman" w:cs="Times New Roman" w:eastAsia="Times New Roman" w:hAnsi="Times New Roman"/>
                  <w:sz w:val="16"/>
                  <w:szCs w:val="16"/>
                  <w:color w:val="0000EE"/>
                </w:rPr>
                <w:t>Notes to the Consolidated Financial Statements</w:t>
              </w:r>
            </w:hyperlink>
          </w:p>
        </w:tc>
        <w:tc>
          <w:tcPr>
            <w:tcW w:w="5120" w:type="dxa"/>
            <w:vAlign w:val="bottom"/>
          </w:tcPr>
          <w:p>
            <w:pPr>
              <w:spacing w:after="0"/>
              <w:rPr>
                <w:sz w:val="15"/>
                <w:szCs w:val="15"/>
                <w:color w:val="auto"/>
              </w:rPr>
            </w:pPr>
          </w:p>
        </w:tc>
        <w:tc>
          <w:tcPr>
            <w:tcW w:w="40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6"/>
                <w:szCs w:val="16"/>
                <w:color w:val="auto"/>
              </w:rPr>
              <w:t>F-62</w:t>
            </w:r>
          </w:p>
        </w:tc>
        <w:tc>
          <w:tcPr>
            <w:tcW w:w="0" w:type="dxa"/>
            <w:vAlign w:val="bottom"/>
          </w:tcPr>
          <w:p>
            <w:pPr>
              <w:spacing w:after="0"/>
              <w:rPr>
                <w:sz w:val="1"/>
                <w:szCs w:val="1"/>
                <w:color w:val="auto"/>
              </w:rPr>
            </w:pPr>
          </w:p>
        </w:tc>
      </w:tr>
      <w:tr>
        <w:trPr>
          <w:trHeight w:val="347"/>
        </w:trPr>
        <w:tc>
          <w:tcPr>
            <w:tcW w:w="19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bl>
    <w:p>
      <w:pPr>
        <w:sectPr>
          <w:pgSz w:w="11900" w:h="16838" w:orient="portrait"/>
          <w:cols w:equalWidth="0" w:num="1">
            <w:col w:w="10580"/>
          </w:cols>
          <w:pgMar w:left="320" w:top="453" w:right="999" w:bottom="1440" w:gutter="0" w:footer="0" w:header="0"/>
        </w:sectPr>
      </w:pPr>
    </w:p>
    <w:bookmarkStart w:id="155" w:name="page156"/>
    <w:bookmarkEnd w:id="15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To the Stockholders and Board of Directors of Bakkt Holdings, Inc.</w:t>
      </w:r>
    </w:p>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14" w:lineRule="exact"/>
        <w:rPr>
          <w:sz w:val="20"/>
          <w:szCs w:val="20"/>
          <w:color w:val="auto"/>
        </w:rPr>
      </w:pPr>
    </w:p>
    <w:p>
      <w:pPr>
        <w:ind w:left="620" w:right="80" w:firstLine="400"/>
        <w:spacing w:after="0" w:line="260"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 of Bakkt Holdings, Inc. (the Company) as of December 31, 2021, and the related consolidated statements of operations, comprehensive loss, changes in stockholders’ equity and mezzanine equity and cash flows for the period October 15, 2021 to December 31, 2021 (“the Successor”) and the consolidated balance sheet as of December 31, 2020 and the related consolidated statements of operations, comprehensive loss, changes in members’ equity and mezzanine equity and cash flows for the period January 1, 2021 to October 14, 2021 and the year ended December 31, 2020 (collectively referred as “the Predecessor”),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Successor and Predecessor periods, in conformity with U.S. generally accepted accounting principles.</w:t>
      </w:r>
    </w:p>
    <w:p>
      <w:pPr>
        <w:spacing w:after="0" w:line="2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14" w:lineRule="exact"/>
        <w:rPr>
          <w:sz w:val="20"/>
          <w:szCs w:val="20"/>
          <w:color w:val="auto"/>
        </w:rPr>
      </w:pPr>
    </w:p>
    <w:p>
      <w:pPr>
        <w:ind w:left="620" w:right="80" w:firstLine="400"/>
        <w:spacing w:after="0" w:line="267"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left="620" w:firstLine="400"/>
        <w:spacing w:after="0" w:line="264"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5" w:lineRule="exact"/>
        <w:rPr>
          <w:sz w:val="20"/>
          <w:szCs w:val="20"/>
          <w:color w:val="auto"/>
        </w:rPr>
      </w:pPr>
    </w:p>
    <w:p>
      <w:pPr>
        <w:ind w:left="620" w:right="120" w:firstLine="400"/>
        <w:spacing w:after="0" w:line="264"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have served as the Company’s auditor since 2018.</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Atlanta, GA</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March 31, 2022</w:t>
      </w:r>
    </w:p>
    <w:p>
      <w:pPr>
        <w:spacing w:after="0" w:line="1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F-2</w:t>
      </w:r>
    </w:p>
    <w:p>
      <w:pPr>
        <w:sectPr>
          <w:pgSz w:w="11900" w:h="16838" w:orient="portrait"/>
          <w:cols w:equalWidth="0" w:num="1">
            <w:col w:w="10600"/>
          </w:cols>
          <w:pgMar w:left="320" w:top="453" w:right="979" w:bottom="1440" w:gutter="0" w:footer="0" w:header="0"/>
        </w:sectPr>
      </w:pPr>
    </w:p>
    <w:bookmarkStart w:id="156" w:name="page157"/>
    <w:bookmarkEnd w:id="15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Bakkt Holdings, Inc.</w:t>
      </w:r>
    </w:p>
    <w:p>
      <w:pPr>
        <w:spacing w:after="0" w:line="11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1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(in thousands, except unit data)</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7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5"/>
        </w:trPr>
        <w:tc>
          <w:tcPr>
            <w:tcW w:w="7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35"/>
              <w:spacing w:after="0" w:line="105" w:lineRule="exact"/>
              <w:rPr>
                <w:sz w:val="20"/>
                <w:szCs w:val="20"/>
                <w:color w:val="auto"/>
              </w:rPr>
            </w:pPr>
            <w:r>
              <w:rPr>
                <w:rFonts w:ascii="Times New Roman" w:cs="Times New Roman" w:eastAsia="Times New Roman" w:hAnsi="Times New Roman"/>
                <w:sz w:val="12"/>
                <w:szCs w:val="12"/>
                <w:b w:val="1"/>
                <w:bCs w:val="1"/>
                <w:color w:val="auto"/>
              </w:rPr>
              <w:t>As of</w:t>
            </w:r>
          </w:p>
        </w:tc>
        <w:tc>
          <w:tcPr>
            <w:tcW w:w="28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ind w:right="95"/>
              <w:spacing w:after="0" w:line="105" w:lineRule="exact"/>
              <w:rPr>
                <w:sz w:val="20"/>
                <w:szCs w:val="20"/>
                <w:color w:val="auto"/>
              </w:rPr>
            </w:pPr>
            <w:r>
              <w:rPr>
                <w:rFonts w:ascii="Times New Roman" w:cs="Times New Roman" w:eastAsia="Times New Roman" w:hAnsi="Times New Roman"/>
                <w:sz w:val="12"/>
                <w:szCs w:val="12"/>
                <w:b w:val="1"/>
                <w:bCs w:val="1"/>
                <w:color w:val="auto"/>
              </w:rPr>
              <w:t>As of</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77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7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Assets</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7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Assets: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391,364</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75,361</w:t>
            </w: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16,500</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16,500</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Customer funds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551</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18,142</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10,408</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Investment in shares of affiliate stock, current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1,823</w:t>
            </w: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Deposits with clearinghouse, current (affiliate in Predecessor period)</w:t>
            </w:r>
            <w:r>
              <w:rPr>
                <w:rFonts w:ascii="Times New Roman" w:cs="Times New Roman" w:eastAsia="Times New Roman" w:hAnsi="Times New Roman"/>
                <w:sz w:val="9"/>
                <w:szCs w:val="9"/>
                <w:color w:val="auto"/>
              </w:rPr>
              <w:t>(1)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20,200</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Prepaid insurance</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32,206</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78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Other current assets</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4,784</w:t>
            </w:r>
          </w:p>
        </w:tc>
        <w:tc>
          <w:tcPr>
            <w:tcW w:w="28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6,956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Total current assets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463,547</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132,063</w:t>
            </w:r>
          </w:p>
        </w:tc>
        <w:tc>
          <w:tcPr>
            <w:tcW w:w="0" w:type="dxa"/>
            <w:vAlign w:val="bottom"/>
          </w:tcPr>
          <w:p>
            <w:pPr>
              <w:spacing w:after="0"/>
              <w:rPr>
                <w:sz w:val="1"/>
                <w:szCs w:val="1"/>
                <w:color w:val="auto"/>
              </w:rPr>
            </w:pPr>
          </w:p>
        </w:tc>
      </w:tr>
      <w:tr>
        <w:trPr>
          <w:trHeight w:val="135"/>
        </w:trPr>
        <w:tc>
          <w:tcPr>
            <w:tcW w:w="77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equipment and software, net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6,121</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19,957</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1,527,118</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233,429</w:t>
            </w:r>
          </w:p>
        </w:tc>
        <w:tc>
          <w:tcPr>
            <w:tcW w:w="0" w:type="dxa"/>
            <w:vAlign w:val="bottom"/>
          </w:tcPr>
          <w:p>
            <w:pPr>
              <w:spacing w:after="0"/>
              <w:rPr>
                <w:sz w:val="1"/>
                <w:szCs w:val="1"/>
                <w:color w:val="auto"/>
              </w:rPr>
            </w:pPr>
          </w:p>
        </w:tc>
      </w:tr>
      <w:tr>
        <w:trPr>
          <w:trHeight w:val="135"/>
        </w:trPr>
        <w:tc>
          <w:tcPr>
            <w:tcW w:w="77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Intangible assets, net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388,469</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62,199</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Deposits with clearinghouse, noncurrent (affiliate in Predecessor period)</w:t>
            </w:r>
            <w:r>
              <w:rPr>
                <w:rFonts w:ascii="Times New Roman" w:cs="Times New Roman" w:eastAsia="Times New Roman" w:hAnsi="Times New Roman"/>
                <w:sz w:val="9"/>
                <w:szCs w:val="9"/>
                <w:color w:val="auto"/>
              </w:rPr>
              <w:t>(1)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15,151</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15,150</w:t>
            </w:r>
          </w:p>
        </w:tc>
        <w:tc>
          <w:tcPr>
            <w:tcW w:w="0" w:type="dxa"/>
            <w:vAlign w:val="bottom"/>
          </w:tcPr>
          <w:p>
            <w:pPr>
              <w:spacing w:after="0"/>
              <w:rPr>
                <w:sz w:val="1"/>
                <w:szCs w:val="1"/>
                <w:color w:val="auto"/>
              </w:rPr>
            </w:pPr>
          </w:p>
        </w:tc>
      </w:tr>
      <w:tr>
        <w:trPr>
          <w:trHeight w:val="139"/>
        </w:trPr>
        <w:tc>
          <w:tcPr>
            <w:tcW w:w="77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13,879</w:t>
            </w:r>
          </w:p>
        </w:tc>
        <w:tc>
          <w:tcPr>
            <w:tcW w:w="28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5,578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2,414,285</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468,376</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 Stockholders’ Equity and Members’ Equity</w:t>
            </w: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Current liabilities: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Accounts payable and accrued liabilities</w:t>
            </w:r>
          </w:p>
        </w:tc>
        <w:tc>
          <w:tcPr>
            <w:tcW w:w="1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64,090</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42,915</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Customer funds payable</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551</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Deferred revenue, current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4,629</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4,282</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Due to related party (affiliate in Predecessor period)</w:t>
            </w:r>
            <w:r>
              <w:rPr>
                <w:rFonts w:ascii="Times New Roman" w:cs="Times New Roman" w:eastAsia="Times New Roman" w:hAnsi="Times New Roman"/>
                <w:sz w:val="9"/>
                <w:szCs w:val="9"/>
                <w:color w:val="auto"/>
              </w:rPr>
              <w:t>(1)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617</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1,856</w:t>
            </w:r>
          </w:p>
        </w:tc>
        <w:tc>
          <w:tcPr>
            <w:tcW w:w="0" w:type="dxa"/>
            <w:vAlign w:val="bottom"/>
          </w:tcPr>
          <w:p>
            <w:pPr>
              <w:spacing w:after="0"/>
              <w:rPr>
                <w:sz w:val="1"/>
                <w:szCs w:val="1"/>
                <w:color w:val="auto"/>
              </w:rPr>
            </w:pPr>
          </w:p>
        </w:tc>
      </w:tr>
      <w:tr>
        <w:trPr>
          <w:trHeight w:val="139"/>
        </w:trPr>
        <w:tc>
          <w:tcPr>
            <w:tcW w:w="778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Other current liabilities</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3,717</w:t>
            </w:r>
          </w:p>
        </w:tc>
        <w:tc>
          <w:tcPr>
            <w:tcW w:w="28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1,943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Total current liabilities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73,604</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51,077</w:t>
            </w:r>
          </w:p>
        </w:tc>
        <w:tc>
          <w:tcPr>
            <w:tcW w:w="0" w:type="dxa"/>
            <w:vAlign w:val="bottom"/>
          </w:tcPr>
          <w:p>
            <w:pPr>
              <w:spacing w:after="0"/>
              <w:rPr>
                <w:sz w:val="1"/>
                <w:szCs w:val="1"/>
                <w:color w:val="auto"/>
              </w:rPr>
            </w:pPr>
          </w:p>
        </w:tc>
      </w:tr>
      <w:tr>
        <w:trPr>
          <w:trHeight w:val="135"/>
        </w:trPr>
        <w:tc>
          <w:tcPr>
            <w:tcW w:w="77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revenue, noncurrent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4,819</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4,103</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Warrant liability</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17,424</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77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tax liabilities, net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11,593</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12,674</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3,319</w:t>
            </w:r>
          </w:p>
        </w:tc>
        <w:tc>
          <w:tcPr>
            <w:tcW w:w="0" w:type="dxa"/>
            <w:vAlign w:val="bottom"/>
          </w:tcPr>
          <w:p>
            <w:pPr>
              <w:spacing w:after="0"/>
              <w:rPr>
                <w:sz w:val="1"/>
                <w:szCs w:val="1"/>
                <w:color w:val="auto"/>
              </w:rPr>
            </w:pPr>
          </w:p>
        </w:tc>
      </w:tr>
      <w:tr>
        <w:trPr>
          <w:trHeight w:val="139"/>
        </w:trPr>
        <w:tc>
          <w:tcPr>
            <w:tcW w:w="7780" w:type="dxa"/>
            <w:vAlign w:val="bottom"/>
          </w:tcPr>
          <w:p>
            <w:pPr>
              <w:ind w:left="520"/>
              <w:spacing w:after="0" w:line="139" w:lineRule="exact"/>
              <w:rPr>
                <w:sz w:val="20"/>
                <w:szCs w:val="20"/>
                <w:color w:val="auto"/>
              </w:rPr>
            </w:pPr>
            <w:r>
              <w:rPr>
                <w:rFonts w:ascii="Times New Roman" w:cs="Times New Roman" w:eastAsia="Times New Roman" w:hAnsi="Times New Roman"/>
                <w:sz w:val="13"/>
                <w:szCs w:val="13"/>
                <w:color w:val="auto"/>
              </w:rPr>
              <w:t>Total liabilities</w:t>
            </w: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120,114</w:t>
            </w:r>
          </w:p>
        </w:tc>
        <w:tc>
          <w:tcPr>
            <w:tcW w:w="2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58,594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Commitments and Contingencies (Note 14)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Mezzanine equity: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780" w:type="dxa"/>
            <w:vAlign w:val="bottom"/>
            <w:shd w:val="clear" w:color="auto" w:fill="CCEEFF"/>
          </w:tcPr>
          <w:p>
            <w:pPr>
              <w:ind w:left="260"/>
              <w:spacing w:after="0" w:line="115" w:lineRule="exact"/>
              <w:rPr>
                <w:sz w:val="20"/>
                <w:szCs w:val="20"/>
                <w:color w:val="auto"/>
              </w:rPr>
            </w:pPr>
            <w:r>
              <w:rPr>
                <w:rFonts w:ascii="Times New Roman" w:cs="Times New Roman" w:eastAsia="Times New Roman" w:hAnsi="Times New Roman"/>
                <w:sz w:val="13"/>
                <w:szCs w:val="13"/>
                <w:color w:val="auto"/>
              </w:rPr>
              <w:t>Incentive units (156,000,000 authorized, 103,318,325 unvested units and 85,875,000 unvested units issued and outstanding as of December 31,</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2020)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21,452</w:t>
            </w:r>
          </w:p>
        </w:tc>
        <w:tc>
          <w:tcPr>
            <w:tcW w:w="0" w:type="dxa"/>
            <w:vAlign w:val="bottom"/>
          </w:tcPr>
          <w:p>
            <w:pPr>
              <w:spacing w:after="0"/>
              <w:rPr>
                <w:sz w:val="1"/>
                <w:szCs w:val="1"/>
                <w:color w:val="auto"/>
              </w:rPr>
            </w:pPr>
          </w:p>
        </w:tc>
      </w:tr>
      <w:tr>
        <w:trPr>
          <w:trHeight w:val="135"/>
        </w:trPr>
        <w:tc>
          <w:tcPr>
            <w:tcW w:w="77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Class A voting units (413,000,000 units authorized, 400,000,000 units issued and outstanding as of December 31, 2020)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2,613</w:t>
            </w: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Class B voting units (212,500,000 units authorized, 182,500,000 units issued and outstanding as of December 31, 2020)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182,500</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Class B warrant (Note 10)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5,426</w:t>
            </w: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Class C voting units (284,000,000 units authorized, 270,270,270 units issued and outstanding as of December 31, 2020)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310,104</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Class A common stock ($0.0001 par value, 750,000,000 shares authorized, 57,164,388 shares issued and outstanding as of December 31, 2021)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5"/>
        </w:trPr>
        <w:tc>
          <w:tcPr>
            <w:tcW w:w="7780" w:type="dxa"/>
            <w:vAlign w:val="bottom"/>
          </w:tcPr>
          <w:p>
            <w:pPr>
              <w:ind w:left="260"/>
              <w:spacing w:after="0" w:line="115" w:lineRule="exact"/>
              <w:rPr>
                <w:sz w:val="20"/>
                <w:szCs w:val="20"/>
                <w:color w:val="auto"/>
              </w:rPr>
            </w:pPr>
            <w:r>
              <w:rPr>
                <w:rFonts w:ascii="Times New Roman" w:cs="Times New Roman" w:eastAsia="Times New Roman" w:hAnsi="Times New Roman"/>
                <w:sz w:val="13"/>
                <w:szCs w:val="13"/>
                <w:color w:val="auto"/>
              </w:rPr>
              <w:t>Class V common stock ($0.0001 par value, 250,000,000 shares authorized; 206,271,792 shares issued and outstanding as of December 31,</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7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2021)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shd w:val="clear" w:color="auto" w:fill="000000"/>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566,766</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Accumulated deficit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(98,342)</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(112,504)</w:t>
            </w:r>
          </w:p>
        </w:tc>
        <w:tc>
          <w:tcPr>
            <w:tcW w:w="0" w:type="dxa"/>
            <w:vAlign w:val="bottom"/>
          </w:tcPr>
          <w:p>
            <w:pPr>
              <w:spacing w:after="0"/>
              <w:rPr>
                <w:sz w:val="1"/>
                <w:szCs w:val="1"/>
                <w:color w:val="auto"/>
              </w:rPr>
            </w:pPr>
          </w:p>
        </w:tc>
      </w:tr>
      <w:tr>
        <w:trPr>
          <w:trHeight w:val="139"/>
        </w:trPr>
        <w:tc>
          <w:tcPr>
            <w:tcW w:w="7780" w:type="dxa"/>
            <w:vAlign w:val="bottom"/>
          </w:tcPr>
          <w:p>
            <w:pPr>
              <w:ind w:left="520"/>
              <w:spacing w:after="0" w:line="139" w:lineRule="exact"/>
              <w:rPr>
                <w:sz w:val="20"/>
                <w:szCs w:val="20"/>
                <w:color w:val="auto"/>
              </w:rPr>
            </w:pPr>
            <w:r>
              <w:rPr>
                <w:rFonts w:ascii="Times New Roman" w:cs="Times New Roman" w:eastAsia="Times New Roman" w:hAnsi="Times New Roman"/>
                <w:sz w:val="13"/>
                <w:szCs w:val="13"/>
                <w:color w:val="auto"/>
              </w:rPr>
              <w:t>Total stockholders’ equity and members’ equity.</w:t>
            </w: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468,396</w:t>
            </w:r>
          </w:p>
        </w:tc>
        <w:tc>
          <w:tcPr>
            <w:tcW w:w="2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388,330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Noncontrolling interest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1,825,775</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7780" w:type="dxa"/>
            <w:vAlign w:val="bottom"/>
          </w:tcPr>
          <w:p>
            <w:pPr>
              <w:ind w:left="520"/>
              <w:spacing w:after="0" w:line="139" w:lineRule="exact"/>
              <w:rPr>
                <w:sz w:val="20"/>
                <w:szCs w:val="20"/>
                <w:color w:val="auto"/>
              </w:rPr>
            </w:pPr>
            <w:r>
              <w:rPr>
                <w:rFonts w:ascii="Times New Roman" w:cs="Times New Roman" w:eastAsia="Times New Roman" w:hAnsi="Times New Roman"/>
                <w:sz w:val="13"/>
                <w:szCs w:val="13"/>
                <w:color w:val="auto"/>
              </w:rPr>
              <w:t>Total equity</w:t>
            </w: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2,294,171</w:t>
            </w:r>
          </w:p>
        </w:tc>
        <w:tc>
          <w:tcPr>
            <w:tcW w:w="2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388,330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liabilities, stockholders’ equity and members’ equity</w:t>
            </w:r>
          </w:p>
        </w:tc>
        <w:tc>
          <w:tcPr>
            <w:tcW w:w="12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2,414,285</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468,376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20" w:hanging="397"/>
        <w:spacing w:after="0"/>
        <w:tabs>
          <w:tab w:leader="none" w:pos="102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result of the Business Combination (Note 4), ICE and its affiliates are no longer our affiliates. Refer to Note 8 for our related party disclosures.</w:t>
      </w:r>
    </w:p>
    <w:p>
      <w:pPr>
        <w:spacing w:after="0" w:line="85"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4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color w:val="auto"/>
        </w:rPr>
        <w:t>F-3</w:t>
      </w:r>
    </w:p>
    <w:p>
      <w:pPr>
        <w:sectPr>
          <w:pgSz w:w="11900" w:h="16838" w:orient="portrait"/>
          <w:cols w:equalWidth="0" w:num="1">
            <w:col w:w="10620"/>
          </w:cols>
          <w:pgMar w:left="320" w:top="453" w:right="959" w:bottom="1440" w:gutter="0" w:footer="0" w:header="0"/>
        </w:sectPr>
      </w:pPr>
    </w:p>
    <w:bookmarkStart w:id="157" w:name="page158"/>
    <w:bookmarkEnd w:id="15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Bakkt Holdings, Inc.</w:t>
      </w:r>
    </w:p>
    <w:p>
      <w:pPr>
        <w:spacing w:after="0" w:line="11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1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6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jc w:val="center"/>
              <w:ind w:right="239"/>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2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4"/>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42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8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tcBorders>
              <w:top w:val="single" w:sz="8" w:color="auto"/>
            </w:tcBorders>
            <w:gridSpan w:val="3"/>
          </w:tcPr>
          <w:p>
            <w:pPr>
              <w:jc w:val="center"/>
              <w:ind w:right="258"/>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2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2"/>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39"/>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20" w:type="dxa"/>
            <w:vAlign w:val="bottom"/>
            <w:shd w:val="clear" w:color="auto" w:fill="000000"/>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358"/>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20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940" w:type="dxa"/>
            <w:vAlign w:val="bottom"/>
            <w:gridSpan w:val="3"/>
          </w:tcPr>
          <w:p>
            <w:pPr>
              <w:jc w:val="center"/>
              <w:ind w:right="139"/>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shd w:val="clear" w:color="auto" w:fill="000000"/>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3"/>
          </w:tcPr>
          <w:p>
            <w:pPr>
              <w:jc w:val="center"/>
              <w:ind w:right="278"/>
              <w:spacing w:after="0" w:line="135" w:lineRule="exact"/>
              <w:rPr>
                <w:sz w:val="20"/>
                <w:szCs w:val="20"/>
                <w:color w:val="auto"/>
              </w:rPr>
            </w:pPr>
            <w:r>
              <w:rPr>
                <w:rFonts w:ascii="Times New Roman" w:cs="Times New Roman" w:eastAsia="Times New Roman" w:hAnsi="Times New Roman"/>
                <w:sz w:val="13"/>
                <w:szCs w:val="13"/>
                <w:b w:val="1"/>
                <w:bCs w:val="1"/>
                <w:color w:val="auto"/>
              </w:rPr>
              <w:t>October 14,</w:t>
            </w:r>
          </w:p>
        </w:tc>
        <w:tc>
          <w:tcPr>
            <w:tcW w:w="2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64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3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Revenues: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Net revenues (includes related party net revenues of $71 and affiliate net revenues of</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420" w:type="dxa"/>
            <w:vAlign w:val="bottom"/>
          </w:tcPr>
          <w:p>
            <w:pPr>
              <w:ind w:left="500"/>
              <w:spacing w:after="0" w:line="212" w:lineRule="exact"/>
              <w:rPr>
                <w:sz w:val="20"/>
                <w:szCs w:val="20"/>
                <w:color w:val="auto"/>
              </w:rPr>
            </w:pPr>
            <w:r>
              <w:rPr>
                <w:rFonts w:ascii="Times New Roman" w:cs="Times New Roman" w:eastAsia="Times New Roman" w:hAnsi="Times New Roman"/>
                <w:sz w:val="16"/>
                <w:szCs w:val="16"/>
                <w:color w:val="auto"/>
              </w:rPr>
              <w:t>$136 and $(2,007), respectively)</w:t>
            </w:r>
            <w:r>
              <w:rPr>
                <w:rFonts w:ascii="Times New Roman" w:cs="Times New Roman" w:eastAsia="Times New Roman" w:hAnsi="Times New Roman"/>
                <w:sz w:val="23"/>
                <w:szCs w:val="23"/>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11,481</w:t>
            </w: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78"/>
              <w:spacing w:after="0"/>
              <w:rPr>
                <w:sz w:val="20"/>
                <w:szCs w:val="20"/>
                <w:color w:val="auto"/>
              </w:rPr>
            </w:pPr>
            <w:r>
              <w:rPr>
                <w:rFonts w:ascii="Times New Roman" w:cs="Times New Roman" w:eastAsia="Times New Roman" w:hAnsi="Times New Roman"/>
                <w:sz w:val="16"/>
                <w:szCs w:val="16"/>
                <w:color w:val="auto"/>
              </w:rPr>
              <w:t>27,956</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28,495</w:t>
            </w: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80" w:type="dxa"/>
            <w:vAlign w:val="bottom"/>
          </w:tcPr>
          <w:p>
            <w:pPr>
              <w:spacing w:after="0"/>
              <w:rPr>
                <w:sz w:val="17"/>
                <w:szCs w:val="17"/>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62,180</w:t>
            </w:r>
          </w:p>
        </w:tc>
        <w:tc>
          <w:tcPr>
            <w:tcW w:w="2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78"/>
              <w:spacing w:after="0"/>
              <w:rPr>
                <w:sz w:val="20"/>
                <w:szCs w:val="20"/>
                <w:color w:val="auto"/>
              </w:rPr>
            </w:pPr>
            <w:r>
              <w:rPr>
                <w:rFonts w:ascii="Times New Roman" w:cs="Times New Roman" w:eastAsia="Times New Roman" w:hAnsi="Times New Roman"/>
                <w:sz w:val="16"/>
                <w:szCs w:val="16"/>
                <w:color w:val="auto"/>
              </w:rPr>
              <w:t>91,275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43,141</w:t>
            </w: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Professional services</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3,034</w:t>
            </w:r>
          </w:p>
        </w:tc>
        <w:tc>
          <w:tcPr>
            <w:tcW w:w="20" w:type="dxa"/>
            <w:vAlign w:val="bottom"/>
            <w:shd w:val="clear" w:color="auto" w:fill="000000"/>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5,175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5,751</w:t>
            </w:r>
          </w:p>
        </w:tc>
        <w:tc>
          <w:tcPr>
            <w:tcW w:w="0" w:type="dxa"/>
            <w:vAlign w:val="bottom"/>
          </w:tcPr>
          <w:p>
            <w:pPr>
              <w:spacing w:after="0"/>
              <w:rPr>
                <w:sz w:val="1"/>
                <w:szCs w:val="1"/>
                <w:color w:val="auto"/>
              </w:rPr>
            </w:pPr>
          </w:p>
        </w:tc>
      </w:tr>
      <w:tr>
        <w:trPr>
          <w:trHeight w:val="196"/>
        </w:trPr>
        <w:tc>
          <w:tcPr>
            <w:tcW w:w="6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80" w:type="dxa"/>
            <w:vAlign w:val="bottom"/>
          </w:tcPr>
          <w:p>
            <w:pPr>
              <w:spacing w:after="0"/>
              <w:rPr>
                <w:sz w:val="17"/>
                <w:szCs w:val="17"/>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3,056</w:t>
            </w:r>
          </w:p>
        </w:tc>
        <w:tc>
          <w:tcPr>
            <w:tcW w:w="2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78"/>
              <w:spacing w:after="0"/>
              <w:rPr>
                <w:sz w:val="20"/>
                <w:szCs w:val="20"/>
                <w:color w:val="auto"/>
              </w:rPr>
            </w:pPr>
            <w:r>
              <w:rPr>
                <w:rFonts w:ascii="Times New Roman" w:cs="Times New Roman" w:eastAsia="Times New Roman" w:hAnsi="Times New Roman"/>
                <w:sz w:val="16"/>
                <w:szCs w:val="16"/>
                <w:color w:val="auto"/>
              </w:rPr>
              <w:t>10,384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9,741</w:t>
            </w: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8,521</w:t>
            </w:r>
          </w:p>
        </w:tc>
        <w:tc>
          <w:tcPr>
            <w:tcW w:w="20" w:type="dxa"/>
            <w:vAlign w:val="bottom"/>
            <w:shd w:val="clear" w:color="auto" w:fill="000000"/>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20,309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8,219</w:t>
            </w:r>
          </w:p>
        </w:tc>
        <w:tc>
          <w:tcPr>
            <w:tcW w:w="0" w:type="dxa"/>
            <w:vAlign w:val="bottom"/>
          </w:tcPr>
          <w:p>
            <w:pPr>
              <w:spacing w:after="0"/>
              <w:rPr>
                <w:sz w:val="1"/>
                <w:szCs w:val="1"/>
                <w:color w:val="auto"/>
              </w:rPr>
            </w:pPr>
          </w:p>
        </w:tc>
      </w:tr>
      <w:tr>
        <w:trPr>
          <w:trHeight w:val="196"/>
        </w:trPr>
        <w:tc>
          <w:tcPr>
            <w:tcW w:w="6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80" w:type="dxa"/>
            <w:vAlign w:val="bottom"/>
          </w:tcPr>
          <w:p>
            <w:pPr>
              <w:spacing w:after="0"/>
              <w:rPr>
                <w:sz w:val="17"/>
                <w:szCs w:val="17"/>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1,603</w:t>
            </w:r>
          </w:p>
        </w:tc>
        <w:tc>
          <w:tcPr>
            <w:tcW w:w="2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78"/>
              <w:spacing w:after="0"/>
              <w:rPr>
                <w:sz w:val="20"/>
                <w:szCs w:val="20"/>
                <w:color w:val="auto"/>
              </w:rPr>
            </w:pPr>
            <w:r>
              <w:rPr>
                <w:rFonts w:ascii="Times New Roman" w:cs="Times New Roman" w:eastAsia="Times New Roman" w:hAnsi="Times New Roman"/>
                <w:sz w:val="16"/>
                <w:szCs w:val="16"/>
                <w:color w:val="auto"/>
              </w:rPr>
              <w:t>24,793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13,372</w:t>
            </w: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5,422</w:t>
            </w:r>
          </w:p>
        </w:tc>
        <w:tc>
          <w:tcPr>
            <w:tcW w:w="20" w:type="dxa"/>
            <w:vAlign w:val="bottom"/>
            <w:shd w:val="clear" w:color="auto" w:fill="000000"/>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9,620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8,159</w:t>
            </w:r>
          </w:p>
        </w:tc>
        <w:tc>
          <w:tcPr>
            <w:tcW w:w="0" w:type="dxa"/>
            <w:vAlign w:val="bottom"/>
          </w:tcPr>
          <w:p>
            <w:pPr>
              <w:spacing w:after="0"/>
              <w:rPr>
                <w:sz w:val="1"/>
                <w:szCs w:val="1"/>
                <w:color w:val="auto"/>
              </w:rPr>
            </w:pPr>
          </w:p>
        </w:tc>
      </w:tr>
      <w:tr>
        <w:trPr>
          <w:trHeight w:val="196"/>
        </w:trPr>
        <w:tc>
          <w:tcPr>
            <w:tcW w:w="6420" w:type="dxa"/>
            <w:vAlign w:val="bottom"/>
          </w:tcPr>
          <w:p>
            <w:pPr>
              <w:ind w:left="340"/>
              <w:spacing w:after="0" w:line="197" w:lineRule="exact"/>
              <w:rPr>
                <w:sz w:val="20"/>
                <w:szCs w:val="20"/>
                <w:color w:val="auto"/>
              </w:rPr>
            </w:pPr>
            <w:r>
              <w:rPr>
                <w:rFonts w:ascii="Times New Roman" w:cs="Times New Roman" w:eastAsia="Times New Roman" w:hAnsi="Times New Roman"/>
                <w:sz w:val="16"/>
                <w:szCs w:val="16"/>
                <w:color w:val="auto"/>
              </w:rPr>
              <w:t>Related party expenses (affiliate in Predecessor periods)</w:t>
            </w:r>
            <w:r>
              <w:rPr>
                <w:rFonts w:ascii="Times New Roman" w:cs="Times New Roman" w:eastAsia="Times New Roman" w:hAnsi="Times New Roman"/>
                <w:sz w:val="22"/>
                <w:szCs w:val="22"/>
                <w:color w:val="auto"/>
                <w:vertAlign w:val="superscript"/>
              </w:rPr>
              <w:t>(1)</w:t>
            </w:r>
          </w:p>
        </w:tc>
        <w:tc>
          <w:tcPr>
            <w:tcW w:w="80" w:type="dxa"/>
            <w:vAlign w:val="bottom"/>
          </w:tcPr>
          <w:p>
            <w:pPr>
              <w:spacing w:after="0"/>
              <w:rPr>
                <w:sz w:val="17"/>
                <w:szCs w:val="17"/>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617</w:t>
            </w:r>
          </w:p>
        </w:tc>
        <w:tc>
          <w:tcPr>
            <w:tcW w:w="2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78"/>
              <w:spacing w:after="0"/>
              <w:rPr>
                <w:sz w:val="20"/>
                <w:szCs w:val="20"/>
                <w:color w:val="auto"/>
              </w:rPr>
            </w:pPr>
            <w:r>
              <w:rPr>
                <w:rFonts w:ascii="Times New Roman" w:cs="Times New Roman" w:eastAsia="Times New Roman" w:hAnsi="Times New Roman"/>
                <w:sz w:val="16"/>
                <w:szCs w:val="16"/>
                <w:color w:val="auto"/>
              </w:rPr>
              <w:t>1,484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3,082</w:t>
            </w: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1,196</w:t>
            </w:r>
          </w:p>
        </w:tc>
        <w:tc>
          <w:tcPr>
            <w:tcW w:w="20" w:type="dxa"/>
            <w:vAlign w:val="bottom"/>
            <w:shd w:val="clear" w:color="auto" w:fill="000000"/>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3,598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15,292</w:t>
            </w:r>
          </w:p>
        </w:tc>
        <w:tc>
          <w:tcPr>
            <w:tcW w:w="0" w:type="dxa"/>
            <w:vAlign w:val="bottom"/>
          </w:tcPr>
          <w:p>
            <w:pPr>
              <w:spacing w:after="0"/>
              <w:rPr>
                <w:sz w:val="1"/>
                <w:szCs w:val="1"/>
                <w:color w:val="auto"/>
              </w:rPr>
            </w:pPr>
          </w:p>
        </w:tc>
      </w:tr>
      <w:tr>
        <w:trPr>
          <w:trHeight w:val="196"/>
        </w:trPr>
        <w:tc>
          <w:tcPr>
            <w:tcW w:w="6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78"/>
              <w:spacing w:after="0"/>
              <w:rPr>
                <w:sz w:val="20"/>
                <w:szCs w:val="20"/>
                <w:color w:val="auto"/>
              </w:rPr>
            </w:pPr>
            <w:r>
              <w:rPr>
                <w:rFonts w:ascii="Times New Roman" w:cs="Times New Roman" w:eastAsia="Times New Roman" w:hAnsi="Times New Roman"/>
                <w:sz w:val="16"/>
                <w:szCs w:val="16"/>
                <w:color w:val="auto"/>
              </w:rPr>
              <w:t>1,379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25"/>
        </w:trPr>
        <w:tc>
          <w:tcPr>
            <w:tcW w:w="6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86,027</w:t>
            </w: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168,017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107,614</w:t>
            </w:r>
          </w:p>
        </w:tc>
        <w:tc>
          <w:tcPr>
            <w:tcW w:w="0" w:type="dxa"/>
            <w:vAlign w:val="bottom"/>
          </w:tcPr>
          <w:p>
            <w:pPr>
              <w:spacing w:after="0"/>
              <w:rPr>
                <w:sz w:val="1"/>
                <w:szCs w:val="1"/>
                <w:color w:val="auto"/>
              </w:rPr>
            </w:pPr>
          </w:p>
        </w:tc>
      </w:tr>
      <w:tr>
        <w:trPr>
          <w:trHeight w:val="205"/>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(74,546)</w:t>
            </w: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(140,061</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(79,119)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000000"/>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rPr>
              <w:t>(247)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196"/>
        </w:trPr>
        <w:tc>
          <w:tcPr>
            <w:tcW w:w="6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from change in fair value of warrant liability</w:t>
            </w:r>
          </w:p>
        </w:tc>
        <w:tc>
          <w:tcPr>
            <w:tcW w:w="80" w:type="dxa"/>
            <w:vAlign w:val="bottom"/>
          </w:tcPr>
          <w:p>
            <w:pPr>
              <w:spacing w:after="0"/>
              <w:rPr>
                <w:sz w:val="17"/>
                <w:szCs w:val="17"/>
                <w:color w:val="auto"/>
              </w:rPr>
            </w:pPr>
          </w:p>
        </w:tc>
        <w:tc>
          <w:tcPr>
            <w:tcW w:w="8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(79,373)</w:t>
            </w:r>
          </w:p>
        </w:tc>
        <w:tc>
          <w:tcPr>
            <w:tcW w:w="2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832</w:t>
            </w:r>
          </w:p>
        </w:tc>
        <w:tc>
          <w:tcPr>
            <w:tcW w:w="20" w:type="dxa"/>
            <w:vAlign w:val="bottom"/>
            <w:shd w:val="clear" w:color="auto" w:fill="000000"/>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487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01"/>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(153,076)</w:t>
            </w:r>
          </w:p>
        </w:tc>
        <w:tc>
          <w:tcPr>
            <w:tcW w:w="18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(139,821)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(11,751)</w:t>
            </w:r>
          </w:p>
        </w:tc>
        <w:tc>
          <w:tcPr>
            <w:tcW w:w="20" w:type="dxa"/>
            <w:vAlign w:val="bottom"/>
            <w:shd w:val="clear" w:color="auto" w:fill="000000"/>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602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01"/>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(164,827)</w:t>
            </w: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(139,219</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(79,605</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(120,832)</w:t>
            </w:r>
          </w:p>
        </w:tc>
        <w:tc>
          <w:tcPr>
            <w:tcW w:w="20" w:type="dxa"/>
            <w:vAlign w:val="bottom"/>
            <w:shd w:val="clear" w:color="auto" w:fill="000000"/>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Bakkt Holdings, Inc.</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(43,995</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attributable to Bakkt Holdings, Inc.</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Class A common stockholders per share:</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(0.81)</w:t>
            </w:r>
          </w:p>
        </w:tc>
        <w:tc>
          <w:tcPr>
            <w:tcW w:w="20" w:type="dxa"/>
            <w:vAlign w:val="bottom"/>
            <w:shd w:val="clear" w:color="auto" w:fill="000000"/>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020" w:right="740" w:hanging="397"/>
        <w:spacing w:after="0" w:line="265" w:lineRule="auto"/>
        <w:tabs>
          <w:tab w:leader="none" w:pos="10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Business Combination (Note 4), ICE and its affiliates are no longer our affiliates. Refer to Note 8 for our related party disclosures.</w:t>
      </w:r>
    </w:p>
    <w:p>
      <w:pPr>
        <w:spacing w:after="0" w:line="1"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Basic and diluted loss per share is not presented for the Predecessor periods due to lack of comparability with the Successor period.</w:t>
      </w:r>
    </w:p>
    <w:p>
      <w:pPr>
        <w:spacing w:after="0" w:line="19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4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color w:val="auto"/>
        </w:rPr>
        <w:t>F-4</w:t>
      </w:r>
    </w:p>
    <w:p>
      <w:pPr>
        <w:sectPr>
          <w:pgSz w:w="11900" w:h="16838" w:orient="portrait"/>
          <w:cols w:equalWidth="0" w:num="1">
            <w:col w:w="10620"/>
          </w:cols>
          <w:pgMar w:left="320" w:top="453" w:right="959" w:bottom="1440" w:gutter="0" w:footer="0" w:header="0"/>
        </w:sectPr>
      </w:pPr>
    </w:p>
    <w:bookmarkStart w:id="158" w:name="page159"/>
    <w:bookmarkEnd w:id="15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Bakkt Holdings, Inc.</w:t>
      </w:r>
    </w:p>
    <w:p>
      <w:pPr>
        <w:spacing w:after="0" w:line="11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11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5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400" w:type="dxa"/>
            <w:vAlign w:val="bottom"/>
          </w:tcPr>
          <w:p>
            <w:pPr>
              <w:spacing w:after="0" w:line="20" w:lineRule="exact"/>
              <w:rPr>
                <w:sz w:val="1"/>
                <w:szCs w:val="1"/>
                <w:color w:val="auto"/>
              </w:rPr>
            </w:pPr>
          </w:p>
        </w:tc>
        <w:tc>
          <w:tcPr>
            <w:tcW w:w="1280" w:type="dxa"/>
            <w:vAlign w:val="bottom"/>
            <w:gridSpan w:val="4"/>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00" w:type="dxa"/>
            <w:vAlign w:val="bottom"/>
            <w:tcBorders>
              <w:left w:val="single" w:sz="8" w:color="auto"/>
            </w:tcBorders>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80" w:type="dxa"/>
            <w:vAlign w:val="bottom"/>
          </w:tcPr>
          <w:p>
            <w:pPr>
              <w:spacing w:after="0"/>
              <w:rPr>
                <w:sz w:val="9"/>
                <w:szCs w:val="9"/>
                <w:color w:val="auto"/>
              </w:rPr>
            </w:pPr>
          </w:p>
        </w:tc>
        <w:tc>
          <w:tcPr>
            <w:tcW w:w="400" w:type="dxa"/>
            <w:vAlign w:val="bottom"/>
            <w:tcBorders>
              <w:left w:val="single" w:sz="8" w:color="auto"/>
            </w:tcBorders>
          </w:tcPr>
          <w:p>
            <w:pPr>
              <w:spacing w:after="0"/>
              <w:rPr>
                <w:sz w:val="9"/>
                <w:szCs w:val="9"/>
                <w:color w:val="auto"/>
              </w:rPr>
            </w:pPr>
          </w:p>
        </w:tc>
        <w:tc>
          <w:tcPr>
            <w:tcW w:w="900" w:type="dxa"/>
            <w:vAlign w:val="bottom"/>
            <w:tcBorders>
              <w:top w:val="single" w:sz="8" w:color="auto"/>
            </w:tcBorders>
            <w:gridSpan w:val="2"/>
          </w:tcPr>
          <w:p>
            <w:pPr>
              <w:jc w:val="center"/>
              <w:ind w:right="22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26"/>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1"/>
                <w:szCs w:val="11"/>
                <w:color w:val="auto"/>
              </w:rPr>
            </w:pPr>
          </w:p>
        </w:tc>
        <w:tc>
          <w:tcPr>
            <w:tcW w:w="1080" w:type="dxa"/>
            <w:vAlign w:val="bottom"/>
            <w:tcBorders>
              <w:left w:val="single" w:sz="8" w:color="auto"/>
            </w:tcBorders>
            <w:gridSpan w:val="2"/>
          </w:tcPr>
          <w:p>
            <w:pPr>
              <w:jc w:val="center"/>
              <w:ind w:left="306"/>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400" w:type="dxa"/>
            <w:vAlign w:val="bottom"/>
            <w:tcBorders>
              <w:left w:val="single" w:sz="8" w:color="auto"/>
            </w:tcBorders>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16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4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Borders>
              <w:left w:val="single" w:sz="8" w:color="auto"/>
            </w:tcBorders>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16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5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3"/>
                <w:szCs w:val="13"/>
                <w:color w:val="auto"/>
              </w:rPr>
            </w:pPr>
          </w:p>
        </w:tc>
        <w:tc>
          <w:tcPr>
            <w:tcW w:w="1080" w:type="dxa"/>
            <w:vAlign w:val="bottom"/>
            <w:tcBorders>
              <w:left w:val="single" w:sz="8" w:color="auto"/>
            </w:tcBorders>
            <w:gridSpan w:val="2"/>
          </w:tcPr>
          <w:p>
            <w:pPr>
              <w:jc w:val="center"/>
              <w:ind w:left="30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(164,827)</w:t>
            </w:r>
          </w:p>
        </w:tc>
        <w:tc>
          <w:tcPr>
            <w:tcW w:w="1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left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$(139,219)</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(79,605)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Currency translation adjustment, net of tax</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(259)</w:t>
            </w:r>
          </w:p>
        </w:tc>
        <w:tc>
          <w:tcPr>
            <w:tcW w:w="1300" w:type="dxa"/>
            <w:vAlign w:val="bottom"/>
            <w:tcBorders>
              <w:lef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248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(165,086)</w:t>
            </w:r>
          </w:p>
        </w:tc>
        <w:tc>
          <w:tcPr>
            <w:tcW w:w="1300" w:type="dxa"/>
            <w:vAlign w:val="bottom"/>
            <w:tcBorders>
              <w:left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(138,971)</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(79,414)</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w:t>
            </w: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(121,036)</w:t>
            </w:r>
          </w:p>
        </w:tc>
        <w:tc>
          <w:tcPr>
            <w:tcW w:w="400" w:type="dxa"/>
            <w:vAlign w:val="bottom"/>
            <w:tcBorders>
              <w:left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26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00" w:type="dxa"/>
            <w:vAlign w:val="bottom"/>
            <w:tcBorders>
              <w:lef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 attributable to Bakkt Holdings, Inc.</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(44,050)</w:t>
            </w:r>
          </w:p>
        </w:tc>
        <w:tc>
          <w:tcPr>
            <w:tcW w:w="400" w:type="dxa"/>
            <w:vAlign w:val="bottom"/>
            <w:tcBorders>
              <w:lef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4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color w:val="auto"/>
        </w:rPr>
        <w:t>F-5</w:t>
      </w:r>
    </w:p>
    <w:p>
      <w:pPr>
        <w:sectPr>
          <w:pgSz w:w="11900" w:h="16838" w:orient="portrait"/>
          <w:cols w:equalWidth="0" w:num="1">
            <w:col w:w="10620"/>
          </w:cols>
          <w:pgMar w:left="320" w:top="453" w:right="959" w:bottom="1440" w:gutter="0" w:footer="0" w:header="0"/>
        </w:sectPr>
      </w:pPr>
    </w:p>
    <w:bookmarkStart w:id="159" w:name="page160"/>
    <w:bookmarkEnd w:id="15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Bakkt Holdings, Inc.</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 and Mezzanine Equity (Predecessor)</w:t>
      </w:r>
    </w:p>
    <w:p>
      <w:pPr>
        <w:spacing w:after="0" w:line="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212" w:lineRule="exact"/>
        <w:rPr>
          <w:sz w:val="20"/>
          <w:szCs w:val="20"/>
          <w:color w:val="auto"/>
        </w:rPr>
      </w:pPr>
    </w:p>
    <w:tbl>
      <w:tblPr>
        <w:tblLayout w:type="fixed"/>
        <w:tblInd w:w="620" w:type="dxa"/>
        <w:tblCellMar>
          <w:top w:w="0" w:type="dxa"/>
          <w:left w:w="0" w:type="dxa"/>
          <w:bottom w:w="0" w:type="dxa"/>
          <w:right w:w="0" w:type="dxa"/>
        </w:tblCellMar>
      </w:tblPr>
      <w:tr>
        <w:trPr>
          <w:trHeight w:val="126"/>
        </w:trPr>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23"/>
        </w:trPr>
        <w:tc>
          <w:tcPr>
            <w:tcW w:w="1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40" w:type="dxa"/>
            <w:vAlign w:val="bottom"/>
          </w:tcPr>
          <w:p>
            <w:pPr>
              <w:spacing w:after="0"/>
              <w:rPr>
                <w:sz w:val="10"/>
                <w:szCs w:val="10"/>
                <w:color w:val="auto"/>
              </w:rPr>
            </w:pPr>
          </w:p>
        </w:tc>
        <w:tc>
          <w:tcPr>
            <w:tcW w:w="68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ind w:left="60"/>
              <w:spacing w:after="0" w:line="123"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23"/>
        </w:trPr>
        <w:tc>
          <w:tcPr>
            <w:tcW w:w="1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tcPr>
          <w:p>
            <w:pPr>
              <w:jc w:val="center"/>
              <w:ind w:right="60"/>
              <w:spacing w:after="0" w:line="123" w:lineRule="exact"/>
              <w:rPr>
                <w:sz w:val="20"/>
                <w:szCs w:val="20"/>
                <w:color w:val="auto"/>
              </w:rPr>
            </w:pPr>
            <w:r>
              <w:rPr>
                <w:rFonts w:ascii="Times New Roman" w:cs="Times New Roman" w:eastAsia="Times New Roman" w:hAnsi="Times New Roman"/>
                <w:sz w:val="11"/>
                <w:szCs w:val="11"/>
                <w:b w:val="1"/>
                <w:bCs w:val="1"/>
                <w:color w:val="auto"/>
              </w:rPr>
              <w:t>Class B</w:t>
            </w:r>
          </w:p>
        </w:tc>
        <w:tc>
          <w:tcPr>
            <w:tcW w:w="1100" w:type="dxa"/>
            <w:vAlign w:val="bottom"/>
            <w:gridSpan w:val="5"/>
          </w:tcPr>
          <w:p>
            <w:pPr>
              <w:ind w:left="320"/>
              <w:spacing w:after="0" w:line="123" w:lineRule="exact"/>
              <w:rPr>
                <w:sz w:val="20"/>
                <w:szCs w:val="20"/>
                <w:color w:val="auto"/>
              </w:rPr>
            </w:pPr>
            <w:r>
              <w:rPr>
                <w:rFonts w:ascii="Times New Roman" w:cs="Times New Roman" w:eastAsia="Times New Roman" w:hAnsi="Times New Roman"/>
                <w:sz w:val="11"/>
                <w:szCs w:val="11"/>
                <w:b w:val="1"/>
                <w:bCs w:val="1"/>
                <w:color w:val="auto"/>
              </w:rPr>
              <w:t>Class B</w:t>
            </w:r>
          </w:p>
        </w:tc>
        <w:tc>
          <w:tcPr>
            <w:tcW w:w="1340" w:type="dxa"/>
            <w:vAlign w:val="bottom"/>
            <w:gridSpan w:val="4"/>
          </w:tcPr>
          <w:p>
            <w:pPr>
              <w:ind w:left="460"/>
              <w:spacing w:after="0" w:line="123" w:lineRule="exact"/>
              <w:rPr>
                <w:sz w:val="20"/>
                <w:szCs w:val="20"/>
                <w:color w:val="auto"/>
              </w:rPr>
            </w:pPr>
            <w:r>
              <w:rPr>
                <w:rFonts w:ascii="Times New Roman" w:cs="Times New Roman" w:eastAsia="Times New Roman" w:hAnsi="Times New Roman"/>
                <w:sz w:val="11"/>
                <w:szCs w:val="11"/>
                <w:b w:val="1"/>
                <w:bCs w:val="1"/>
                <w:color w:val="auto"/>
              </w:rPr>
              <w:t>Class C</w:t>
            </w:r>
          </w:p>
        </w:tc>
        <w:tc>
          <w:tcPr>
            <w:tcW w:w="900" w:type="dxa"/>
            <w:vAlign w:val="bottom"/>
            <w:gridSpan w:val="4"/>
          </w:tcPr>
          <w:p>
            <w:pPr>
              <w:ind w:left="240"/>
              <w:spacing w:after="0" w:line="123" w:lineRule="exact"/>
              <w:rPr>
                <w:sz w:val="20"/>
                <w:szCs w:val="20"/>
                <w:color w:val="auto"/>
              </w:rPr>
            </w:pPr>
            <w:r>
              <w:rPr>
                <w:rFonts w:ascii="Times New Roman" w:cs="Times New Roman" w:eastAsia="Times New Roman" w:hAnsi="Times New Roman"/>
                <w:sz w:val="11"/>
                <w:szCs w:val="11"/>
                <w:b w:val="1"/>
                <w:bCs w:val="1"/>
                <w:color w:val="auto"/>
              </w:rPr>
              <w:t>Class C</w:t>
            </w:r>
          </w:p>
        </w:tc>
        <w:tc>
          <w:tcPr>
            <w:tcW w:w="780" w:type="dxa"/>
            <w:vAlign w:val="bottom"/>
            <w:gridSpan w:val="3"/>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0" w:type="dxa"/>
            <w:vAlign w:val="bottom"/>
            <w:gridSpan w:val="3"/>
          </w:tcPr>
          <w:p>
            <w:pPr>
              <w:jc w:val="center"/>
              <w:ind w:right="40"/>
              <w:spacing w:after="0" w:line="12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40" w:type="dxa"/>
            <w:vAlign w:val="bottom"/>
          </w:tcPr>
          <w:p>
            <w:pPr>
              <w:spacing w:after="0"/>
              <w:rPr>
                <w:sz w:val="10"/>
                <w:szCs w:val="10"/>
                <w:color w:val="auto"/>
              </w:rPr>
            </w:pPr>
          </w:p>
        </w:tc>
        <w:tc>
          <w:tcPr>
            <w:tcW w:w="680" w:type="dxa"/>
            <w:vAlign w:val="bottom"/>
            <w:gridSpan w:val="2"/>
          </w:tcPr>
          <w:p>
            <w:pPr>
              <w:jc w:val="center"/>
              <w:ind w:right="140"/>
              <w:spacing w:after="0" w:line="123" w:lineRule="exact"/>
              <w:rPr>
                <w:sz w:val="20"/>
                <w:szCs w:val="20"/>
                <w:color w:val="auto"/>
              </w:rPr>
            </w:pPr>
            <w:r>
              <w:rPr>
                <w:rFonts w:ascii="Times New Roman" w:cs="Times New Roman" w:eastAsia="Times New Roman" w:hAnsi="Times New Roman"/>
                <w:sz w:val="11"/>
                <w:szCs w:val="11"/>
                <w:b w:val="1"/>
                <w:bCs w:val="1"/>
                <w:color w:val="auto"/>
              </w:rPr>
              <w:t>Member’s</w:t>
            </w:r>
          </w:p>
        </w:tc>
        <w:tc>
          <w:tcPr>
            <w:tcW w:w="820" w:type="dxa"/>
            <w:vAlign w:val="bottom"/>
            <w:gridSpan w:val="4"/>
          </w:tcPr>
          <w:p>
            <w:pPr>
              <w:jc w:val="center"/>
              <w:ind w:right="40"/>
              <w:spacing w:after="0" w:line="123"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54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1"/>
                <w:szCs w:val="11"/>
                <w:b w:val="1"/>
                <w:bCs w:val="1"/>
                <w:color w:val="auto"/>
              </w:rPr>
              <w:t>Mezzanine</w:t>
            </w:r>
          </w:p>
        </w:tc>
      </w:tr>
      <w:tr>
        <w:trPr>
          <w:trHeight w:val="140"/>
        </w:trPr>
        <w:tc>
          <w:tcPr>
            <w:tcW w:w="1160" w:type="dxa"/>
            <w:vAlign w:val="bottom"/>
          </w:tcPr>
          <w:p>
            <w:pPr>
              <w:spacing w:after="0"/>
              <w:rPr>
                <w:sz w:val="12"/>
                <w:szCs w:val="12"/>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Class A Voting Units</w:t>
            </w:r>
          </w:p>
        </w:tc>
        <w:tc>
          <w:tcPr>
            <w:tcW w:w="134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Voting Units</w:t>
            </w:r>
          </w:p>
        </w:tc>
        <w:tc>
          <w:tcPr>
            <w:tcW w:w="110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Warrant</w:t>
            </w:r>
          </w:p>
        </w:tc>
        <w:tc>
          <w:tcPr>
            <w:tcW w:w="1340" w:type="dxa"/>
            <w:vAlign w:val="bottom"/>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Voting Units</w:t>
            </w:r>
          </w:p>
        </w:tc>
        <w:tc>
          <w:tcPr>
            <w:tcW w:w="900" w:type="dxa"/>
            <w:vAlign w:val="bottom"/>
            <w:gridSpan w:val="4"/>
          </w:tcPr>
          <w:p>
            <w:pPr>
              <w:ind w:left="200"/>
              <w:spacing w:after="0"/>
              <w:rPr>
                <w:sz w:val="20"/>
                <w:szCs w:val="20"/>
                <w:color w:val="auto"/>
              </w:rPr>
            </w:pPr>
            <w:r>
              <w:rPr>
                <w:rFonts w:ascii="Times New Roman" w:cs="Times New Roman" w:eastAsia="Times New Roman" w:hAnsi="Times New Roman"/>
                <w:sz w:val="11"/>
                <w:szCs w:val="11"/>
                <w:b w:val="1"/>
                <w:bCs w:val="1"/>
                <w:color w:val="auto"/>
              </w:rPr>
              <w:t>Warrant</w:t>
            </w:r>
          </w:p>
        </w:tc>
        <w:tc>
          <w:tcPr>
            <w:tcW w:w="120" w:type="dxa"/>
            <w:vAlign w:val="bottom"/>
          </w:tcPr>
          <w:p>
            <w:pPr>
              <w:spacing w:after="0"/>
              <w:rPr>
                <w:sz w:val="12"/>
                <w:szCs w:val="12"/>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40" w:type="dxa"/>
            <w:vAlign w:val="bottom"/>
          </w:tcPr>
          <w:p>
            <w:pPr>
              <w:spacing w:after="0"/>
              <w:rPr>
                <w:sz w:val="12"/>
                <w:szCs w:val="12"/>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60" w:type="dxa"/>
            <w:vAlign w:val="bottom"/>
          </w:tcPr>
          <w:p>
            <w:pPr>
              <w:spacing w:after="0"/>
              <w:rPr>
                <w:sz w:val="12"/>
                <w:szCs w:val="12"/>
                <w:color w:val="auto"/>
              </w:rPr>
            </w:pPr>
          </w:p>
        </w:tc>
        <w:tc>
          <w:tcPr>
            <w:tcW w:w="56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27"/>
        </w:trPr>
        <w:tc>
          <w:tcPr>
            <w:tcW w:w="1160" w:type="dxa"/>
            <w:vAlign w:val="bottom"/>
          </w:tcPr>
          <w:p>
            <w:pPr>
              <w:spacing w:after="0"/>
              <w:rPr>
                <w:sz w:val="11"/>
                <w:szCs w:val="11"/>
                <w:color w:val="auto"/>
              </w:rPr>
            </w:pPr>
          </w:p>
        </w:tc>
        <w:tc>
          <w:tcPr>
            <w:tcW w:w="7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440" w:type="dxa"/>
            <w:vAlign w:val="bottom"/>
            <w:tcBorders>
              <w:top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7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580" w:type="dxa"/>
            <w:vAlign w:val="bottom"/>
            <w:tcBorders>
              <w:top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1"/>
                <w:szCs w:val="11"/>
                <w:color w:val="auto"/>
              </w:rPr>
            </w:pP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95"/>
              </w:rPr>
              <w:t>Warrants</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7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5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1"/>
                <w:szCs w:val="11"/>
                <w:color w:val="auto"/>
              </w:rPr>
            </w:pP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95"/>
              </w:rPr>
              <w:t>Warrants</w:t>
            </w:r>
          </w:p>
        </w:tc>
        <w:tc>
          <w:tcPr>
            <w:tcW w:w="340" w:type="dxa"/>
            <w:vAlign w:val="bottom"/>
            <w:tcBorders>
              <w:top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Units</w:t>
            </w:r>
          </w:p>
        </w:tc>
        <w:tc>
          <w:tcPr>
            <w:tcW w:w="520" w:type="dxa"/>
            <w:vAlign w:val="bottom"/>
            <w:tcBorders>
              <w:top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r>
      <w:tr>
        <w:trPr>
          <w:trHeight w:val="95"/>
        </w:trPr>
        <w:tc>
          <w:tcPr>
            <w:tcW w:w="116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auto"/>
              </w:rPr>
              <w:t>Balance as of</w:t>
            </w: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r>
      <w:tr>
        <w:trPr>
          <w:trHeight w:val="135"/>
        </w:trPr>
        <w:tc>
          <w:tcPr>
            <w:tcW w:w="11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December 31,</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55"/>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2019</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5"/>
              </w:rPr>
              <w:t>400,000,000</w:t>
            </w: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$1,916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182,500,000</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$182,500</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(32,899)</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$ 151,517</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$ 10,515</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10,515</w:t>
            </w:r>
          </w:p>
        </w:tc>
      </w:tr>
      <w:tr>
        <w:trPr>
          <w:trHeight w:val="115"/>
        </w:trPr>
        <w:tc>
          <w:tcPr>
            <w:tcW w:w="1160" w:type="dxa"/>
            <w:vAlign w:val="bottom"/>
          </w:tcPr>
          <w:p>
            <w:pPr>
              <w:ind w:left="260"/>
              <w:spacing w:after="0" w:line="115" w:lineRule="exact"/>
              <w:rPr>
                <w:sz w:val="20"/>
                <w:szCs w:val="20"/>
                <w:color w:val="auto"/>
              </w:rPr>
            </w:pPr>
            <w:r>
              <w:rPr>
                <w:rFonts w:ascii="Times New Roman" w:cs="Times New Roman" w:eastAsia="Times New Roman" w:hAnsi="Times New Roman"/>
                <w:sz w:val="13"/>
                <w:szCs w:val="13"/>
                <w:color w:val="auto"/>
              </w:rPr>
              <w:t>Issuance of</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Class A</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voting units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5"/>
        </w:trPr>
        <w:tc>
          <w:tcPr>
            <w:tcW w:w="11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(Note 10)</w:t>
            </w:r>
          </w:p>
        </w:tc>
        <w:tc>
          <w:tcPr>
            <w:tcW w:w="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81"/>
              </w:rPr>
              <w:t>697</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12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r>
      <w:tr>
        <w:trPr>
          <w:trHeight w:val="115"/>
        </w:trPr>
        <w:tc>
          <w:tcPr>
            <w:tcW w:w="1160" w:type="dxa"/>
            <w:vAlign w:val="bottom"/>
            <w:shd w:val="clear" w:color="auto" w:fill="CCEEFF"/>
          </w:tcPr>
          <w:p>
            <w:pPr>
              <w:ind w:left="260"/>
              <w:spacing w:after="0" w:line="115" w:lineRule="exact"/>
              <w:rPr>
                <w:sz w:val="20"/>
                <w:szCs w:val="20"/>
                <w:color w:val="auto"/>
              </w:rPr>
            </w:pPr>
            <w:r>
              <w:rPr>
                <w:rFonts w:ascii="Times New Roman" w:cs="Times New Roman" w:eastAsia="Times New Roman" w:hAnsi="Times New Roman"/>
                <w:sz w:val="13"/>
                <w:szCs w:val="13"/>
                <w:color w:val="auto"/>
              </w:rPr>
              <w:t>Issuance of</w:t>
            </w: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Class B</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warrant (Note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55"/>
        </w:trPr>
        <w:tc>
          <w:tcPr>
            <w:tcW w:w="1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10)</w:t>
            </w: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5,426</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5,426</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r>
      <w:tr>
        <w:trPr>
          <w:trHeight w:val="115"/>
        </w:trPr>
        <w:tc>
          <w:tcPr>
            <w:tcW w:w="1160" w:type="dxa"/>
            <w:vAlign w:val="bottom"/>
          </w:tcPr>
          <w:p>
            <w:pPr>
              <w:ind w:left="260"/>
              <w:spacing w:after="0" w:line="115" w:lineRule="exact"/>
              <w:rPr>
                <w:sz w:val="20"/>
                <w:szCs w:val="20"/>
                <w:color w:val="auto"/>
              </w:rPr>
            </w:pPr>
            <w:r>
              <w:rPr>
                <w:rFonts w:ascii="Times New Roman" w:cs="Times New Roman" w:eastAsia="Times New Roman" w:hAnsi="Times New Roman"/>
                <w:sz w:val="13"/>
                <w:szCs w:val="13"/>
                <w:color w:val="auto"/>
              </w:rPr>
              <w:t>Unit-based</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incentive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5"/>
        </w:trPr>
        <w:tc>
          <w:tcPr>
            <w:tcW w:w="11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(Note 11)</w:t>
            </w:r>
          </w:p>
        </w:tc>
        <w:tc>
          <w:tcPr>
            <w:tcW w:w="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10,937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10,937</w:t>
            </w:r>
          </w:p>
        </w:tc>
      </w:tr>
      <w:tr>
        <w:trPr>
          <w:trHeight w:val="115"/>
        </w:trPr>
        <w:tc>
          <w:tcPr>
            <w:tcW w:w="1160" w:type="dxa"/>
            <w:vAlign w:val="bottom"/>
            <w:shd w:val="clear" w:color="auto" w:fill="CCEEFF"/>
          </w:tcPr>
          <w:p>
            <w:pPr>
              <w:ind w:left="260"/>
              <w:spacing w:after="0" w:line="115" w:lineRule="exact"/>
              <w:rPr>
                <w:sz w:val="20"/>
                <w:szCs w:val="20"/>
                <w:color w:val="auto"/>
              </w:rPr>
            </w:pPr>
            <w:r>
              <w:rPr>
                <w:rFonts w:ascii="Times New Roman" w:cs="Times New Roman" w:eastAsia="Times New Roman" w:hAnsi="Times New Roman"/>
                <w:sz w:val="13"/>
                <w:szCs w:val="13"/>
                <w:color w:val="auto"/>
              </w:rPr>
              <w:t>Issuance of</w:t>
            </w: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Class C</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55"/>
        </w:trPr>
        <w:tc>
          <w:tcPr>
            <w:tcW w:w="1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voting units</w:t>
            </w: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270,270,270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300,000</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300,000</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r>
      <w:tr>
        <w:trPr>
          <w:trHeight w:val="115"/>
        </w:trPr>
        <w:tc>
          <w:tcPr>
            <w:tcW w:w="1160" w:type="dxa"/>
            <w:vAlign w:val="bottom"/>
          </w:tcPr>
          <w:p>
            <w:pPr>
              <w:ind w:left="260"/>
              <w:spacing w:after="0" w:line="115" w:lineRule="exact"/>
              <w:rPr>
                <w:sz w:val="20"/>
                <w:szCs w:val="20"/>
                <w:color w:val="auto"/>
              </w:rPr>
            </w:pPr>
            <w:r>
              <w:rPr>
                <w:rFonts w:ascii="Times New Roman" w:cs="Times New Roman" w:eastAsia="Times New Roman" w:hAnsi="Times New Roman"/>
                <w:sz w:val="13"/>
                <w:szCs w:val="13"/>
                <w:color w:val="auto"/>
              </w:rPr>
              <w:t>Pushdown</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accounting</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resulting</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from Bridge2</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Solutions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acquisition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5"/>
        </w:trPr>
        <w:tc>
          <w:tcPr>
            <w:tcW w:w="11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(Note 4)</w:t>
            </w:r>
          </w:p>
        </w:tc>
        <w:tc>
          <w:tcPr>
            <w:tcW w:w="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10,104</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10,104</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r>
      <w:tr>
        <w:trPr>
          <w:trHeight w:val="115"/>
        </w:trPr>
        <w:tc>
          <w:tcPr>
            <w:tcW w:w="1160" w:type="dxa"/>
            <w:vAlign w:val="bottom"/>
            <w:shd w:val="clear" w:color="auto" w:fill="CCEEFF"/>
          </w:tcPr>
          <w:p>
            <w:pPr>
              <w:ind w:left="260"/>
              <w:spacing w:after="0" w:line="115" w:lineRule="exact"/>
              <w:rPr>
                <w:sz w:val="20"/>
                <w:szCs w:val="20"/>
                <w:color w:val="auto"/>
              </w:rPr>
            </w:pPr>
            <w:r>
              <w:rPr>
                <w:rFonts w:ascii="Times New Roman" w:cs="Times New Roman" w:eastAsia="Times New Roman" w:hAnsi="Times New Roman"/>
                <w:sz w:val="13"/>
                <w:szCs w:val="13"/>
                <w:color w:val="auto"/>
              </w:rPr>
              <w:t>Currency</w:t>
            </w: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translation</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adjustment,</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55"/>
        </w:trPr>
        <w:tc>
          <w:tcPr>
            <w:tcW w:w="1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of tax</w:t>
            </w: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191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r>
      <w:tr>
        <w:trPr>
          <w:trHeight w:val="139"/>
        </w:trPr>
        <w:tc>
          <w:tcPr>
            <w:tcW w:w="11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00" w:type="dxa"/>
            <w:vAlign w:val="bottom"/>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3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(79,605)</w:t>
            </w:r>
          </w:p>
        </w:tc>
        <w:tc>
          <w:tcPr>
            <w:tcW w:w="140" w:type="dxa"/>
            <w:vAlign w:val="bottom"/>
          </w:tcPr>
          <w:p>
            <w:pPr>
              <w:spacing w:after="0"/>
              <w:rPr>
                <w:sz w:val="12"/>
                <w:szCs w:val="12"/>
                <w:color w:val="auto"/>
              </w:rPr>
            </w:pPr>
          </w:p>
        </w:tc>
        <w:tc>
          <w:tcPr>
            <w:tcW w:w="660" w:type="dxa"/>
            <w:vAlign w:val="bottom"/>
            <w:gridSpan w:val="2"/>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(79,605)</w:t>
            </w:r>
          </w:p>
        </w:tc>
        <w:tc>
          <w:tcPr>
            <w:tcW w:w="2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5"/>
        </w:trPr>
        <w:tc>
          <w:tcPr>
            <w:tcW w:w="11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Balance as of</w:t>
            </w: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r>
      <w:tr>
        <w:trPr>
          <w:trHeight w:val="135"/>
        </w:trPr>
        <w:tc>
          <w:tcPr>
            <w:tcW w:w="11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December 31,</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55"/>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2020</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5"/>
              </w:rPr>
              <w:t>400,000,000</w:t>
            </w: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2,613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182,500,000</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182,500</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5,426</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270,270,270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310,104</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(112,504)</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191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388,330</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21,452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21,452</w:t>
            </w:r>
          </w:p>
        </w:tc>
      </w:tr>
      <w:tr>
        <w:trPr>
          <w:trHeight w:val="119"/>
        </w:trPr>
        <w:tc>
          <w:tcPr>
            <w:tcW w:w="1160" w:type="dxa"/>
            <w:vAlign w:val="bottom"/>
          </w:tcPr>
          <w:p>
            <w:pPr>
              <w:ind w:left="260"/>
              <w:spacing w:after="0" w:line="119" w:lineRule="exact"/>
              <w:rPr>
                <w:sz w:val="20"/>
                <w:szCs w:val="20"/>
                <w:color w:val="auto"/>
              </w:rPr>
            </w:pPr>
            <w:r>
              <w:rPr>
                <w:rFonts w:ascii="Times New Roman" w:cs="Times New Roman" w:eastAsia="Times New Roman" w:hAnsi="Times New Roman"/>
                <w:sz w:val="13"/>
                <w:szCs w:val="13"/>
                <w:color w:val="auto"/>
              </w:rPr>
              <w:t>Issuance of</w:t>
            </w: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Class A</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voting units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5"/>
        </w:trPr>
        <w:tc>
          <w:tcPr>
            <w:tcW w:w="11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(Note 10)</w:t>
            </w:r>
          </w:p>
        </w:tc>
        <w:tc>
          <w:tcPr>
            <w:tcW w:w="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81"/>
              </w:rPr>
              <w:t>185</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2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r>
      <w:tr>
        <w:trPr>
          <w:trHeight w:val="115"/>
        </w:trPr>
        <w:tc>
          <w:tcPr>
            <w:tcW w:w="1160" w:type="dxa"/>
            <w:vAlign w:val="bottom"/>
            <w:shd w:val="clear" w:color="auto" w:fill="CCEEFF"/>
          </w:tcPr>
          <w:p>
            <w:pPr>
              <w:ind w:left="260"/>
              <w:spacing w:after="0" w:line="115" w:lineRule="exact"/>
              <w:rPr>
                <w:sz w:val="20"/>
                <w:szCs w:val="20"/>
                <w:color w:val="auto"/>
              </w:rPr>
            </w:pPr>
            <w:r>
              <w:rPr>
                <w:rFonts w:ascii="Times New Roman" w:cs="Times New Roman" w:eastAsia="Times New Roman" w:hAnsi="Times New Roman"/>
                <w:sz w:val="13"/>
                <w:szCs w:val="13"/>
                <w:color w:val="auto"/>
              </w:rPr>
              <w:t>Unit-based</w:t>
            </w: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incentive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55"/>
        </w:trPr>
        <w:tc>
          <w:tcPr>
            <w:tcW w:w="1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(Note 11)</w:t>
            </w: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26,538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26,538</w:t>
            </w:r>
          </w:p>
        </w:tc>
      </w:tr>
      <w:tr>
        <w:trPr>
          <w:trHeight w:val="115"/>
        </w:trPr>
        <w:tc>
          <w:tcPr>
            <w:tcW w:w="1160" w:type="dxa"/>
            <w:vAlign w:val="bottom"/>
          </w:tcPr>
          <w:p>
            <w:pPr>
              <w:ind w:left="260"/>
              <w:spacing w:after="0" w:line="115" w:lineRule="exact"/>
              <w:rPr>
                <w:sz w:val="20"/>
                <w:szCs w:val="20"/>
                <w:color w:val="auto"/>
              </w:rPr>
            </w:pPr>
            <w:r>
              <w:rPr>
                <w:rFonts w:ascii="Times New Roman" w:cs="Times New Roman" w:eastAsia="Times New Roman" w:hAnsi="Times New Roman"/>
                <w:sz w:val="13"/>
                <w:szCs w:val="13"/>
                <w:color w:val="auto"/>
              </w:rPr>
              <w:t>Exercise of</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Class B</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warrant (Note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5"/>
        </w:trPr>
        <w:tc>
          <w:tcPr>
            <w:tcW w:w="11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10)</w:t>
            </w:r>
          </w:p>
        </w:tc>
        <w:tc>
          <w:tcPr>
            <w:tcW w:w="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9,953,454</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5,426</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4"/>
              </w:rPr>
              <w:t>(5,426)</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r>
      <w:tr>
        <w:trPr>
          <w:trHeight w:val="115"/>
        </w:trPr>
        <w:tc>
          <w:tcPr>
            <w:tcW w:w="1160" w:type="dxa"/>
            <w:vAlign w:val="bottom"/>
            <w:shd w:val="clear" w:color="auto" w:fill="CCEEFF"/>
          </w:tcPr>
          <w:p>
            <w:pPr>
              <w:ind w:left="260"/>
              <w:spacing w:after="0" w:line="115" w:lineRule="exact"/>
              <w:rPr>
                <w:sz w:val="20"/>
                <w:szCs w:val="20"/>
                <w:color w:val="auto"/>
              </w:rPr>
            </w:pPr>
            <w:r>
              <w:rPr>
                <w:rFonts w:ascii="Times New Roman" w:cs="Times New Roman" w:eastAsia="Times New Roman" w:hAnsi="Times New Roman"/>
                <w:sz w:val="13"/>
                <w:szCs w:val="13"/>
                <w:color w:val="auto"/>
              </w:rPr>
              <w:t>Vesting of</w:t>
            </w: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Class C</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warrant (Note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55"/>
        </w:trPr>
        <w:tc>
          <w:tcPr>
            <w:tcW w:w="1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10)</w:t>
            </w: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r>
      <w:tr>
        <w:trPr>
          <w:trHeight w:val="115"/>
        </w:trPr>
        <w:tc>
          <w:tcPr>
            <w:tcW w:w="1160" w:type="dxa"/>
            <w:vAlign w:val="bottom"/>
          </w:tcPr>
          <w:p>
            <w:pPr>
              <w:ind w:left="260"/>
              <w:spacing w:after="0" w:line="115" w:lineRule="exact"/>
              <w:rPr>
                <w:sz w:val="20"/>
                <w:szCs w:val="20"/>
                <w:color w:val="auto"/>
              </w:rPr>
            </w:pPr>
            <w:r>
              <w:rPr>
                <w:rFonts w:ascii="Times New Roman" w:cs="Times New Roman" w:eastAsia="Times New Roman" w:hAnsi="Times New Roman"/>
                <w:sz w:val="13"/>
                <w:szCs w:val="13"/>
                <w:color w:val="auto"/>
              </w:rPr>
              <w:t>Currency</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translation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adjustment,</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5"/>
        </w:trPr>
        <w:tc>
          <w:tcPr>
            <w:tcW w:w="11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net of tax</w:t>
            </w:r>
          </w:p>
        </w:tc>
        <w:tc>
          <w:tcPr>
            <w:tcW w:w="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248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2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116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00" w:type="dxa"/>
            <w:vAlign w:val="bottom"/>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(139,219)</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(139,219)</w:t>
            </w:r>
          </w:p>
        </w:tc>
        <w:tc>
          <w:tcPr>
            <w:tcW w:w="2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9"/>
        </w:trPr>
        <w:tc>
          <w:tcPr>
            <w:tcW w:w="116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Balance as of</w:t>
            </w: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r>
      <w:tr>
        <w:trPr>
          <w:trHeight w:val="155"/>
        </w:trPr>
        <w:tc>
          <w:tcPr>
            <w:tcW w:w="1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October 14, 2021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5"/>
              </w:rPr>
              <w:t>400,000,000</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2,798</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192,453,454</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187,926</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270,270,270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w w:val="98"/>
              </w:rPr>
              <w:t>$</w:t>
            </w:r>
            <w:r>
              <w:rPr>
                <w:rFonts w:ascii="Times New Roman" w:cs="Times New Roman" w:eastAsia="Times New Roman" w:hAnsi="Times New Roman"/>
                <w:sz w:val="13"/>
                <w:szCs w:val="13"/>
                <w:color w:val="auto"/>
                <w:w w:val="98"/>
              </w:rPr>
              <w:t>310,104</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969</w:t>
            </w:r>
          </w:p>
        </w:tc>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(251,723)</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439</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$ 250,513</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$ 47,990</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47,990</w:t>
            </w:r>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bl>
    <w:p>
      <w:pPr>
        <w:spacing w:after="0" w:line="1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F-6</w:t>
      </w:r>
    </w:p>
    <w:p>
      <w:pPr>
        <w:sectPr>
          <w:pgSz w:w="11900" w:h="16838" w:orient="portrait"/>
          <w:cols w:equalWidth="0" w:num="1">
            <w:col w:w="11340"/>
          </w:cols>
          <w:pgMar w:left="320" w:top="453" w:right="239" w:bottom="1440" w:gutter="0" w:footer="0" w:header="0"/>
        </w:sectPr>
      </w:pPr>
    </w:p>
    <w:bookmarkStart w:id="160" w:name="page161"/>
    <w:bookmarkEnd w:id="16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Bakkt Holdings, Inc.</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 and Mezzanine Equity (Predecessor)</w:t>
      </w:r>
    </w:p>
    <w:p>
      <w:pPr>
        <w:spacing w:after="0" w:line="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212" w:lineRule="exact"/>
        <w:rPr>
          <w:sz w:val="20"/>
          <w:szCs w:val="20"/>
          <w:color w:val="auto"/>
        </w:rPr>
      </w:pPr>
    </w:p>
    <w:tbl>
      <w:tblPr>
        <w:tblLayout w:type="fixed"/>
        <w:tblInd w:w="620" w:type="dxa"/>
        <w:tblCellMar>
          <w:top w:w="0" w:type="dxa"/>
          <w:left w:w="0" w:type="dxa"/>
          <w:bottom w:w="0" w:type="dxa"/>
          <w:right w:w="0" w:type="dxa"/>
        </w:tblCellMar>
      </w:tblPr>
      <w:tr>
        <w:trPr>
          <w:trHeight w:val="126"/>
        </w:trPr>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3"/>
        </w:trPr>
        <w:tc>
          <w:tcPr>
            <w:tcW w:w="1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320"/>
              <w:spacing w:after="0" w:line="123" w:lineRule="exact"/>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3"/>
        </w:trPr>
        <w:tc>
          <w:tcPr>
            <w:tcW w:w="1160" w:type="dxa"/>
            <w:vAlign w:val="bottom"/>
          </w:tcPr>
          <w:p>
            <w:pPr>
              <w:spacing w:after="0"/>
              <w:rPr>
                <w:sz w:val="10"/>
                <w:szCs w:val="10"/>
                <w:color w:val="auto"/>
              </w:rPr>
            </w:pPr>
          </w:p>
        </w:tc>
        <w:tc>
          <w:tcPr>
            <w:tcW w:w="700" w:type="dxa"/>
            <w:vAlign w:val="bottom"/>
            <w:gridSpan w:val="2"/>
          </w:tcPr>
          <w:p>
            <w:pPr>
              <w:jc w:val="center"/>
              <w:ind w:left="216"/>
              <w:spacing w:after="0" w:line="123" w:lineRule="exact"/>
              <w:rPr>
                <w:sz w:val="20"/>
                <w:szCs w:val="20"/>
                <w:color w:val="auto"/>
              </w:rPr>
            </w:pPr>
            <w:r>
              <w:rPr>
                <w:rFonts w:ascii="Times New Roman" w:cs="Times New Roman" w:eastAsia="Times New Roman" w:hAnsi="Times New Roman"/>
                <w:sz w:val="11"/>
                <w:szCs w:val="11"/>
                <w:b w:val="1"/>
                <w:bCs w:val="1"/>
                <w:color w:val="auto"/>
              </w:rPr>
              <w:t>Class A</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ind w:left="380"/>
              <w:spacing w:after="0" w:line="123" w:lineRule="exact"/>
              <w:rPr>
                <w:sz w:val="20"/>
                <w:szCs w:val="20"/>
                <w:color w:val="auto"/>
              </w:rPr>
            </w:pPr>
            <w:r>
              <w:rPr>
                <w:rFonts w:ascii="Times New Roman" w:cs="Times New Roman" w:eastAsia="Times New Roman" w:hAnsi="Times New Roman"/>
                <w:sz w:val="11"/>
                <w:szCs w:val="11"/>
                <w:b w:val="1"/>
                <w:bCs w:val="1"/>
                <w:color w:val="auto"/>
              </w:rPr>
              <w:t>Class V</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
              <w:spacing w:after="0" w:line="123" w:lineRule="exact"/>
              <w:rPr>
                <w:sz w:val="20"/>
                <w:szCs w:val="20"/>
                <w:color w:val="auto"/>
              </w:rPr>
            </w:pPr>
            <w:r>
              <w:rPr>
                <w:rFonts w:ascii="Times New Roman" w:cs="Times New Roman" w:eastAsia="Times New Roman" w:hAnsi="Times New Roman"/>
                <w:sz w:val="11"/>
                <w:szCs w:val="11"/>
                <w:b w:val="1"/>
                <w:bCs w:val="1"/>
                <w:color w:val="auto"/>
              </w:rPr>
              <w:t>Class B</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20"/>
              <w:spacing w:after="0" w:line="123"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40" w:type="dxa"/>
            <w:vAlign w:val="bottom"/>
          </w:tcPr>
          <w:p>
            <w:pPr>
              <w:spacing w:after="0"/>
              <w:rPr>
                <w:sz w:val="10"/>
                <w:szCs w:val="10"/>
                <w:color w:val="auto"/>
              </w:rPr>
            </w:pPr>
          </w:p>
        </w:tc>
        <w:tc>
          <w:tcPr>
            <w:tcW w:w="740" w:type="dxa"/>
            <w:vAlign w:val="bottom"/>
            <w:gridSpan w:val="3"/>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40" w:type="dxa"/>
            <w:vAlign w:val="bottom"/>
          </w:tcPr>
          <w:p>
            <w:pPr>
              <w:spacing w:after="0"/>
              <w:rPr>
                <w:sz w:val="10"/>
                <w:szCs w:val="10"/>
                <w:color w:val="auto"/>
              </w:rPr>
            </w:pPr>
          </w:p>
        </w:tc>
        <w:tc>
          <w:tcPr>
            <w:tcW w:w="84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40" w:type="dxa"/>
            <w:vAlign w:val="bottom"/>
          </w:tcPr>
          <w:p>
            <w:pPr>
              <w:spacing w:after="0"/>
              <w:rPr>
                <w:sz w:val="10"/>
                <w:szCs w:val="10"/>
                <w:color w:val="auto"/>
              </w:rPr>
            </w:pPr>
          </w:p>
        </w:tc>
        <w:tc>
          <w:tcPr>
            <w:tcW w:w="800" w:type="dxa"/>
            <w:vAlign w:val="bottom"/>
            <w:gridSpan w:val="3"/>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820" w:type="dxa"/>
            <w:vAlign w:val="bottom"/>
            <w:gridSpan w:val="3"/>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300"/>
              <w:spacing w:after="0" w:line="123" w:lineRule="exact"/>
              <w:rPr>
                <w:sz w:val="20"/>
                <w:szCs w:val="20"/>
                <w:color w:val="auto"/>
              </w:rPr>
            </w:pPr>
            <w:r>
              <w:rPr>
                <w:rFonts w:ascii="Times New Roman" w:cs="Times New Roman" w:eastAsia="Times New Roman" w:hAnsi="Times New Roman"/>
                <w:sz w:val="11"/>
                <w:szCs w:val="11"/>
                <w:b w:val="1"/>
                <w:bCs w:val="1"/>
                <w:color w:val="auto"/>
              </w:rPr>
              <w:t>Total</w:t>
            </w:r>
          </w:p>
        </w:tc>
        <w:tc>
          <w:tcPr>
            <w:tcW w:w="88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1"/>
                <w:szCs w:val="11"/>
                <w:b w:val="1"/>
                <w:bCs w:val="1"/>
                <w:color w:val="auto"/>
              </w:rPr>
              <w:t>Class A</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w w:val="70"/>
              </w:rPr>
              <w:t>M</w:t>
            </w:r>
          </w:p>
        </w:tc>
      </w:tr>
      <w:tr>
        <w:trPr>
          <w:trHeight w:val="140"/>
        </w:trPr>
        <w:tc>
          <w:tcPr>
            <w:tcW w:w="1160" w:type="dxa"/>
            <w:vAlign w:val="bottom"/>
          </w:tcPr>
          <w:p>
            <w:pPr>
              <w:spacing w:after="0"/>
              <w:rPr>
                <w:sz w:val="12"/>
                <w:szCs w:val="12"/>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12"/>
                <w:szCs w:val="12"/>
                <w:color w:val="auto"/>
              </w:rPr>
            </w:pPr>
          </w:p>
        </w:tc>
        <w:tc>
          <w:tcPr>
            <w:tcW w:w="1180" w:type="dxa"/>
            <w:vAlign w:val="bottom"/>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40" w:type="dxa"/>
            <w:vAlign w:val="bottom"/>
          </w:tcPr>
          <w:p>
            <w:pPr>
              <w:spacing w:after="0"/>
              <w:rPr>
                <w:sz w:val="12"/>
                <w:szCs w:val="12"/>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440" w:type="dxa"/>
            <w:vAlign w:val="bottom"/>
            <w:gridSpan w:val="5"/>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1160" w:type="dxa"/>
            <w:vAlign w:val="bottom"/>
          </w:tcPr>
          <w:p>
            <w:pPr>
              <w:spacing w:after="0"/>
              <w:rPr>
                <w:sz w:val="11"/>
                <w:szCs w:val="11"/>
                <w:color w:val="auto"/>
              </w:rPr>
            </w:pPr>
          </w:p>
        </w:tc>
        <w:tc>
          <w:tcPr>
            <w:tcW w:w="7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1"/>
                <w:szCs w:val="11"/>
                <w:color w:val="auto"/>
              </w:rPr>
            </w:pPr>
          </w:p>
        </w:tc>
        <w:tc>
          <w:tcPr>
            <w:tcW w:w="8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00" w:type="dxa"/>
            <w:vAlign w:val="bottom"/>
            <w:tcBorders>
              <w:top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00" w:type="dxa"/>
            <w:vAlign w:val="bottom"/>
            <w:tcBorders>
              <w:top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r>
      <w:tr>
        <w:trPr>
          <w:trHeight w:val="95"/>
        </w:trPr>
        <w:tc>
          <w:tcPr>
            <w:tcW w:w="1160" w:type="dxa"/>
            <w:vAlign w:val="bottom"/>
            <w:tcBorders>
              <w:top w:val="single" w:sz="8" w:color="CCEEFF"/>
            </w:tcBorders>
            <w:shd w:val="clear" w:color="auto" w:fill="CCEEFF"/>
          </w:tcPr>
          <w:p>
            <w:pPr>
              <w:ind w:left="260"/>
              <w:spacing w:after="0" w:line="95" w:lineRule="exact"/>
              <w:rPr>
                <w:sz w:val="20"/>
                <w:szCs w:val="20"/>
                <w:color w:val="auto"/>
              </w:rPr>
            </w:pPr>
            <w:r>
              <w:rPr>
                <w:rFonts w:ascii="Times New Roman" w:cs="Times New Roman" w:eastAsia="Times New Roman" w:hAnsi="Times New Roman"/>
                <w:sz w:val="10"/>
                <w:szCs w:val="10"/>
                <w:color w:val="auto"/>
              </w:rPr>
              <w:t>Balance as of</w:t>
            </w: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October 15,</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5"/>
        </w:trPr>
        <w:tc>
          <w:tcPr>
            <w:tcW w:w="1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2021</w:t>
            </w:r>
          </w:p>
        </w:tc>
        <w:tc>
          <w:tcPr>
            <w:tcW w:w="700" w:type="dxa"/>
            <w:vAlign w:val="bottom"/>
            <w:gridSpan w:val="2"/>
            <w:shd w:val="clear" w:color="auto" w:fill="CCEEFF"/>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5,184,300</w:t>
            </w:r>
          </w:p>
        </w:tc>
        <w:tc>
          <w:tcPr>
            <w:tcW w:w="10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1</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(54,347)</w:t>
            </w:r>
          </w:p>
        </w:tc>
        <w:tc>
          <w:tcPr>
            <w:tcW w:w="1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(54,346)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(54,346)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20,737,202</w:t>
            </w: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$ 207,372</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r>
      <w:tr>
        <w:trPr>
          <w:trHeight w:val="115"/>
        </w:trPr>
        <w:tc>
          <w:tcPr>
            <w:tcW w:w="1160" w:type="dxa"/>
            <w:vAlign w:val="bottom"/>
          </w:tcPr>
          <w:p>
            <w:pPr>
              <w:ind w:left="260"/>
              <w:spacing w:after="0" w:line="115" w:lineRule="exact"/>
              <w:rPr>
                <w:sz w:val="20"/>
                <w:szCs w:val="20"/>
                <w:color w:val="auto"/>
              </w:rPr>
            </w:pPr>
            <w:r>
              <w:rPr>
                <w:rFonts w:ascii="Times New Roman" w:cs="Times New Roman" w:eastAsia="Times New Roman" w:hAnsi="Times New Roman"/>
                <w:sz w:val="13"/>
                <w:szCs w:val="13"/>
                <w:color w:val="auto"/>
              </w:rPr>
              <w:t>Redemption of</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Class A</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ordinary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shares (Note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11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4)</w:t>
            </w:r>
          </w:p>
        </w:tc>
        <w:tc>
          <w:tcPr>
            <w:tcW w:w="70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(8,452,042)</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(84,530)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5"/>
        </w:trPr>
        <w:tc>
          <w:tcPr>
            <w:tcW w:w="1160" w:type="dxa"/>
            <w:vAlign w:val="bottom"/>
            <w:shd w:val="clear" w:color="auto" w:fill="CCEEFF"/>
          </w:tcPr>
          <w:p>
            <w:pPr>
              <w:ind w:left="260"/>
              <w:spacing w:after="0" w:line="115" w:lineRule="exact"/>
              <w:rPr>
                <w:sz w:val="20"/>
                <w:szCs w:val="20"/>
                <w:color w:val="auto"/>
              </w:rPr>
            </w:pPr>
            <w:r>
              <w:rPr>
                <w:rFonts w:ascii="Times New Roman" w:cs="Times New Roman" w:eastAsia="Times New Roman" w:hAnsi="Times New Roman"/>
                <w:sz w:val="13"/>
                <w:szCs w:val="13"/>
                <w:color w:val="auto"/>
              </w:rPr>
              <w:t>Conversion of</w:t>
            </w: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Class A</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ordinary</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shares and</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Class B</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ordinary</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shares into</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Class A</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common</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stock (Note</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5"/>
        </w:trPr>
        <w:tc>
          <w:tcPr>
            <w:tcW w:w="1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17,469,460</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(5,184,300)</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9"/>
              </w:rPr>
              <w:t>122,840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122,841</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122,841</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(12,285,160)</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(122,842)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5"/>
        </w:trPr>
        <w:tc>
          <w:tcPr>
            <w:tcW w:w="1160" w:type="dxa"/>
            <w:vAlign w:val="bottom"/>
          </w:tcPr>
          <w:p>
            <w:pPr>
              <w:ind w:left="260"/>
              <w:spacing w:after="0" w:line="115" w:lineRule="exact"/>
              <w:rPr>
                <w:sz w:val="20"/>
                <w:szCs w:val="20"/>
                <w:color w:val="auto"/>
              </w:rPr>
            </w:pPr>
            <w:r>
              <w:rPr>
                <w:rFonts w:ascii="Times New Roman" w:cs="Times New Roman" w:eastAsia="Times New Roman" w:hAnsi="Times New Roman"/>
                <w:sz w:val="13"/>
                <w:szCs w:val="13"/>
                <w:color w:val="auto"/>
              </w:rPr>
              <w:t>Issuance of</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common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stock to PIPE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investors, net</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of issuance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186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costs (Note 4) 32,500,000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9"/>
              </w:rPr>
              <w:t>311,997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312,000</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312,000</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5"/>
        </w:trPr>
        <w:tc>
          <w:tcPr>
            <w:tcW w:w="1160" w:type="dxa"/>
            <w:vAlign w:val="bottom"/>
            <w:shd w:val="clear" w:color="auto" w:fill="CCEEFF"/>
          </w:tcPr>
          <w:p>
            <w:pPr>
              <w:ind w:left="260"/>
              <w:spacing w:after="0" w:line="115" w:lineRule="exact"/>
              <w:rPr>
                <w:sz w:val="20"/>
                <w:szCs w:val="20"/>
                <w:color w:val="auto"/>
              </w:rPr>
            </w:pPr>
            <w:r>
              <w:rPr>
                <w:rFonts w:ascii="Times New Roman" w:cs="Times New Roman" w:eastAsia="Times New Roman" w:hAnsi="Times New Roman"/>
                <w:sz w:val="13"/>
                <w:szCs w:val="13"/>
                <w:color w:val="auto"/>
              </w:rPr>
              <w:t>Conversion of</w:t>
            </w: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Opco</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Class A,</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Class B, and</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Class C</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voting units</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into Class V</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common</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stock (Note</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5"/>
        </w:trPr>
        <w:tc>
          <w:tcPr>
            <w:tcW w:w="1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10)</w:t>
            </w:r>
          </w:p>
        </w:tc>
        <w:tc>
          <w:tcPr>
            <w:tcW w:w="700" w:type="dxa"/>
            <w:vAlign w:val="bottom"/>
            <w:gridSpan w:val="2"/>
            <w:shd w:val="clear" w:color="auto" w:fill="CCEEFF"/>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189,933,286</w:t>
            </w:r>
          </w:p>
        </w:tc>
        <w:tc>
          <w:tcPr>
            <w:tcW w:w="10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1,796,750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6"/>
              </w:rPr>
              <w:t>1,796,769</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5"/>
        </w:trPr>
        <w:tc>
          <w:tcPr>
            <w:tcW w:w="1160" w:type="dxa"/>
            <w:vAlign w:val="bottom"/>
          </w:tcPr>
          <w:p>
            <w:pPr>
              <w:ind w:left="260"/>
              <w:spacing w:after="0" w:line="115" w:lineRule="exact"/>
              <w:rPr>
                <w:sz w:val="20"/>
                <w:szCs w:val="20"/>
                <w:color w:val="auto"/>
              </w:rPr>
            </w:pPr>
            <w:r>
              <w:rPr>
                <w:rFonts w:ascii="Times New Roman" w:cs="Times New Roman" w:eastAsia="Times New Roman" w:hAnsi="Times New Roman"/>
                <w:sz w:val="13"/>
                <w:szCs w:val="13"/>
                <w:color w:val="auto"/>
              </w:rPr>
              <w:t>Issuance of</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Class V</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Common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Stock for</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Opco</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incentive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units (Note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11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10)</w:t>
            </w:r>
          </w:p>
        </w:tc>
        <w:tc>
          <w:tcPr>
            <w:tcW w:w="70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17,473,362</w:t>
            </w:r>
          </w:p>
        </w:tc>
        <w:tc>
          <w:tcPr>
            <w:tcW w:w="100" w:type="dxa"/>
            <w:vAlign w:val="bottom"/>
          </w:tcPr>
          <w:p>
            <w:pPr>
              <w:spacing w:after="0"/>
              <w:rPr>
                <w:sz w:val="13"/>
                <w:szCs w:val="13"/>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107,877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107,879</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5"/>
        </w:trPr>
        <w:tc>
          <w:tcPr>
            <w:tcW w:w="1160" w:type="dxa"/>
            <w:vAlign w:val="bottom"/>
            <w:shd w:val="clear" w:color="auto" w:fill="CCEEFF"/>
          </w:tcPr>
          <w:p>
            <w:pPr>
              <w:ind w:left="260"/>
              <w:spacing w:after="0" w:line="115" w:lineRule="exact"/>
              <w:rPr>
                <w:sz w:val="20"/>
                <w:szCs w:val="20"/>
                <w:color w:val="auto"/>
              </w:rPr>
            </w:pPr>
            <w:r>
              <w:rPr>
                <w:rFonts w:ascii="Times New Roman" w:cs="Times New Roman" w:eastAsia="Times New Roman" w:hAnsi="Times New Roman"/>
                <w:sz w:val="13"/>
                <w:szCs w:val="13"/>
                <w:color w:val="auto"/>
              </w:rPr>
              <w:t>Share-based</w:t>
            </w: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5"/>
        </w:trPr>
        <w:tc>
          <w:tcPr>
            <w:tcW w:w="1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(Note 11)</w:t>
            </w:r>
          </w:p>
        </w:tc>
        <w:tc>
          <w:tcPr>
            <w:tcW w:w="700" w:type="dxa"/>
            <w:vAlign w:val="bottom"/>
            <w:gridSpan w:val="2"/>
            <w:shd w:val="clear" w:color="auto" w:fill="CCEEFF"/>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1,022</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1,022</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1,022</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5"/>
        </w:trPr>
        <w:tc>
          <w:tcPr>
            <w:tcW w:w="1160" w:type="dxa"/>
            <w:vAlign w:val="bottom"/>
          </w:tcPr>
          <w:p>
            <w:pPr>
              <w:ind w:left="260"/>
              <w:spacing w:after="0" w:line="115" w:lineRule="exact"/>
              <w:rPr>
                <w:sz w:val="20"/>
                <w:szCs w:val="20"/>
                <w:color w:val="auto"/>
              </w:rPr>
            </w:pPr>
            <w:r>
              <w:rPr>
                <w:rFonts w:ascii="Times New Roman" w:cs="Times New Roman" w:eastAsia="Times New Roman" w:hAnsi="Times New Roman"/>
                <w:sz w:val="13"/>
                <w:szCs w:val="13"/>
                <w:color w:val="auto"/>
              </w:rPr>
              <w:t>Unit-based</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11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(Note 11)</w:t>
            </w:r>
          </w:p>
        </w:tc>
        <w:tc>
          <w:tcPr>
            <w:tcW w:w="70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46,786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46,786</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5"/>
        </w:trPr>
        <w:tc>
          <w:tcPr>
            <w:tcW w:w="1160" w:type="dxa"/>
            <w:vAlign w:val="bottom"/>
            <w:shd w:val="clear" w:color="auto" w:fill="CCEEFF"/>
          </w:tcPr>
          <w:p>
            <w:pPr>
              <w:ind w:left="260"/>
              <w:spacing w:after="0" w:line="115" w:lineRule="exact"/>
              <w:rPr>
                <w:sz w:val="20"/>
                <w:szCs w:val="20"/>
                <w:color w:val="auto"/>
              </w:rPr>
            </w:pPr>
            <w:r>
              <w:rPr>
                <w:rFonts w:ascii="Times New Roman" w:cs="Times New Roman" w:eastAsia="Times New Roman" w:hAnsi="Times New Roman"/>
                <w:sz w:val="13"/>
                <w:szCs w:val="13"/>
                <w:color w:val="auto"/>
              </w:rPr>
              <w:t>Forfeiture and</w:t>
            </w: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cancellation</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of common</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units (Note</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5"/>
        </w:trPr>
        <w:tc>
          <w:tcPr>
            <w:tcW w:w="1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11)</w:t>
            </w:r>
          </w:p>
        </w:tc>
        <w:tc>
          <w:tcPr>
            <w:tcW w:w="700" w:type="dxa"/>
            <w:vAlign w:val="bottom"/>
            <w:gridSpan w:val="2"/>
            <w:shd w:val="clear" w:color="auto" w:fill="CCEEFF"/>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(1,134,856)</w:t>
            </w: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(4,602)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(4,602)</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5"/>
        </w:trPr>
        <w:tc>
          <w:tcPr>
            <w:tcW w:w="1160" w:type="dxa"/>
            <w:vAlign w:val="bottom"/>
          </w:tcPr>
          <w:p>
            <w:pPr>
              <w:ind w:left="260"/>
              <w:spacing w:after="0" w:line="115" w:lineRule="exact"/>
              <w:rPr>
                <w:sz w:val="20"/>
                <w:szCs w:val="20"/>
                <w:color w:val="auto"/>
              </w:rPr>
            </w:pPr>
            <w:r>
              <w:rPr>
                <w:rFonts w:ascii="Times New Roman" w:cs="Times New Roman" w:eastAsia="Times New Roman" w:hAnsi="Times New Roman"/>
                <w:sz w:val="13"/>
                <w:szCs w:val="13"/>
                <w:color w:val="auto"/>
              </w:rPr>
              <w:t>Exercise of</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1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warrants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11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(Note 9)</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7,194,928</w:t>
            </w:r>
          </w:p>
        </w:tc>
        <w:tc>
          <w:tcPr>
            <w:tcW w:w="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9"/>
              </w:rPr>
              <w:t>130,907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130,908</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130,908</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5"/>
        </w:trPr>
        <w:tc>
          <w:tcPr>
            <w:tcW w:w="1160" w:type="dxa"/>
            <w:vAlign w:val="bottom"/>
            <w:shd w:val="clear" w:color="auto" w:fill="CCEEFF"/>
          </w:tcPr>
          <w:p>
            <w:pPr>
              <w:ind w:left="260"/>
              <w:spacing w:after="0" w:line="115" w:lineRule="exact"/>
              <w:rPr>
                <w:sz w:val="20"/>
                <w:szCs w:val="20"/>
                <w:color w:val="auto"/>
              </w:rPr>
            </w:pPr>
            <w:r>
              <w:rPr>
                <w:rFonts w:ascii="Times New Roman" w:cs="Times New Roman" w:eastAsia="Times New Roman" w:hAnsi="Times New Roman"/>
                <w:sz w:val="13"/>
                <w:szCs w:val="13"/>
                <w:color w:val="auto"/>
              </w:rPr>
              <w:t>Currency</w:t>
            </w: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translation</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adjustment,</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5"/>
        </w:trPr>
        <w:tc>
          <w:tcPr>
            <w:tcW w:w="1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of tax</w:t>
            </w:r>
          </w:p>
        </w:tc>
        <w:tc>
          <w:tcPr>
            <w:tcW w:w="700" w:type="dxa"/>
            <w:vAlign w:val="bottom"/>
            <w:gridSpan w:val="2"/>
            <w:shd w:val="clear" w:color="auto" w:fill="CCEEFF"/>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(55)</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(259)</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39"/>
        </w:trPr>
        <w:tc>
          <w:tcPr>
            <w:tcW w:w="116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00" w:type="dxa"/>
            <w:vAlign w:val="bottom"/>
            <w:gridSpan w:val="2"/>
          </w:tcPr>
          <w:p>
            <w:pPr>
              <w:jc w:val="center"/>
              <w:ind w:left="236"/>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0" w:type="dxa"/>
            <w:vAlign w:val="bottom"/>
            <w:gridSpan w:val="2"/>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3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3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(43,995)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(43,995)</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(120,832)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(164,827)</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5"/>
        </w:trPr>
        <w:tc>
          <w:tcPr>
            <w:tcW w:w="11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Balance as of</w:t>
            </w: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r>
      <w:tr>
        <w:trPr>
          <w:trHeight w:val="135"/>
        </w:trPr>
        <w:tc>
          <w:tcPr>
            <w:tcW w:w="11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December 31,</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5"/>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57,164,388</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206,271,792</w:t>
            </w:r>
          </w:p>
        </w:tc>
        <w:tc>
          <w:tcPr>
            <w:tcW w:w="10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$ 21</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9"/>
              </w:rPr>
              <w:t>566,766</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(98,342) $</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(55)</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468,396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1,825,775</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6"/>
              </w:rPr>
              <w:t>2,294,171</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1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F-7</w:t>
      </w:r>
    </w:p>
    <w:p>
      <w:pPr>
        <w:sectPr>
          <w:pgSz w:w="11900" w:h="16838" w:orient="portrait"/>
          <w:cols w:equalWidth="0" w:num="1">
            <w:col w:w="11340"/>
          </w:cols>
          <w:pgMar w:left="320" w:top="453" w:right="239" w:bottom="1440" w:gutter="0" w:footer="0" w:header="0"/>
        </w:sectPr>
      </w:pPr>
    </w:p>
    <w:bookmarkStart w:id="161" w:name="page162"/>
    <w:bookmarkEnd w:id="16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Bakkt Holdings, Inc.</w:t>
      </w:r>
    </w:p>
    <w:p>
      <w:pPr>
        <w:spacing w:after="0" w:line="11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1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6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400" w:type="dxa"/>
            <w:vAlign w:val="bottom"/>
          </w:tcPr>
          <w:p>
            <w:pPr>
              <w:spacing w:after="0" w:line="20" w:lineRule="exact"/>
              <w:rPr>
                <w:sz w:val="1"/>
                <w:szCs w:val="1"/>
                <w:color w:val="auto"/>
              </w:rPr>
            </w:pPr>
          </w:p>
        </w:tc>
        <w:tc>
          <w:tcPr>
            <w:tcW w:w="192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5"/>
        </w:trPr>
        <w:tc>
          <w:tcPr>
            <w:tcW w:w="6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400" w:type="dxa"/>
            <w:vAlign w:val="bottom"/>
            <w:tcBorders>
              <w:left w:val="single" w:sz="8" w:color="auto"/>
            </w:tcBorders>
          </w:tcPr>
          <w:p>
            <w:pPr>
              <w:spacing w:after="0"/>
              <w:rPr>
                <w:sz w:val="11"/>
                <w:szCs w:val="11"/>
                <w:color w:val="auto"/>
              </w:rPr>
            </w:pPr>
          </w:p>
        </w:tc>
        <w:tc>
          <w:tcPr>
            <w:tcW w:w="19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80" w:type="dxa"/>
            <w:vAlign w:val="bottom"/>
          </w:tcPr>
          <w:p>
            <w:pPr>
              <w:spacing w:after="0"/>
              <w:rPr>
                <w:sz w:val="9"/>
                <w:szCs w:val="9"/>
                <w:color w:val="auto"/>
              </w:rPr>
            </w:pPr>
          </w:p>
        </w:tc>
        <w:tc>
          <w:tcPr>
            <w:tcW w:w="400" w:type="dxa"/>
            <w:vAlign w:val="bottom"/>
            <w:tcBorders>
              <w:left w:val="single" w:sz="8" w:color="auto"/>
            </w:tcBorders>
          </w:tcPr>
          <w:p>
            <w:pPr>
              <w:spacing w:after="0"/>
              <w:rPr>
                <w:sz w:val="9"/>
                <w:szCs w:val="9"/>
                <w:color w:val="auto"/>
              </w:rPr>
            </w:pPr>
          </w:p>
        </w:tc>
        <w:tc>
          <w:tcPr>
            <w:tcW w:w="900" w:type="dxa"/>
            <w:vAlign w:val="bottom"/>
            <w:tcBorders>
              <w:top w:val="single" w:sz="8" w:color="auto"/>
            </w:tcBorders>
            <w:gridSpan w:val="2"/>
          </w:tcPr>
          <w:p>
            <w:pPr>
              <w:jc w:val="center"/>
              <w:ind w:right="22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260" w:type="dxa"/>
            <w:vAlign w:val="bottom"/>
            <w:gridSpan w:val="2"/>
          </w:tcPr>
          <w:p>
            <w:pPr>
              <w:jc w:val="center"/>
              <w:ind w:left="4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1"/>
                <w:szCs w:val="11"/>
                <w:color w:val="auto"/>
              </w:rPr>
            </w:pPr>
          </w:p>
        </w:tc>
        <w:tc>
          <w:tcPr>
            <w:tcW w:w="1080" w:type="dxa"/>
            <w:vAlign w:val="bottom"/>
            <w:tcBorders>
              <w:left w:val="single" w:sz="8" w:color="auto"/>
            </w:tcBorders>
            <w:gridSpan w:val="2"/>
          </w:tcPr>
          <w:p>
            <w:pPr>
              <w:jc w:val="center"/>
              <w:ind w:left="3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Year ended</w:t>
            </w: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400" w:type="dxa"/>
            <w:vAlign w:val="bottom"/>
            <w:tcBorders>
              <w:left w:val="single" w:sz="8" w:color="auto"/>
            </w:tcBorders>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Borders>
              <w:left w:val="single" w:sz="8" w:color="auto"/>
            </w:tcBorders>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16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6240" w:type="dxa"/>
            <w:vAlign w:val="bottom"/>
          </w:tcPr>
          <w:p>
            <w:pPr>
              <w:spacing w:after="0"/>
              <w:rPr>
                <w:sz w:val="13"/>
                <w:szCs w:val="13"/>
                <w:color w:val="auto"/>
              </w:rPr>
            </w:pPr>
          </w:p>
        </w:tc>
        <w:tc>
          <w:tcPr>
            <w:tcW w:w="1260" w:type="dxa"/>
            <w:vAlign w:val="bottom"/>
            <w:gridSpan w:val="2"/>
          </w:tcPr>
          <w:p>
            <w:pPr>
              <w:jc w:val="center"/>
              <w:ind w:left="400"/>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80" w:type="dxa"/>
            <w:vAlign w:val="bottom"/>
          </w:tcPr>
          <w:p>
            <w:pPr>
              <w:spacing w:after="0"/>
              <w:rPr>
                <w:sz w:val="13"/>
                <w:szCs w:val="13"/>
                <w:color w:val="auto"/>
              </w:rPr>
            </w:pPr>
          </w:p>
        </w:tc>
        <w:tc>
          <w:tcPr>
            <w:tcW w:w="1080" w:type="dxa"/>
            <w:vAlign w:val="bottom"/>
            <w:tcBorders>
              <w:left w:val="single" w:sz="8" w:color="auto"/>
            </w:tcBorders>
            <w:gridSpan w:val="2"/>
          </w:tcPr>
          <w:p>
            <w:pPr>
              <w:jc w:val="center"/>
              <w:ind w:left="300"/>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20" w:type="dxa"/>
            <w:vAlign w:val="bottom"/>
          </w:tcPr>
          <w:p>
            <w:pPr>
              <w:spacing w:after="0"/>
              <w:rPr>
                <w:sz w:val="13"/>
                <w:szCs w:val="13"/>
                <w:color w:val="auto"/>
              </w:rPr>
            </w:pPr>
          </w:p>
        </w:tc>
        <w:tc>
          <w:tcPr>
            <w:tcW w:w="920" w:type="dxa"/>
            <w:vAlign w:val="bottom"/>
            <w:gridSpan w:val="2"/>
          </w:tcPr>
          <w:p>
            <w:pPr>
              <w:jc w:val="center"/>
              <w:ind w:left="99"/>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24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5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left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 (164,827)</w:t>
            </w:r>
          </w:p>
        </w:tc>
        <w:tc>
          <w:tcPr>
            <w:tcW w:w="1300" w:type="dxa"/>
            <w:vAlign w:val="bottom"/>
            <w:tcBorders>
              <w:lef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$(139,219)</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  (79,605)</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lef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5,422</w:t>
            </w:r>
          </w:p>
        </w:tc>
        <w:tc>
          <w:tcPr>
            <w:tcW w:w="108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9,512</w:t>
            </w:r>
          </w:p>
        </w:tc>
        <w:tc>
          <w:tcPr>
            <w:tcW w:w="220" w:type="dxa"/>
            <w:vAlign w:val="bottom"/>
          </w:tcPr>
          <w:p>
            <w:pPr>
              <w:spacing w:after="0"/>
              <w:rPr>
                <w:sz w:val="17"/>
                <w:szCs w:val="17"/>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7,973</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lease expense</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249</w:t>
            </w:r>
          </w:p>
        </w:tc>
        <w:tc>
          <w:tcPr>
            <w:tcW w:w="1300" w:type="dxa"/>
            <w:vAlign w:val="bottom"/>
            <w:tcBorders>
              <w:lef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946</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1,388</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Share-based compensation expense (Note 11)</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1,022</w:t>
            </w:r>
          </w:p>
        </w:tc>
        <w:tc>
          <w:tcPr>
            <w:tcW w:w="400" w:type="dxa"/>
            <w:vAlign w:val="bottom"/>
            <w:tcBorders>
              <w:left w:val="single" w:sz="8" w:color="auto"/>
            </w:tcBorders>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Unit-based compensation expense (Note 11)</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44,892</w:t>
            </w:r>
          </w:p>
        </w:tc>
        <w:tc>
          <w:tcPr>
            <w:tcW w:w="1300" w:type="dxa"/>
            <w:vAlign w:val="bottom"/>
            <w:tcBorders>
              <w:lef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33,877</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11,649</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Recognition of affiliate capital contribution (Note 8)</w:t>
            </w:r>
          </w:p>
        </w:tc>
        <w:tc>
          <w:tcPr>
            <w:tcW w:w="5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lef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185</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customer consideration asset (Note 10)</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11,733</w:t>
            </w:r>
          </w:p>
        </w:tc>
        <w:tc>
          <w:tcPr>
            <w:tcW w:w="400" w:type="dxa"/>
            <w:vAlign w:val="bottom"/>
            <w:tcBorders>
              <w:left w:val="single" w:sz="8" w:color="auto"/>
            </w:tcBorders>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1,196</w:t>
            </w:r>
          </w:p>
        </w:tc>
        <w:tc>
          <w:tcPr>
            <w:tcW w:w="108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15,292</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Acquisition-related expenses paid by affiliate (Note 8)</w:t>
            </w:r>
          </w:p>
        </w:tc>
        <w:tc>
          <w:tcPr>
            <w:tcW w:w="5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left w:val="single" w:sz="8" w:color="auto"/>
            </w:tcBorders>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1,378</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gain on investment in shares of affiliate stock (Note 8)</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left w:val="single" w:sz="8" w:color="auto"/>
            </w:tcBorders>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sale of shares of affiliate stock</w:t>
            </w:r>
          </w:p>
        </w:tc>
        <w:tc>
          <w:tcPr>
            <w:tcW w:w="5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from change in fair value of warrant liability</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79,373</w:t>
            </w:r>
          </w:p>
        </w:tc>
        <w:tc>
          <w:tcPr>
            <w:tcW w:w="400" w:type="dxa"/>
            <w:vAlign w:val="bottom"/>
            <w:tcBorders>
              <w:left w:val="single" w:sz="8" w:color="auto"/>
            </w:tcBorders>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extinguishment of software license liability</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(1,301)</w:t>
            </w:r>
          </w:p>
        </w:tc>
        <w:tc>
          <w:tcPr>
            <w:tcW w:w="400" w:type="dxa"/>
            <w:vAlign w:val="bottom"/>
            <w:tcBorders>
              <w:left w:val="single" w:sz="8" w:color="auto"/>
            </w:tcBorders>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Modification and vesting of Class C warrant (Note 10)</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lef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969</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Cancellation of common units</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(192)</w:t>
            </w:r>
          </w:p>
        </w:tc>
        <w:tc>
          <w:tcPr>
            <w:tcW w:w="400" w:type="dxa"/>
            <w:vAlign w:val="bottom"/>
            <w:tcBorders>
              <w:left w:val="single" w:sz="8" w:color="auto"/>
            </w:tcBorders>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(129)</w:t>
            </w:r>
          </w:p>
        </w:tc>
        <w:tc>
          <w:tcPr>
            <w:tcW w:w="1300" w:type="dxa"/>
            <w:vAlign w:val="bottom"/>
            <w:tcBorders>
              <w:lef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655</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lef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(1,133)</w:t>
            </w:r>
          </w:p>
        </w:tc>
        <w:tc>
          <w:tcPr>
            <w:tcW w:w="1300" w:type="dxa"/>
            <w:vAlign w:val="bottom"/>
            <w:tcBorders>
              <w:left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(6,601)</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196"/>
        </w:trPr>
        <w:tc>
          <w:tcPr>
            <w:tcW w:w="6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receivable</w:t>
            </w:r>
          </w:p>
        </w:tc>
        <w:tc>
          <w:tcPr>
            <w:tcW w:w="5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left w:val="single" w:sz="8" w:color="auto"/>
            </w:tcBorders>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Prepaid insurance</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(31,121)</w:t>
            </w:r>
          </w:p>
        </w:tc>
        <w:tc>
          <w:tcPr>
            <w:tcW w:w="1300" w:type="dxa"/>
            <w:vAlign w:val="bottom"/>
            <w:tcBorders>
              <w:left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(351)</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196"/>
        </w:trPr>
        <w:tc>
          <w:tcPr>
            <w:tcW w:w="6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Deposits with clearinghouse affiliate</w:t>
            </w:r>
          </w:p>
        </w:tc>
        <w:tc>
          <w:tcPr>
            <w:tcW w:w="5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lef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20,199</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11,002</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(19,728)</w:t>
            </w:r>
          </w:p>
        </w:tc>
        <w:tc>
          <w:tcPr>
            <w:tcW w:w="1300" w:type="dxa"/>
            <w:vAlign w:val="bottom"/>
            <w:tcBorders>
              <w:lef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23,292</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16,076</w:t>
            </w:r>
          </w:p>
        </w:tc>
        <w:tc>
          <w:tcPr>
            <w:tcW w:w="0" w:type="dxa"/>
            <w:vAlign w:val="bottom"/>
          </w:tcPr>
          <w:p>
            <w:pPr>
              <w:spacing w:after="0"/>
              <w:rPr>
                <w:sz w:val="1"/>
                <w:szCs w:val="1"/>
                <w:color w:val="auto"/>
              </w:rPr>
            </w:pPr>
          </w:p>
        </w:tc>
      </w:tr>
      <w:tr>
        <w:trPr>
          <w:trHeight w:val="196"/>
        </w:trPr>
        <w:tc>
          <w:tcPr>
            <w:tcW w:w="6240" w:type="dxa"/>
            <w:vAlign w:val="bottom"/>
          </w:tcPr>
          <w:p>
            <w:pPr>
              <w:ind w:left="660"/>
              <w:spacing w:after="0" w:line="197" w:lineRule="exact"/>
              <w:rPr>
                <w:sz w:val="20"/>
                <w:szCs w:val="20"/>
                <w:color w:val="auto"/>
              </w:rPr>
            </w:pPr>
            <w:r>
              <w:rPr>
                <w:rFonts w:ascii="Times New Roman" w:cs="Times New Roman" w:eastAsia="Times New Roman" w:hAnsi="Times New Roman"/>
                <w:sz w:val="16"/>
                <w:szCs w:val="16"/>
                <w:color w:val="auto"/>
              </w:rPr>
              <w:t xml:space="preserve">Due to related party (affiliate in Predecessor periods) </w:t>
            </w:r>
            <w:r>
              <w:rPr>
                <w:rFonts w:ascii="Times New Roman" w:cs="Times New Roman" w:eastAsia="Times New Roman" w:hAnsi="Times New Roman"/>
                <w:sz w:val="22"/>
                <w:szCs w:val="22"/>
                <w:color w:val="auto"/>
                <w:vertAlign w:val="superscript"/>
              </w:rPr>
              <w:t>(1)</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(1,696)</w:t>
            </w:r>
          </w:p>
        </w:tc>
        <w:tc>
          <w:tcPr>
            <w:tcW w:w="1300" w:type="dxa"/>
            <w:vAlign w:val="bottom"/>
            <w:tcBorders>
              <w:lef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457</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(7,927)</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revenues</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w:t>
            </w:r>
          </w:p>
        </w:tc>
        <w:tc>
          <w:tcPr>
            <w:tcW w:w="108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(4,331)</w:t>
            </w:r>
          </w:p>
        </w:tc>
        <w:tc>
          <w:tcPr>
            <w:tcW w:w="0" w:type="dxa"/>
            <w:vAlign w:val="bottom"/>
          </w:tcPr>
          <w:p>
            <w:pPr>
              <w:spacing w:after="0"/>
              <w:rPr>
                <w:sz w:val="1"/>
                <w:szCs w:val="1"/>
                <w:color w:val="auto"/>
              </w:rPr>
            </w:pPr>
          </w:p>
        </w:tc>
      </w:tr>
      <w:tr>
        <w:trPr>
          <w:trHeight w:val="196"/>
        </w:trPr>
        <w:tc>
          <w:tcPr>
            <w:tcW w:w="6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(12)</w:t>
            </w:r>
          </w:p>
        </w:tc>
        <w:tc>
          <w:tcPr>
            <w:tcW w:w="1300" w:type="dxa"/>
            <w:vAlign w:val="bottom"/>
            <w:tcBorders>
              <w:lef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(822)</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(1,192)</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Customer funds payable</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124</w:t>
            </w:r>
          </w:p>
        </w:tc>
        <w:tc>
          <w:tcPr>
            <w:tcW w:w="1300" w:type="dxa"/>
            <w:vAlign w:val="bottom"/>
            <w:tcBorders>
              <w:lef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345</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96"/>
        </w:trPr>
        <w:tc>
          <w:tcPr>
            <w:tcW w:w="6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assets and liabilities (Note 11)</w:t>
            </w:r>
          </w:p>
        </w:tc>
        <w:tc>
          <w:tcPr>
            <w:tcW w:w="5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(7,283)</w:t>
            </w:r>
          </w:p>
        </w:tc>
        <w:tc>
          <w:tcPr>
            <w:tcW w:w="1300" w:type="dxa"/>
            <w:vAlign w:val="bottom"/>
            <w:tcBorders>
              <w:lef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(801)</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(2,215)</w:t>
            </w:r>
          </w:p>
        </w:tc>
        <w:tc>
          <w:tcPr>
            <w:tcW w:w="0" w:type="dxa"/>
            <w:vAlign w:val="bottom"/>
          </w:tcPr>
          <w:p>
            <w:pPr>
              <w:spacing w:after="0"/>
              <w:rPr>
                <w:sz w:val="1"/>
                <w:szCs w:val="1"/>
                <w:color w:val="auto"/>
              </w:rPr>
            </w:pPr>
          </w:p>
        </w:tc>
      </w:tr>
      <w:tr>
        <w:trPr>
          <w:trHeight w:val="25"/>
        </w:trPr>
        <w:tc>
          <w:tcPr>
            <w:tcW w:w="6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(83,387)</w:t>
            </w:r>
          </w:p>
        </w:tc>
        <w:tc>
          <w:tcPr>
            <w:tcW w:w="1300" w:type="dxa"/>
            <w:vAlign w:val="bottom"/>
            <w:tcBorders>
              <w:left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(50,915)</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(30,940)</w:t>
            </w:r>
          </w:p>
        </w:tc>
        <w:tc>
          <w:tcPr>
            <w:tcW w:w="0" w:type="dxa"/>
            <w:vAlign w:val="bottom"/>
          </w:tcPr>
          <w:p>
            <w:pPr>
              <w:spacing w:after="0"/>
              <w:rPr>
                <w:sz w:val="1"/>
                <w:szCs w:val="1"/>
                <w:color w:val="auto"/>
              </w:rPr>
            </w:pPr>
          </w:p>
        </w:tc>
      </w:tr>
      <w:tr>
        <w:trPr>
          <w:trHeight w:val="200"/>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5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left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Capitalized internal-use software development costs and other capital expenditures</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(3,578)</w:t>
            </w:r>
          </w:p>
        </w:tc>
        <w:tc>
          <w:tcPr>
            <w:tcW w:w="1300" w:type="dxa"/>
            <w:vAlign w:val="bottom"/>
            <w:tcBorders>
              <w:left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(12,109)</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(20,569)</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5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left w:val="single" w:sz="8" w:color="auto"/>
            </w:tcBorders>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1,988</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disposal of assets</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lef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shares of affiliate stock</w:t>
            </w:r>
          </w:p>
        </w:tc>
        <w:tc>
          <w:tcPr>
            <w:tcW w:w="5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acquired through Business Combination</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30,837</w:t>
            </w:r>
          </w:p>
        </w:tc>
        <w:tc>
          <w:tcPr>
            <w:tcW w:w="400" w:type="dxa"/>
            <w:vAlign w:val="bottom"/>
            <w:tcBorders>
              <w:left w:val="single" w:sz="8" w:color="auto"/>
            </w:tcBorders>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10,652</w:t>
            </w:r>
          </w:p>
        </w:tc>
        <w:tc>
          <w:tcPr>
            <w:tcW w:w="0" w:type="dxa"/>
            <w:vAlign w:val="bottom"/>
          </w:tcPr>
          <w:p>
            <w:pPr>
              <w:spacing w:after="0"/>
              <w:rPr>
                <w:sz w:val="1"/>
                <w:szCs w:val="1"/>
                <w:color w:val="auto"/>
              </w:rPr>
            </w:pPr>
          </w:p>
        </w:tc>
      </w:tr>
      <w:tr>
        <w:trPr>
          <w:trHeight w:val="205"/>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5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27,259</w:t>
            </w:r>
          </w:p>
        </w:tc>
        <w:tc>
          <w:tcPr>
            <w:tcW w:w="180" w:type="dxa"/>
            <w:vAlign w:val="bottom"/>
          </w:tcPr>
          <w:p>
            <w:pPr>
              <w:spacing w:after="0"/>
              <w:rPr>
                <w:sz w:val="17"/>
                <w:szCs w:val="17"/>
                <w:color w:val="auto"/>
              </w:rPr>
            </w:pPr>
          </w:p>
        </w:tc>
        <w:tc>
          <w:tcPr>
            <w:tcW w:w="400" w:type="dxa"/>
            <w:vAlign w:val="bottom"/>
            <w:tcBorders>
              <w:left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6240" w:type="dxa"/>
            <w:vAlign w:val="bottom"/>
          </w:tcPr>
          <w:p>
            <w:pPr>
              <w:ind w:left="4900"/>
              <w:spacing w:after="0"/>
              <w:rPr>
                <w:sz w:val="20"/>
                <w:szCs w:val="20"/>
                <w:color w:val="auto"/>
              </w:rPr>
            </w:pPr>
            <w:r>
              <w:rPr>
                <w:rFonts w:ascii="Times New Roman" w:cs="Times New Roman" w:eastAsia="Times New Roman" w:hAnsi="Times New Roman"/>
                <w:sz w:val="16"/>
                <w:szCs w:val="16"/>
                <w:color w:val="auto"/>
              </w:rPr>
              <w:t>F-8</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453" w:right="959" w:bottom="1440" w:gutter="0" w:footer="0" w:header="0"/>
        </w:sectPr>
      </w:pPr>
    </w:p>
    <w:bookmarkStart w:id="162" w:name="page163"/>
    <w:bookmarkEnd w:id="16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Bakkt Holdings, Inc.</w:t>
      </w:r>
    </w:p>
    <w:p>
      <w:pPr>
        <w:spacing w:after="0" w:line="11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1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4"/>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4"/>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58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200" w:type="dxa"/>
            <w:vAlign w:val="bottom"/>
            <w:gridSpan w:val="2"/>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Borders>
              <w:top w:val="single" w:sz="8" w:color="auto"/>
            </w:tcBorders>
            <w:gridSpan w:val="3"/>
          </w:tcPr>
          <w:p>
            <w:pPr>
              <w:jc w:val="center"/>
              <w:ind w:right="26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2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21"/>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35"/>
        </w:trPr>
        <w:tc>
          <w:tcPr>
            <w:tcW w:w="6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2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80" w:type="dxa"/>
            <w:vAlign w:val="bottom"/>
          </w:tcPr>
          <w:p>
            <w:pPr>
              <w:spacing w:after="0"/>
              <w:rPr>
                <w:sz w:val="11"/>
                <w:szCs w:val="11"/>
                <w:color w:val="auto"/>
              </w:rPr>
            </w:pPr>
          </w:p>
        </w:tc>
        <w:tc>
          <w:tcPr>
            <w:tcW w:w="96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October 14,</w:t>
            </w:r>
          </w:p>
        </w:tc>
        <w:tc>
          <w:tcPr>
            <w:tcW w:w="20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65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 of finance lease liability</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(404)</w:t>
            </w:r>
          </w:p>
        </w:tc>
        <w:tc>
          <w:tcPr>
            <w:tcW w:w="20" w:type="dxa"/>
            <w:vAlign w:val="bottom"/>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 of redeemed Class A ordinary shares</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(84,530)</w:t>
            </w: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 of deferred underwriting fee</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(7,258)</w:t>
            </w:r>
          </w:p>
        </w:tc>
        <w:tc>
          <w:tcPr>
            <w:tcW w:w="20" w:type="dxa"/>
            <w:vAlign w:val="bottom"/>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the exercise of warrants (Note 9)</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37,117</w:t>
            </w: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PIPE, net of issuance costs (Note 4)</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312,000</w:t>
            </w: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Class C voting units (Note 10)</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37,800</w:t>
            </w:r>
          </w:p>
        </w:tc>
        <w:tc>
          <w:tcPr>
            <w:tcW w:w="0" w:type="dxa"/>
            <w:vAlign w:val="bottom"/>
          </w:tcPr>
          <w:p>
            <w:pPr>
              <w:spacing w:after="0"/>
              <w:rPr>
                <w:sz w:val="1"/>
                <w:szCs w:val="1"/>
                <w:color w:val="auto"/>
              </w:rPr>
            </w:pPr>
          </w:p>
        </w:tc>
      </w:tr>
      <w:tr>
        <w:trPr>
          <w:trHeight w:val="205"/>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256,925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(307)</w:t>
            </w: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248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01"/>
        </w:trPr>
        <w:tc>
          <w:tcPr>
            <w:tcW w:w="6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increase (decrease) in cash, cash equivalents, restricted cash and customer funds</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200,490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(61,106)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restricted cash and customer funds at the beginning of the period</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207,925</w:t>
            </w: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91,943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93,134</w:t>
            </w:r>
          </w:p>
        </w:tc>
        <w:tc>
          <w:tcPr>
            <w:tcW w:w="0" w:type="dxa"/>
            <w:vAlign w:val="bottom"/>
          </w:tcPr>
          <w:p>
            <w:pPr>
              <w:spacing w:after="0"/>
              <w:rPr>
                <w:sz w:val="1"/>
                <w:szCs w:val="1"/>
                <w:color w:val="auto"/>
              </w:rPr>
            </w:pPr>
          </w:p>
        </w:tc>
      </w:tr>
      <w:tr>
        <w:trPr>
          <w:trHeight w:val="201"/>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restricted cash and customer funds at the end of the period</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408,415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30,837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operating lease right-of-use asset acquired</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10,347</w:t>
            </w: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2,991</w:t>
            </w:r>
          </w:p>
        </w:tc>
        <w:tc>
          <w:tcPr>
            <w:tcW w:w="0" w:type="dxa"/>
            <w:vAlign w:val="bottom"/>
          </w:tcPr>
          <w:p>
            <w:pPr>
              <w:spacing w:after="0"/>
              <w:rPr>
                <w:sz w:val="1"/>
                <w:szCs w:val="1"/>
                <w:color w:val="auto"/>
              </w:rPr>
            </w:pPr>
          </w:p>
        </w:tc>
      </w:tr>
      <w:tr>
        <w:trPr>
          <w:trHeight w:val="196"/>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activity:</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Class A voting units in exchange of capital contribution (Note 10)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180"/>
        </w:trPr>
        <w:tc>
          <w:tcPr>
            <w:tcW w:w="658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Capitalized internal-use software development costs and other capital expenditures included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 accounts payable and accrued liabilities.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1,929</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1,564</w:t>
            </w:r>
          </w:p>
        </w:tc>
        <w:tc>
          <w:tcPr>
            <w:tcW w:w="0" w:type="dxa"/>
            <w:vAlign w:val="bottom"/>
          </w:tcPr>
          <w:p>
            <w:pPr>
              <w:spacing w:after="0"/>
              <w:rPr>
                <w:sz w:val="1"/>
                <w:szCs w:val="1"/>
                <w:color w:val="auto"/>
              </w:rPr>
            </w:pPr>
          </w:p>
        </w:tc>
      </w:tr>
      <w:tr>
        <w:trPr>
          <w:trHeight w:val="197"/>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Class B warrant</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5,426</w:t>
            </w:r>
          </w:p>
        </w:tc>
        <w:tc>
          <w:tcPr>
            <w:tcW w:w="0" w:type="dxa"/>
            <w:vAlign w:val="bottom"/>
          </w:tcPr>
          <w:p>
            <w:pPr>
              <w:spacing w:after="0"/>
              <w:rPr>
                <w:sz w:val="1"/>
                <w:szCs w:val="1"/>
                <w:color w:val="auto"/>
              </w:rPr>
            </w:pPr>
          </w:p>
        </w:tc>
      </w:tr>
      <w:tr>
        <w:trPr>
          <w:trHeight w:val="196"/>
        </w:trPr>
        <w:tc>
          <w:tcPr>
            <w:tcW w:w="6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Cashless exercise of private placement warrants</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64,978</w:t>
            </w: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contribution of Bridge2 Holdings by affiliate (Note 8)</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260,811</w:t>
            </w:r>
          </w:p>
        </w:tc>
        <w:tc>
          <w:tcPr>
            <w:tcW w:w="0" w:type="dxa"/>
            <w:vAlign w:val="bottom"/>
          </w:tcPr>
          <w:p>
            <w:pPr>
              <w:spacing w:after="0"/>
              <w:rPr>
                <w:sz w:val="1"/>
                <w:szCs w:val="1"/>
                <w:color w:val="auto"/>
              </w:rPr>
            </w:pPr>
          </w:p>
        </w:tc>
      </w:tr>
      <w:tr>
        <w:trPr>
          <w:trHeight w:val="180"/>
        </w:trPr>
        <w:tc>
          <w:tcPr>
            <w:tcW w:w="6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Reconciliation of cash, cash equivalents, restricted cash and customer funds to consolidated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balance sheet: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391,364</w:t>
            </w: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13,911</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75,361</w:t>
            </w:r>
          </w:p>
        </w:tc>
        <w:tc>
          <w:tcPr>
            <w:tcW w:w="0" w:type="dxa"/>
            <w:vAlign w:val="bottom"/>
          </w:tcPr>
          <w:p>
            <w:pPr>
              <w:spacing w:after="0"/>
              <w:rPr>
                <w:sz w:val="1"/>
                <w:szCs w:val="1"/>
                <w:color w:val="auto"/>
              </w:rPr>
            </w:pPr>
          </w:p>
        </w:tc>
      </w:tr>
      <w:tr>
        <w:trPr>
          <w:trHeight w:val="196"/>
        </w:trPr>
        <w:tc>
          <w:tcPr>
            <w:tcW w:w="6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16,500</w:t>
            </w: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16,500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16,500</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funds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551</w:t>
            </w: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426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1"/>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Total cash, cash equivalents, restricted cash and customer funds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408,415</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30,837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1020" w:right="740" w:hanging="397"/>
        <w:spacing w:after="0" w:line="291" w:lineRule="auto"/>
        <w:tabs>
          <w:tab w:leader="none" w:pos="10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Business Combination (Note 4), ICE and its affiliates are no longer our affiliates. Refer to Note 8 for our related party disclosures.</w:t>
      </w:r>
    </w:p>
    <w:p>
      <w:pPr>
        <w:spacing w:after="0" w:line="14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4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color w:val="auto"/>
        </w:rPr>
        <w:t>F-9</w:t>
      </w:r>
    </w:p>
    <w:p>
      <w:pPr>
        <w:sectPr>
          <w:pgSz w:w="11900" w:h="16838" w:orient="portrait"/>
          <w:cols w:equalWidth="0" w:num="1">
            <w:col w:w="10620"/>
          </w:cols>
          <w:pgMar w:left="320" w:top="453" w:right="959" w:bottom="1440" w:gutter="0" w:footer="0" w:header="0"/>
        </w:sectPr>
      </w:pPr>
    </w:p>
    <w:bookmarkStart w:id="163" w:name="page164"/>
    <w:bookmarkEnd w:id="16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8" w:lineRule="exact"/>
        <w:rPr>
          <w:sz w:val="20"/>
          <w:szCs w:val="20"/>
          <w:color w:val="auto"/>
        </w:rPr>
      </w:pPr>
    </w:p>
    <w:p>
      <w:pPr>
        <w:ind w:left="620" w:right="6940" w:firstLine="3"/>
        <w:spacing w:after="0" w:line="386" w:lineRule="auto"/>
        <w:tabs>
          <w:tab w:leader="none" w:pos="783" w:val="left"/>
        </w:tabs>
        <w:numPr>
          <w:ilvl w:val="0"/>
          <w:numId w:val="1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Description of Business Organization</w:t>
      </w:r>
    </w:p>
    <w:p>
      <w:pPr>
        <w:spacing w:after="0" w:line="1" w:lineRule="exact"/>
        <w:rPr>
          <w:sz w:val="20"/>
          <w:szCs w:val="20"/>
          <w:color w:val="auto"/>
        </w:rPr>
      </w:pPr>
    </w:p>
    <w:p>
      <w:pPr>
        <w:ind w:left="620" w:right="160" w:firstLine="400"/>
        <w:spacing w:after="0" w:line="273" w:lineRule="auto"/>
        <w:rPr>
          <w:sz w:val="20"/>
          <w:szCs w:val="20"/>
          <w:color w:val="auto"/>
        </w:rPr>
      </w:pPr>
      <w:r>
        <w:rPr>
          <w:rFonts w:ascii="Times New Roman" w:cs="Times New Roman" w:eastAsia="Times New Roman" w:hAnsi="Times New Roman"/>
          <w:sz w:val="16"/>
          <w:szCs w:val="16"/>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 VIH’s sponsor was VPC Impact Acquisition Holdings Sponsor, LLC (the “Sponsor”).</w:t>
      </w:r>
    </w:p>
    <w:p>
      <w:pPr>
        <w:spacing w:after="0" w:line="157" w:lineRule="exact"/>
        <w:rPr>
          <w:sz w:val="20"/>
          <w:szCs w:val="20"/>
          <w:color w:val="auto"/>
        </w:rPr>
      </w:pPr>
    </w:p>
    <w:p>
      <w:pPr>
        <w:ind w:left="620" w:right="20" w:firstLine="400"/>
        <w:spacing w:after="0" w:line="261" w:lineRule="auto"/>
        <w:rPr>
          <w:sz w:val="20"/>
          <w:szCs w:val="20"/>
          <w:color w:val="auto"/>
        </w:rPr>
      </w:pPr>
      <w:r>
        <w:rPr>
          <w:rFonts w:ascii="Times New Roman" w:cs="Times New Roman" w:eastAsia="Times New Roman" w:hAnsi="Times New Roman"/>
          <w:sz w:val="16"/>
          <w:szCs w:val="16"/>
          <w:color w:val="auto"/>
        </w:rPr>
        <w:t>The registration statement for VIH’s Initial Public Offering was declared effective on September 22, 2020. On September 25, 2020, VIH consummated the Initial Public Offering of 20,000,000 units (the “Units”), generating gross proceeds of $200.0 million. Simultaneously with the closing of the Initial Public Offering, VIH consummated the sale of 6,000,000 warrants (the “private placement warrants”) at a price of $1.00 per Private Placement Warrant in a private placement to the Sponsor, generating gross proceeds of $6.0 million. On September 29, 2020, the underwriters notified VIH of their intention to partially exercise their over-allotment option on October 1, 2020. As such, on October 1, 2020, VIH consummated the sale of an additional 737,202 Units, at $10.00 per Unit, and the sale of an additional 147,440 private placement warrants, at $1.00 per Private Warrant, generating total gross proceeds of $7.5 million.</w:t>
      </w:r>
    </w:p>
    <w:p>
      <w:pPr>
        <w:spacing w:after="0" w:line="168" w:lineRule="exact"/>
        <w:rPr>
          <w:sz w:val="20"/>
          <w:szCs w:val="20"/>
          <w:color w:val="auto"/>
        </w:rPr>
      </w:pPr>
    </w:p>
    <w:p>
      <w:pPr>
        <w:ind w:left="620" w:right="180" w:firstLine="400"/>
        <w:spacing w:after="0" w:line="273" w:lineRule="auto"/>
        <w:rPr>
          <w:sz w:val="20"/>
          <w:szCs w:val="20"/>
          <w:color w:val="auto"/>
        </w:rPr>
      </w:pPr>
      <w:r>
        <w:rPr>
          <w:rFonts w:ascii="Times New Roman" w:cs="Times New Roman" w:eastAsia="Times New Roman" w:hAnsi="Times New Roman"/>
          <w:sz w:val="16"/>
          <w:szCs w:val="16"/>
          <w:color w:val="auto"/>
        </w:rPr>
        <w:t>Following the closing of the Initial Public Offering on September 25, 2020 and the partial exercise of the underwriter’s over-allotment on October 1, 2020, an amount of approximately $207.4 million ($10.00 per Unit) from the proceeds of the sale of the Units in the Initial Public Offering and the sale of the private placement warrants, net of transaction costs, was placed in a trust account (the “Trust Account”).</w:t>
      </w:r>
    </w:p>
    <w:p>
      <w:pPr>
        <w:spacing w:after="0" w:line="157" w:lineRule="exact"/>
        <w:rPr>
          <w:sz w:val="20"/>
          <w:szCs w:val="20"/>
          <w:color w:val="auto"/>
        </w:rPr>
      </w:pPr>
    </w:p>
    <w:p>
      <w:pPr>
        <w:ind w:left="620" w:firstLine="400"/>
        <w:spacing w:after="0" w:line="267" w:lineRule="auto"/>
        <w:rPr>
          <w:sz w:val="20"/>
          <w:szCs w:val="20"/>
          <w:color w:val="auto"/>
        </w:rPr>
      </w:pPr>
      <w:r>
        <w:rPr>
          <w:rFonts w:ascii="Times New Roman" w:cs="Times New Roman" w:eastAsia="Times New Roman" w:hAnsi="Times New Roman"/>
          <w:sz w:val="16"/>
          <w:szCs w:val="16"/>
          <w:color w:val="auto"/>
        </w:rPr>
        <w:t>On October 15, 2021 (the “Closing Date”), VIH and Bakkt Opco Holdings, LLC and its operating subsidiaries (f/k/a Bakkt Holdings, LLC, “Opco”) consummated a business combination (the “Business Combination”) contemplated by the definitive Agreement and Plan of Merger entered into on January 11, 2021 (as amended, the “Merger Agreement”). In connection with the finalization of the Business Combination, VIH changed its name to “Bakkt Holdings, Inc.” and changed its jurisdiction of incorporation from the Cayman Islands to the State of Delaware (the “Domestication”).</w:t>
      </w:r>
    </w:p>
    <w:p>
      <w:pPr>
        <w:spacing w:after="0" w:line="162" w:lineRule="exact"/>
        <w:rPr>
          <w:sz w:val="20"/>
          <w:szCs w:val="20"/>
          <w:color w:val="auto"/>
        </w:rPr>
      </w:pPr>
    </w:p>
    <w:p>
      <w:pPr>
        <w:ind w:left="620" w:right="100" w:firstLine="400"/>
        <w:spacing w:after="0" w:line="291" w:lineRule="auto"/>
        <w:rPr>
          <w:sz w:val="20"/>
          <w:szCs w:val="20"/>
          <w:color w:val="auto"/>
        </w:rPr>
      </w:pPr>
      <w:r>
        <w:rPr>
          <w:rFonts w:ascii="Times New Roman" w:cs="Times New Roman" w:eastAsia="Times New Roman" w:hAnsi="Times New Roman"/>
          <w:sz w:val="16"/>
          <w:szCs w:val="16"/>
          <w:color w:val="auto"/>
        </w:rPr>
        <w:t>Unless the context otherwise provides, “we,” “us,” “our,” “Bakkt”, the “Company” and like terms refer (i) prior to the Closing Date, to Opco and its subsidiaries and (ii) after the Closing Date, to Bakkt Holdings, Inc. and its subsidiaries, including Opco.</w:t>
      </w:r>
    </w:p>
    <w:p>
      <w:pPr>
        <w:spacing w:after="0" w:line="142" w:lineRule="exact"/>
        <w:rPr>
          <w:sz w:val="20"/>
          <w:szCs w:val="20"/>
          <w:color w:val="auto"/>
        </w:rPr>
      </w:pPr>
    </w:p>
    <w:p>
      <w:pPr>
        <w:ind w:left="620" w:right="20" w:firstLine="400"/>
        <w:spacing w:after="0" w:line="273" w:lineRule="auto"/>
        <w:rPr>
          <w:sz w:val="20"/>
          <w:szCs w:val="20"/>
          <w:color w:val="auto"/>
        </w:rPr>
      </w:pPr>
      <w:r>
        <w:rPr>
          <w:rFonts w:ascii="Times New Roman" w:cs="Times New Roman" w:eastAsia="Times New Roman" w:hAnsi="Times New Roman"/>
          <w:sz w:val="16"/>
          <w:szCs w:val="16"/>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57" w:lineRule="exact"/>
        <w:rPr>
          <w:sz w:val="20"/>
          <w:szCs w:val="20"/>
          <w:color w:val="auto"/>
        </w:rPr>
      </w:pPr>
    </w:p>
    <w:p>
      <w:pPr>
        <w:ind w:left="620" w:right="60" w:firstLine="400"/>
        <w:spacing w:after="0" w:line="264" w:lineRule="auto"/>
        <w:rPr>
          <w:sz w:val="20"/>
          <w:szCs w:val="20"/>
          <w:color w:val="auto"/>
        </w:rPr>
      </w:pPr>
      <w:r>
        <w:rPr>
          <w:rFonts w:ascii="Times New Roman" w:cs="Times New Roman" w:eastAsia="Times New Roman" w:hAnsi="Times New Roman"/>
          <w:sz w:val="16"/>
          <w:szCs w:val="16"/>
          <w:color w:val="auto"/>
        </w:rPr>
        <w:t>In connection with the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 Refer to Note 4 for further discussion on the Business Combination.</w:t>
      </w:r>
    </w:p>
    <w:p>
      <w:pPr>
        <w:spacing w:after="0" w:line="165" w:lineRule="exact"/>
        <w:rPr>
          <w:sz w:val="20"/>
          <w:szCs w:val="20"/>
          <w:color w:val="auto"/>
        </w:rPr>
      </w:pPr>
    </w:p>
    <w:p>
      <w:pPr>
        <w:ind w:left="620" w:right="520" w:firstLine="400"/>
        <w:spacing w:after="0" w:line="291" w:lineRule="auto"/>
        <w:rPr>
          <w:sz w:val="20"/>
          <w:szCs w:val="20"/>
          <w:color w:val="auto"/>
        </w:rPr>
      </w:pPr>
      <w:r>
        <w:rPr>
          <w:rFonts w:ascii="Times New Roman" w:cs="Times New Roman" w:eastAsia="Times New Roman" w:hAnsi="Times New Roman"/>
          <w:sz w:val="16"/>
          <w:szCs w:val="16"/>
          <w:color w:val="auto"/>
        </w:rPr>
        <w:t>Our Class A common stock and warrants are listed on the New York Stock Exchange under the ticker symbols “BKKT” and “BKKT WS,” respectively.</w:t>
      </w:r>
    </w:p>
    <w:p>
      <w:pPr>
        <w:spacing w:after="0" w:line="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F-10</w:t>
      </w:r>
    </w:p>
    <w:p>
      <w:pPr>
        <w:sectPr>
          <w:pgSz w:w="11900" w:h="16838" w:orient="portrait"/>
          <w:cols w:equalWidth="0" w:num="1">
            <w:col w:w="10620"/>
          </w:cols>
          <w:pgMar w:left="320" w:top="453" w:right="959" w:bottom="1440" w:gutter="0" w:footer="0" w:header="0"/>
        </w:sectPr>
      </w:pPr>
    </w:p>
    <w:bookmarkStart w:id="164" w:name="page165"/>
    <w:bookmarkEnd w:id="16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Description of Business</w:t>
      </w:r>
    </w:p>
    <w:p>
      <w:pPr>
        <w:spacing w:after="0" w:line="114" w:lineRule="exact"/>
        <w:rPr>
          <w:sz w:val="20"/>
          <w:szCs w:val="20"/>
          <w:color w:val="auto"/>
        </w:rPr>
      </w:pPr>
    </w:p>
    <w:p>
      <w:pPr>
        <w:ind w:left="620" w:right="340" w:firstLine="400"/>
        <w:spacing w:after="0" w:line="291" w:lineRule="auto"/>
        <w:rPr>
          <w:sz w:val="20"/>
          <w:szCs w:val="20"/>
          <w:color w:val="auto"/>
        </w:rPr>
      </w:pPr>
      <w:r>
        <w:rPr>
          <w:rFonts w:ascii="Times New Roman" w:cs="Times New Roman" w:eastAsia="Times New Roman" w:hAnsi="Times New Roman"/>
          <w:sz w:val="16"/>
          <w:szCs w:val="16"/>
          <w:color w:val="auto"/>
        </w:rPr>
        <w:t>We offer a platform with three complementary aspects—a digital asset marketplace, a loyalty redemption service, and an alternative payment method.</w:t>
      </w:r>
    </w:p>
    <w:p>
      <w:pPr>
        <w:spacing w:after="0" w:line="138"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b w:val="1"/>
          <w:bCs w:val="1"/>
          <w:color w:val="auto"/>
        </w:rPr>
        <w:t>Digital Asset Marketplace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Our digital asset marketplace enables participants to seamlessly transact in a growing universe of digital assets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has applications for individual consumers, businesses and institutions. Through Bakkt Trust Company LLC (“Bakkt Trust”), we have an institutional-grade custodian for bitcoin and ether. Bakkt Trust is a New York limited-purpose trust company that is chartered by and subject to the supervision and oversight of the New York Department of Financial Services (“NYDFS”). In September 2019, Bakkt Trust, along with ICE Futures U.S., Inc. (“IFUS”) and ICE Clear US, Inc.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offers non-trading- related, standalone custody of bitcoin and ether to institutions and certain high net worth individuals in cryptoassets, subject to NYDFS regulatory oversight.</w:t>
      </w:r>
    </w:p>
    <w:p>
      <w:pPr>
        <w:spacing w:after="0" w:line="360" w:lineRule="exact"/>
        <w:rPr>
          <w:sz w:val="20"/>
          <w:szCs w:val="20"/>
          <w:color w:val="auto"/>
        </w:rPr>
      </w:pPr>
    </w:p>
    <w:p>
      <w:pPr>
        <w:ind w:left="620" w:right="60" w:firstLine="400"/>
        <w:spacing w:after="0" w:line="269" w:lineRule="auto"/>
        <w:rPr>
          <w:sz w:val="20"/>
          <w:szCs w:val="20"/>
          <w:color w:val="auto"/>
        </w:rPr>
      </w:pPr>
      <w:r>
        <w:rPr>
          <w:rFonts w:ascii="Times New Roman" w:cs="Times New Roman" w:eastAsia="Times New Roman" w:hAnsi="Times New Roman"/>
          <w:sz w:val="16"/>
          <w:szCs w:val="16"/>
          <w:b w:val="1"/>
          <w:bCs w:val="1"/>
          <w:color w:val="auto"/>
        </w:rPr>
        <w:t>Loyalty Redemption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Our loyalty redemption service, an institutional-grade loyalty platform born out of our acquisition of Bridge2 Solutions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February 2020 (Note 4), provides seamless and cost-effective options for consumers to use their loyalty points. Our loyalty redemption platform, which is cloud-based and delivered through major web browsers and mobile devices, connects loyalty programs to leading commerce partners allowing consumers to redeem a spectrum of loyalty currencies for merchandise, services and gift cards.</w:t>
      </w:r>
    </w:p>
    <w:p>
      <w:pPr>
        <w:spacing w:after="0" w:line="156" w:lineRule="exact"/>
        <w:rPr>
          <w:sz w:val="20"/>
          <w:szCs w:val="20"/>
          <w:color w:val="auto"/>
        </w:rPr>
      </w:pPr>
    </w:p>
    <w:p>
      <w:pPr>
        <w:ind w:left="620" w:firstLine="400"/>
        <w:spacing w:after="0" w:line="262" w:lineRule="auto"/>
        <w:rPr>
          <w:sz w:val="20"/>
          <w:szCs w:val="20"/>
          <w:color w:val="auto"/>
        </w:rPr>
      </w:pPr>
      <w:r>
        <w:rPr>
          <w:rFonts w:ascii="Times New Roman" w:cs="Times New Roman" w:eastAsia="Times New Roman" w:hAnsi="Times New Roman"/>
          <w:sz w:val="16"/>
          <w:szCs w:val="16"/>
          <w:b w:val="1"/>
          <w:bCs w:val="1"/>
          <w:color w:val="auto"/>
        </w:rPr>
        <w:t>Alternative Payments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Our alternative payments platform provides choice and convenience to both consumers and merchants. Through Bakkt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Marketplace, LLC (“Bakkt Marketplace”), we have an integrated platform that enables consumers and enterprises to transact in digital assets. Alternative payments users have a digital wallet that enables them to purchase, sell, convert, and or spend digital assets. Users can also use their digital wallet to spend fiat currency with various retailers and convert loyalty and rewards points into fiat currency. We have received money transmitter licenses from all states throughout the U.S. where such licenses are required, have obtained a New York State virtual currency license, and are registered as a money services business with the Financial Crimes Enforcement Network of the United States Department of the Treasury. Bakkt Trust’s custody solution provides support to Bakkt Marketplace with respect to bitcoin and ether functionality within the consumer app.</w:t>
      </w:r>
    </w:p>
    <w:p>
      <w:pPr>
        <w:spacing w:after="0" w:line="261" w:lineRule="exact"/>
        <w:rPr>
          <w:sz w:val="20"/>
          <w:szCs w:val="20"/>
          <w:color w:val="auto"/>
        </w:rPr>
      </w:pPr>
    </w:p>
    <w:p>
      <w:pPr>
        <w:ind w:left="620" w:right="6740" w:firstLine="3"/>
        <w:spacing w:after="0" w:line="386" w:lineRule="auto"/>
        <w:tabs>
          <w:tab w:leader="none" w:pos="783"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Basis of Presentation and Consolidation</w:t>
      </w:r>
    </w:p>
    <w:p>
      <w:pPr>
        <w:spacing w:after="0" w:line="1" w:lineRule="exact"/>
        <w:rPr>
          <w:sz w:val="20"/>
          <w:szCs w:val="20"/>
          <w:color w:val="auto"/>
        </w:rPr>
      </w:pPr>
    </w:p>
    <w:p>
      <w:pPr>
        <w:ind w:left="620" w:right="80" w:firstLine="400"/>
        <w:spacing w:after="0" w:line="260" w:lineRule="auto"/>
        <w:rPr>
          <w:sz w:val="20"/>
          <w:szCs w:val="20"/>
          <w:color w:val="auto"/>
        </w:rPr>
      </w:pPr>
      <w:r>
        <w:rPr>
          <w:rFonts w:ascii="Times New Roman" w:cs="Times New Roman" w:eastAsia="Times New Roman" w:hAnsi="Times New Roman"/>
          <w:sz w:val="16"/>
          <w:szCs w:val="16"/>
          <w:color w:val="auto"/>
        </w:rPr>
        <w:t>As a result of the Business Combination, we evaluated if VIH or Opco is the predecessor for accounting purposes. In connection therewith, we considered the application of Rule 405 of Regulation C, the interpretive guidance of the staff of the SEC, including factors for registrants to consider in determining the predecessor, and analyzed the following: (1) the order in which the entities were acquired, (2) the size of the entities, (3) the fair value of the entities, (4) the historical and ongoing management structure, and (5) how management discusses our business in this Form 10-K. In considering the foregoing principles of predecessor determination in light of our specific facts and circumstances, we determined that Opco is the predecessor for accounting purposes. The financial statement presentation includes the financial statements of Opco as “Predecessor” for periods prior to the Closing Date and the financial statements of the Company as “Successor” for the period after the Closing Date, including the consolidation of Opco. Refer to Note 4 for further discussion on the Business Combination.</w:t>
      </w:r>
    </w:p>
    <w:p>
      <w:pPr>
        <w:spacing w:after="0" w:line="170" w:lineRule="exact"/>
        <w:rPr>
          <w:sz w:val="20"/>
          <w:szCs w:val="20"/>
          <w:color w:val="auto"/>
        </w:rPr>
      </w:pPr>
    </w:p>
    <w:p>
      <w:pPr>
        <w:jc w:val="both"/>
        <w:ind w:left="620" w:right="120" w:firstLine="400"/>
        <w:spacing w:after="0" w:line="273" w:lineRule="auto"/>
        <w:rPr>
          <w:sz w:val="20"/>
          <w:szCs w:val="20"/>
          <w:color w:val="auto"/>
        </w:rPr>
      </w:pPr>
      <w:r>
        <w:rPr>
          <w:rFonts w:ascii="Times New Roman" w:cs="Times New Roman" w:eastAsia="Times New Roman" w:hAnsi="Times New Roman"/>
          <w:sz w:val="16"/>
          <w:szCs w:val="16"/>
          <w:color w:val="auto"/>
        </w:rPr>
        <w:t>The financial statements are prepared in accordance with United States generally accepted accounting principles (“U.S. GAAP”) and include the accounts of the Company and our subsidiaries. All intercompany balances and transactions have been eliminated in consolidation. In addition, certain reclassifications of amounts</w:t>
      </w:r>
    </w:p>
    <w:p>
      <w:pPr>
        <w:spacing w:after="0" w:line="9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F-11</w:t>
      </w:r>
    </w:p>
    <w:p>
      <w:pPr>
        <w:sectPr>
          <w:pgSz w:w="11900" w:h="16838" w:orient="portrait"/>
          <w:cols w:equalWidth="0" w:num="1">
            <w:col w:w="10600"/>
          </w:cols>
          <w:pgMar w:left="320" w:top="452" w:right="979" w:bottom="1440" w:gutter="0" w:footer="0" w:header="0"/>
        </w:sectPr>
      </w:pPr>
    </w:p>
    <w:bookmarkStart w:id="165" w:name="page166"/>
    <w:bookmarkEnd w:id="16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previously reported have been made to the accompanying consolidated financial statements in order to conform to current presentation.</w:t>
      </w:r>
    </w:p>
    <w:p>
      <w:pPr>
        <w:spacing w:after="0" w:line="208" w:lineRule="exact"/>
        <w:rPr>
          <w:sz w:val="20"/>
          <w:szCs w:val="20"/>
          <w:color w:val="auto"/>
        </w:rPr>
      </w:pPr>
    </w:p>
    <w:p>
      <w:pPr>
        <w:ind w:left="620" w:right="240" w:firstLine="400"/>
        <w:spacing w:after="0" w:line="291" w:lineRule="auto"/>
        <w:rPr>
          <w:sz w:val="20"/>
          <w:szCs w:val="20"/>
          <w:color w:val="auto"/>
        </w:rPr>
      </w:pPr>
      <w:r>
        <w:rPr>
          <w:rFonts w:ascii="Times New Roman" w:cs="Times New Roman" w:eastAsia="Times New Roman" w:hAnsi="Times New Roman"/>
          <w:sz w:val="16"/>
          <w:szCs w:val="16"/>
          <w:color w:val="auto"/>
        </w:rPr>
        <w:t>In the opinion of management, all adjustments (consisting of normal recurring accruals), considered necessary for a fair presentation have been included. The historical financial information is not necessarily indicative of our future results of operations, financial position, and cash flows.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14"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amounts reported in the financial statements and accompanying notes. We base our estimates on historical experience and various other assumptions that we believe to be reasonable under the circumstances. The inputs into our estimates consider the economic implications of COVID-19 on our critical and significant accounting estimates. Additionally, subsequent to December 31, 2021, there has been a military conflict in Eastern Europe that may have an impact on our operations. As of the date of issuance, the conflict is still ongoing and thus there is uncertainty as to the ultimate impact to us. The significant estimates and assumptions that affect the financial statements may include, but are not limited to, those that are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Opco common units, incentive units and participation units. Actual results may materially differ from management’s estimates.</w:t>
      </w: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Segment Information</w:t>
      </w:r>
    </w:p>
    <w:p>
      <w:pPr>
        <w:spacing w:after="0" w:line="114" w:lineRule="exact"/>
        <w:rPr>
          <w:sz w:val="20"/>
          <w:szCs w:val="20"/>
          <w:color w:val="auto"/>
        </w:rPr>
      </w:pPr>
    </w:p>
    <w:p>
      <w:pPr>
        <w:ind w:left="620" w:right="80" w:firstLine="400"/>
        <w:spacing w:after="0" w:line="267" w:lineRule="auto"/>
        <w:rPr>
          <w:sz w:val="20"/>
          <w:szCs w:val="20"/>
          <w:color w:val="auto"/>
        </w:rPr>
      </w:pPr>
      <w:r>
        <w:rPr>
          <w:rFonts w:ascii="Times New Roman" w:cs="Times New Roman" w:eastAsia="Times New Roman" w:hAnsi="Times New Roman"/>
          <w:sz w:val="16"/>
          <w:szCs w:val="16"/>
          <w:color w:val="auto"/>
        </w:rPr>
        <w:t>We operate in one operating and reportable segment. Operating segments are defined as components of an enterprise about which separate financial information is evaluated regularly by the chief operating decision maker, who is our chief executive officer (“CEO”), in deciding how to allocate resources and assessing performance. Further, all material operations are within the United States. Our chief operating decision maker allocates resources and assesses performance based upon discrete financial information at the consolidated level.</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w:t>
      </w:r>
    </w:p>
    <w:p>
      <w:pPr>
        <w:spacing w:after="0" w:line="114" w:lineRule="exact"/>
        <w:rPr>
          <w:sz w:val="20"/>
          <w:szCs w:val="20"/>
          <w:color w:val="auto"/>
        </w:rPr>
      </w:pPr>
    </w:p>
    <w:p>
      <w:pPr>
        <w:jc w:val="both"/>
        <w:ind w:left="620" w:right="140" w:firstLine="400"/>
        <w:spacing w:after="0" w:line="291" w:lineRule="auto"/>
        <w:rPr>
          <w:sz w:val="20"/>
          <w:szCs w:val="20"/>
          <w:color w:val="auto"/>
        </w:rPr>
      </w:pPr>
      <w:r>
        <w:rPr>
          <w:rFonts w:ascii="Times New Roman" w:cs="Times New Roman" w:eastAsia="Times New Roman" w:hAnsi="Times New Roman"/>
          <w:sz w:val="16"/>
          <w:szCs w:val="16"/>
          <w:color w:val="auto"/>
        </w:rPr>
        <w:t>We consider all short-term, highly liquid investments with maturities from the purchase date of three months or less to be cash equivalents. Cash equivalents consists of amounts invested in money market funds of $343.1 million and $38.8 million as of December 31, 2021 and 2020, respectively.</w:t>
      </w:r>
    </w:p>
    <w:p>
      <w:pPr>
        <w:spacing w:after="0" w:line="142" w:lineRule="exact"/>
        <w:rPr>
          <w:sz w:val="20"/>
          <w:szCs w:val="20"/>
          <w:color w:val="auto"/>
        </w:rPr>
      </w:pPr>
    </w:p>
    <w:p>
      <w:pPr>
        <w:ind w:left="620" w:right="280" w:firstLine="400"/>
        <w:spacing w:after="0" w:line="291" w:lineRule="auto"/>
        <w:rPr>
          <w:sz w:val="20"/>
          <w:szCs w:val="20"/>
          <w:color w:val="auto"/>
        </w:rPr>
      </w:pPr>
      <w:r>
        <w:rPr>
          <w:rFonts w:ascii="Times New Roman" w:cs="Times New Roman" w:eastAsia="Times New Roman" w:hAnsi="Times New Roman"/>
          <w:sz w:val="16"/>
          <w:szCs w:val="16"/>
          <w:color w:val="auto"/>
        </w:rPr>
        <w:t>We classify all cash and cash equivalents that are not available for immediate or general business use as restricted. The restricted cash includes amounts set aside due to regulatory requirements (Note 13).</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Customer Funds and Customer Funds Payable</w:t>
      </w:r>
    </w:p>
    <w:p>
      <w:pPr>
        <w:spacing w:after="0" w:line="114" w:lineRule="exact"/>
        <w:rPr>
          <w:sz w:val="20"/>
          <w:szCs w:val="20"/>
          <w:color w:val="auto"/>
        </w:rPr>
      </w:pPr>
    </w:p>
    <w:p>
      <w:pPr>
        <w:jc w:val="both"/>
        <w:ind w:left="620" w:right="220" w:firstLine="400"/>
        <w:spacing w:after="0" w:line="273" w:lineRule="auto"/>
        <w:rPr>
          <w:sz w:val="20"/>
          <w:szCs w:val="20"/>
          <w:color w:val="auto"/>
        </w:rPr>
      </w:pPr>
      <w:r>
        <w:rPr>
          <w:rFonts w:ascii="Times New Roman" w:cs="Times New Roman" w:eastAsia="Times New Roman" w:hAnsi="Times New Roman"/>
          <w:sz w:val="16"/>
          <w:szCs w:val="16"/>
          <w:color w:val="auto"/>
        </w:rPr>
        <w:t>Customer funds represents fiat currency deposited in digital wallets. In accordance with state money transmitter laws, we may invest customer cash deposits in certain permissible investments. As of December 31, 2021, we have not made any such investments. We classify the assets as current since they are readily available for customer use with a corresponding customer funds payable liability.</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Translation of Foreign Currencies and Foreign Currency Transactions</w:t>
      </w:r>
    </w:p>
    <w:p>
      <w:pPr>
        <w:spacing w:after="0" w:line="114" w:lineRule="exact"/>
        <w:rPr>
          <w:sz w:val="20"/>
          <w:szCs w:val="20"/>
          <w:color w:val="auto"/>
        </w:rPr>
      </w:pPr>
    </w:p>
    <w:p>
      <w:pPr>
        <w:ind w:left="620" w:right="100" w:firstLine="400"/>
        <w:spacing w:after="0" w:line="267" w:lineRule="auto"/>
        <w:rPr>
          <w:sz w:val="20"/>
          <w:szCs w:val="20"/>
          <w:color w:val="auto"/>
        </w:rPr>
      </w:pPr>
      <w:r>
        <w:rPr>
          <w:rFonts w:ascii="Times New Roman" w:cs="Times New Roman" w:eastAsia="Times New Roman" w:hAnsi="Times New Roman"/>
          <w:sz w:val="16"/>
          <w:szCs w:val="16"/>
          <w:color w:val="auto"/>
        </w:rPr>
        <w:t>Our foreign subsidiaries’ functional currencies are their respective local currencies. The assets and liabilities of foreign subsidiaries are translated into U.S. dollars at the exchange rate at the balance sheet date. Revenue and expenses are translated using average monthly rates. Translation adjustments are included in “Accumulated other comprehensive income” in the balance sheets and reflected as “Currency translation adjustment, net of tax” in the accompanying consolidated statements of operations (the “statements of operations”).</w:t>
      </w:r>
    </w:p>
    <w:p>
      <w:pPr>
        <w:spacing w:after="0" w:line="1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F-12</w:t>
      </w:r>
    </w:p>
    <w:p>
      <w:pPr>
        <w:sectPr>
          <w:pgSz w:w="11900" w:h="16838" w:orient="portrait"/>
          <w:cols w:equalWidth="0" w:num="1">
            <w:col w:w="10620"/>
          </w:cols>
          <w:pgMar w:left="320" w:top="453" w:right="959" w:bottom="1440" w:gutter="0" w:footer="0" w:header="0"/>
        </w:sectPr>
      </w:pPr>
    </w:p>
    <w:bookmarkStart w:id="166" w:name="page167"/>
    <w:bookmarkEnd w:id="16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300" w:firstLine="400"/>
        <w:spacing w:after="0" w:line="264" w:lineRule="auto"/>
        <w:rPr>
          <w:sz w:val="20"/>
          <w:szCs w:val="20"/>
          <w:color w:val="auto"/>
        </w:rPr>
      </w:pPr>
      <w:r>
        <w:rPr>
          <w:rFonts w:ascii="Times New Roman" w:cs="Times New Roman" w:eastAsia="Times New Roman" w:hAnsi="Times New Roman"/>
          <w:sz w:val="16"/>
          <w:szCs w:val="16"/>
          <w:color w:val="auto"/>
        </w:rPr>
        <w:t>Transactions denominated in currencies other than the functional currency are remeasured based on the exchange rates at the time of the transaction. Monetary assets and liabilities are translated at the rate in effect at the balance sheet date, with subsequent changes in exchange rates resulting in transaction gains or losses, which are included in “Other income (expense), net” in the statements of operations and comprehensive loss. Non-monetary assets and liabilities are translated at historical rates and revenue and expenses are translated at average rates in effect during each reporting period.</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Accounts Receivable and Allowance for Doubtful Accounts</w:t>
      </w:r>
    </w:p>
    <w:p>
      <w:pPr>
        <w:spacing w:after="0" w:line="114"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We classify rights to consideration in exchange for services or goods as accounts receivables. Accounts receivable are rights to consideration that are unconditional (i.e., only the passage of time is required before payment is due). “Accounts receivable, net” includes billed and contract assets (i.e., unbilled receivables), net of an estimated allowance for doubtful accounts. We calculate the allowance using the current expected credit loss model. It is based upon historical loss patterns, the number of days that billings are past due, an evaluation of the potential risk of loss associated with delinquent accounts and incorporates the use of forward-looking information over the contractual term of our accounts receivable. Receivables are written-off and charged against our recorded allowance when we have exhausted collection efforts without success. The allowance for doubtful accounts was approximately $0.2 million and $0.2 million as of December 31, 2021 and 2020, respectively. There were no write-offs of receivables during the periods from October 15, 2021 through December 31, 2021 and January 1, 2021 through October 14, 2021, and the year ended December 31, 2020, respectively.</w:t>
      </w:r>
    </w:p>
    <w:p>
      <w:pPr>
        <w:spacing w:after="0" w:line="2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Property, Equipment and Software, Net</w:t>
      </w:r>
    </w:p>
    <w:p>
      <w:pPr>
        <w:spacing w:after="0" w:line="1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Property, equipment and software are stated at cost, less accumulated depreciation and amortization.</w:t>
      </w:r>
    </w:p>
    <w:p>
      <w:pPr>
        <w:spacing w:after="0" w:line="208" w:lineRule="exact"/>
        <w:rPr>
          <w:sz w:val="20"/>
          <w:szCs w:val="20"/>
          <w:color w:val="auto"/>
        </w:rPr>
      </w:pPr>
    </w:p>
    <w:p>
      <w:pPr>
        <w:jc w:val="both"/>
        <w:ind w:left="620" w:right="420" w:firstLine="400"/>
        <w:spacing w:after="0" w:line="273" w:lineRule="auto"/>
        <w:rPr>
          <w:sz w:val="20"/>
          <w:szCs w:val="20"/>
          <w:color w:val="auto"/>
        </w:rPr>
      </w:pPr>
      <w:r>
        <w:rPr>
          <w:rFonts w:ascii="Times New Roman" w:cs="Times New Roman" w:eastAsia="Times New Roman" w:hAnsi="Times New Roman"/>
          <w:sz w:val="16"/>
          <w:szCs w:val="16"/>
          <w:color w:val="auto"/>
        </w:rPr>
        <w:t>Costs related to software we develop or obtain for internal use and such costs are included in “Property, equipment and software, net”. Costs incurred during the preliminary or maintenance development stage are expensed, and costs incurred during the application development stage are capitalized and are amortized over the useful life of the software.</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Depreciation and amortization are computed using the straight-line method over the following estimated useful lives of assets:</w:t>
      </w:r>
    </w:p>
    <w:p>
      <w:pPr>
        <w:spacing w:after="0" w:line="227" w:lineRule="exact"/>
        <w:rPr>
          <w:sz w:val="20"/>
          <w:szCs w:val="20"/>
          <w:color w:val="auto"/>
        </w:rPr>
      </w:pPr>
    </w:p>
    <w:tbl>
      <w:tblPr>
        <w:tblLayout w:type="fixed"/>
        <w:tblInd w:w="1820" w:type="dxa"/>
        <w:tblCellMar>
          <w:top w:w="0" w:type="dxa"/>
          <w:left w:w="0" w:type="dxa"/>
          <w:bottom w:w="0" w:type="dxa"/>
          <w:right w:w="0" w:type="dxa"/>
        </w:tblCellMar>
      </w:tblPr>
      <w:tr>
        <w:trPr>
          <w:trHeight w:val="22"/>
        </w:trPr>
        <w:tc>
          <w:tcPr>
            <w:tcW w:w="5320" w:type="dxa"/>
            <w:vAlign w:val="bottom"/>
          </w:tcPr>
          <w:p>
            <w:pPr>
              <w:spacing w:after="0" w:line="20" w:lineRule="exact"/>
              <w:rPr>
                <w:sz w:val="1"/>
                <w:szCs w:val="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Predecessor</w:t>
            </w:r>
          </w:p>
        </w:tc>
        <w:tc>
          <w:tcPr>
            <w:tcW w:w="0" w:type="dxa"/>
            <w:vAlign w:val="bottom"/>
          </w:tcPr>
          <w:p>
            <w:pPr>
              <w:spacing w:after="0" w:line="20" w:lineRule="exact"/>
              <w:rPr>
                <w:sz w:val="1"/>
                <w:szCs w:val="1"/>
                <w:color w:val="auto"/>
              </w:rPr>
            </w:pPr>
          </w:p>
        </w:tc>
      </w:tr>
      <w:tr>
        <w:trPr>
          <w:trHeight w:val="135"/>
        </w:trPr>
        <w:tc>
          <w:tcPr>
            <w:tcW w:w="5320" w:type="dxa"/>
            <w:vAlign w:val="bottom"/>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200" w:type="dxa"/>
            <w:vAlign w:val="bottom"/>
            <w:vMerge w:val="continue"/>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320" w:type="dxa"/>
            <w:vAlign w:val="bottom"/>
          </w:tcPr>
          <w:p>
            <w:pPr>
              <w:spacing w:after="0"/>
              <w:rPr>
                <w:sz w:val="9"/>
                <w:szCs w:val="9"/>
                <w:color w:val="auto"/>
              </w:rPr>
            </w:pPr>
          </w:p>
        </w:tc>
        <w:tc>
          <w:tcPr>
            <w:tcW w:w="102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0" w:type="dxa"/>
            <w:vAlign w:val="bottom"/>
            <w:shd w:val="clear" w:color="auto" w:fill="000000"/>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57"/>
        </w:trPr>
        <w:tc>
          <w:tcPr>
            <w:tcW w:w="53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0" w:type="dxa"/>
            <w:vAlign w:val="bottom"/>
            <w:tcBorders>
              <w:bottom w:val="single" w:sz="8" w:color="auto"/>
            </w:tcBorders>
            <w:shd w:val="clear" w:color="auto" w:fill="000000"/>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0" w:type="dxa"/>
            <w:vAlign w:val="bottom"/>
          </w:tcPr>
          <w:p>
            <w:pPr>
              <w:spacing w:after="0"/>
              <w:rPr>
                <w:sz w:val="1"/>
                <w:szCs w:val="1"/>
                <w:color w:val="auto"/>
              </w:rPr>
            </w:pPr>
          </w:p>
        </w:tc>
      </w:tr>
      <w:tr>
        <w:trPr>
          <w:trHeight w:val="18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Internal use software</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 years</w:t>
            </w:r>
          </w:p>
        </w:tc>
        <w:tc>
          <w:tcPr>
            <w:tcW w:w="20" w:type="dxa"/>
            <w:vAlign w:val="bottom"/>
            <w:shd w:val="clear" w:color="auto" w:fill="000000"/>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 years</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Purchased software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under finance lease</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 years</w:t>
            </w: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 years</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7-10 years</w:t>
            </w: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7-10 years</w:t>
            </w: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 years</w:t>
            </w: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 years</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Other computer and network equipment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14" w:lineRule="exact"/>
        <w:rPr>
          <w:sz w:val="20"/>
          <w:szCs w:val="20"/>
          <w:color w:val="auto"/>
        </w:rPr>
      </w:pPr>
    </w:p>
    <w:p>
      <w:pPr>
        <w:ind w:left="620" w:right="120" w:firstLine="400"/>
        <w:spacing w:after="0" w:line="263" w:lineRule="auto"/>
        <w:rPr>
          <w:sz w:val="20"/>
          <w:szCs w:val="20"/>
          <w:color w:val="auto"/>
        </w:rPr>
      </w:pPr>
      <w:r>
        <w:rPr>
          <w:rFonts w:ascii="Times New Roman" w:cs="Times New Roman" w:eastAsia="Times New Roman" w:hAnsi="Times New Roman"/>
          <w:sz w:val="16"/>
          <w:szCs w:val="16"/>
          <w:color w:val="auto"/>
        </w:rPr>
        <w:t>Long-lived assets are reviewed for impairment whenever events or changes in circumstances indicate that the carrying value of the asset may not be recoverable. The period of depreciation and amortization of long-lived assets is evaluated to determine whether events or circumstances warrant revised estimates of useful lives. When indicators of impairment are present, the recoverability of our long-lived assets is determined by comparing the carrying value of the long-lived assets to total amount of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We recorded impairment charges of approximately</w:t>
      </w:r>
    </w:p>
    <w:p>
      <w:pPr>
        <w:spacing w:after="0" w:line="10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F-13</w:t>
      </w:r>
    </w:p>
    <w:p>
      <w:pPr>
        <w:sectPr>
          <w:pgSz w:w="11900" w:h="16838" w:orient="portrait"/>
          <w:cols w:equalWidth="0" w:num="1">
            <w:col w:w="10620"/>
          </w:cols>
          <w:pgMar w:left="320" w:top="452" w:right="959" w:bottom="1440" w:gutter="0" w:footer="0" w:header="0"/>
        </w:sectPr>
      </w:pPr>
    </w:p>
    <w:bookmarkStart w:id="167" w:name="page168"/>
    <w:bookmarkEnd w:id="16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400"/>
        <w:spacing w:after="0" w:line="291" w:lineRule="auto"/>
        <w:rPr>
          <w:sz w:val="20"/>
          <w:szCs w:val="20"/>
          <w:color w:val="auto"/>
        </w:rPr>
      </w:pPr>
      <w:r>
        <w:rPr>
          <w:rFonts w:ascii="Times New Roman" w:cs="Times New Roman" w:eastAsia="Times New Roman" w:hAnsi="Times New Roman"/>
          <w:sz w:val="16"/>
          <w:szCs w:val="16"/>
          <w:color w:val="auto"/>
        </w:rPr>
        <w:t>$1.2 million, $3.6 million and $15.3 million related to long-lived assets during the periods from October 15, 2021 through December 31, 2021 and January 1, 2021 through October 14, 2021, and the year ended December 31, 2020, respectively (Note 6).</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12" w:lineRule="exact"/>
        <w:rPr>
          <w:sz w:val="20"/>
          <w:szCs w:val="20"/>
          <w:color w:val="auto"/>
        </w:rPr>
      </w:pPr>
    </w:p>
    <w:p>
      <w:pPr>
        <w:ind w:left="620" w:right="100" w:firstLine="400"/>
        <w:spacing w:after="0" w:line="268" w:lineRule="auto"/>
        <w:rPr>
          <w:sz w:val="20"/>
          <w:szCs w:val="20"/>
          <w:color w:val="auto"/>
        </w:rPr>
      </w:pPr>
      <w:r>
        <w:rPr>
          <w:rFonts w:ascii="Times New Roman" w:cs="Times New Roman" w:eastAsia="Times New Roman" w:hAnsi="Times New Roman"/>
          <w:sz w:val="16"/>
          <w:szCs w:val="16"/>
          <w:color w:val="auto"/>
        </w:rPr>
        <w:t xml:space="preserve">In accordance with ASU 2016-02, </w:t>
      </w:r>
      <w:r>
        <w:rPr>
          <w:rFonts w:ascii="Times New Roman" w:cs="Times New Roman" w:eastAsia="Times New Roman" w:hAnsi="Times New Roman"/>
          <w:sz w:val="16"/>
          <w:szCs w:val="16"/>
          <w:i w:val="1"/>
          <w:iCs w:val="1"/>
          <w:color w:val="auto"/>
        </w:rPr>
        <w:t>Leases (Topic 842)</w:t>
      </w:r>
      <w:r>
        <w:rPr>
          <w:rFonts w:ascii="Times New Roman" w:cs="Times New Roman" w:eastAsia="Times New Roman" w:hAnsi="Times New Roman"/>
          <w:sz w:val="16"/>
          <w:szCs w:val="16"/>
          <w:color w:val="auto"/>
        </w:rPr>
        <w:t>, we determine if an arrangement is a lease and whether it is classified as finance or operating at the inception of the contract. We recognize the lease at its commencement date on the balance sheet as a liability for our obligation related to the lease and a corresponding asset representing our right to use the underlying asset over the period of use. Leases with an initial term of 12 months or less are not recorded on the balance sheet and the lease expense for these leases is recognized on a straight-line basis over the lease term.</w:t>
      </w:r>
    </w:p>
    <w:p>
      <w:pPr>
        <w:spacing w:after="0" w:line="161" w:lineRule="exact"/>
        <w:rPr>
          <w:sz w:val="20"/>
          <w:szCs w:val="20"/>
          <w:color w:val="auto"/>
        </w:rPr>
      </w:pPr>
    </w:p>
    <w:p>
      <w:pPr>
        <w:ind w:left="620" w:right="40" w:firstLine="400"/>
        <w:spacing w:after="0" w:line="273" w:lineRule="auto"/>
        <w:rPr>
          <w:sz w:val="20"/>
          <w:szCs w:val="20"/>
          <w:color w:val="auto"/>
        </w:rPr>
      </w:pPr>
      <w:r>
        <w:rPr>
          <w:rFonts w:ascii="Times New Roman" w:cs="Times New Roman" w:eastAsia="Times New Roman" w:hAnsi="Times New Roman"/>
          <w:sz w:val="16"/>
          <w:szCs w:val="16"/>
          <w:color w:val="auto"/>
        </w:rPr>
        <w:t>The lease liability for each lease is recognized as the present value of the lease payments not yet paid at the commencement date. The right-of-use (“ROU”) asset for each lease is recorded at the amount equal to the initial measurement of lease liability, adjusted for balances of prepaid rent, lease incentives received and initial direct costs incurred.</w:t>
      </w:r>
    </w:p>
    <w:p>
      <w:pPr>
        <w:spacing w:after="0" w:line="157" w:lineRule="exact"/>
        <w:rPr>
          <w:sz w:val="20"/>
          <w:szCs w:val="20"/>
          <w:color w:val="auto"/>
        </w:rPr>
      </w:pPr>
    </w:p>
    <w:p>
      <w:pPr>
        <w:ind w:left="620" w:right="340" w:firstLine="400"/>
        <w:spacing w:after="0" w:line="291" w:lineRule="auto"/>
        <w:rPr>
          <w:sz w:val="20"/>
          <w:szCs w:val="20"/>
          <w:color w:val="auto"/>
        </w:rPr>
      </w:pPr>
      <w:r>
        <w:rPr>
          <w:rFonts w:ascii="Times New Roman" w:cs="Times New Roman" w:eastAsia="Times New Roman" w:hAnsi="Times New Roman"/>
          <w:sz w:val="16"/>
          <w:szCs w:val="16"/>
          <w:color w:val="auto"/>
        </w:rPr>
        <w:t>When determining lease term, we consider renewal options that are reasonably certain to exercise and termination options that are reasonably certain to not be exercised, in addition to the non-cancellable lease term.</w:t>
      </w:r>
    </w:p>
    <w:p>
      <w:pPr>
        <w:spacing w:after="0" w:line="142" w:lineRule="exact"/>
        <w:rPr>
          <w:sz w:val="20"/>
          <w:szCs w:val="20"/>
          <w:color w:val="auto"/>
        </w:rPr>
      </w:pPr>
    </w:p>
    <w:p>
      <w:pPr>
        <w:ind w:left="620" w:right="240" w:firstLine="400"/>
        <w:spacing w:after="0" w:line="267" w:lineRule="auto"/>
        <w:rPr>
          <w:sz w:val="20"/>
          <w:szCs w:val="20"/>
          <w:color w:val="auto"/>
        </w:rPr>
      </w:pPr>
      <w:r>
        <w:rPr>
          <w:rFonts w:ascii="Times New Roman" w:cs="Times New Roman" w:eastAsia="Times New Roman" w:hAnsi="Times New Roman"/>
          <w:sz w:val="16"/>
          <w:szCs w:val="16"/>
          <w:color w:val="auto"/>
        </w:rPr>
        <w:t>For operating leases, expense is generally recognized on a straight-line basis over the lease term, and is recorded within “Selling, general and administrative”. For finance leases, interest on lease liability is recognized using the effective interest method, while the ROU asset is amortized on a straight-line basis over the shorter of the useful life of the ROU asset or the lease term. Interest on lease liability is recorded within “Interest income (expense), net”, and amortization of right-of-use assets is recorded within “Depreciation and amortization”.</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Business Combinations</w:t>
      </w:r>
    </w:p>
    <w:p>
      <w:pPr>
        <w:spacing w:after="0" w:line="114" w:lineRule="exact"/>
        <w:rPr>
          <w:sz w:val="20"/>
          <w:szCs w:val="20"/>
          <w:color w:val="auto"/>
        </w:rPr>
      </w:pPr>
    </w:p>
    <w:p>
      <w:pPr>
        <w:jc w:val="both"/>
        <w:ind w:left="620" w:right="120" w:firstLine="400"/>
        <w:spacing w:after="0" w:line="262" w:lineRule="auto"/>
        <w:rPr>
          <w:sz w:val="20"/>
          <w:szCs w:val="20"/>
          <w:color w:val="auto"/>
        </w:rPr>
      </w:pPr>
      <w:r>
        <w:rPr>
          <w:rFonts w:ascii="Times New Roman" w:cs="Times New Roman" w:eastAsia="Times New Roman" w:hAnsi="Times New Roman"/>
          <w:sz w:val="16"/>
          <w:szCs w:val="16"/>
          <w:color w:val="auto"/>
        </w:rPr>
        <w:t>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w:t>
      </w:r>
    </w:p>
    <w:p>
      <w:pPr>
        <w:spacing w:after="0" w:line="1" w:lineRule="exact"/>
        <w:rPr>
          <w:sz w:val="20"/>
          <w:szCs w:val="20"/>
          <w:color w:val="auto"/>
        </w:rPr>
      </w:pPr>
    </w:p>
    <w:p>
      <w:pPr>
        <w:ind w:left="620"/>
        <w:spacing w:after="0" w:line="259" w:lineRule="auto"/>
        <w:rPr>
          <w:sz w:val="20"/>
          <w:szCs w:val="20"/>
          <w:color w:val="auto"/>
        </w:rPr>
      </w:pPr>
      <w:r>
        <w:rPr>
          <w:rFonts w:ascii="Times New Roman" w:cs="Times New Roman" w:eastAsia="Times New Roman" w:hAnsi="Times New Roman"/>
          <w:sz w:val="16"/>
          <w:szCs w:val="16"/>
          <w:color w:val="auto"/>
        </w:rPr>
        <w:t xml:space="preserve">Accounting Standards Codification (“ASC”)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We identify and attribute fair values and estimated lives to the intangible assets acquired and allocates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recognizes that the assumptions are inherently uncertain.</w:t>
      </w:r>
    </w:p>
    <w:p>
      <w:pPr>
        <w:spacing w:after="0" w:line="365" w:lineRule="exact"/>
        <w:rPr>
          <w:sz w:val="20"/>
          <w:szCs w:val="20"/>
          <w:color w:val="auto"/>
        </w:rPr>
      </w:pPr>
    </w:p>
    <w:p>
      <w:pPr>
        <w:ind w:left="620" w:firstLine="400"/>
        <w:spacing w:after="0" w:line="273" w:lineRule="auto"/>
        <w:rPr>
          <w:sz w:val="20"/>
          <w:szCs w:val="20"/>
          <w:color w:val="auto"/>
        </w:rPr>
      </w:pPr>
      <w:r>
        <w:rPr>
          <w:rFonts w:ascii="Times New Roman" w:cs="Times New Roman" w:eastAsia="Times New Roman" w:hAnsi="Times New Roman"/>
          <w:sz w:val="16"/>
          <w:szCs w:val="16"/>
          <w:color w:val="auto"/>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spacing w:after="0" w:line="157" w:lineRule="exact"/>
        <w:rPr>
          <w:sz w:val="20"/>
          <w:szCs w:val="20"/>
          <w:color w:val="auto"/>
        </w:rPr>
      </w:pPr>
    </w:p>
    <w:p>
      <w:pPr>
        <w:ind w:left="620" w:firstLine="400"/>
        <w:spacing w:after="0" w:line="267" w:lineRule="auto"/>
        <w:rPr>
          <w:sz w:val="20"/>
          <w:szCs w:val="20"/>
          <w:color w:val="auto"/>
        </w:rPr>
      </w:pPr>
      <w:r>
        <w:rPr>
          <w:rFonts w:ascii="Times New Roman" w:cs="Times New Roman" w:eastAsia="Times New Roman" w:hAnsi="Times New Roman"/>
          <w:sz w:val="16"/>
          <w:szCs w:val="16"/>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F-14</w:t>
      </w:r>
    </w:p>
    <w:p>
      <w:pPr>
        <w:sectPr>
          <w:pgSz w:w="11900" w:h="16838" w:orient="portrait"/>
          <w:cols w:equalWidth="0" w:num="1">
            <w:col w:w="10600"/>
          </w:cols>
          <w:pgMar w:left="320" w:top="453" w:right="979" w:bottom="1440" w:gutter="0" w:footer="0" w:header="0"/>
        </w:sectPr>
      </w:pPr>
    </w:p>
    <w:bookmarkStart w:id="168" w:name="page169"/>
    <w:bookmarkEnd w:id="16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20" w:firstLine="400"/>
        <w:spacing w:after="0" w:line="291" w:lineRule="auto"/>
        <w:rPr>
          <w:sz w:val="20"/>
          <w:szCs w:val="20"/>
          <w:color w:val="auto"/>
        </w:rPr>
      </w:pPr>
      <w:r>
        <w:rPr>
          <w:rFonts w:ascii="Times New Roman" w:cs="Times New Roman" w:eastAsia="Times New Roman" w:hAnsi="Times New Roman"/>
          <w:sz w:val="16"/>
          <w:szCs w:val="16"/>
          <w:color w:val="auto"/>
        </w:rPr>
        <w:t>All acquisition-related costs, other than the costs to issue debt or equity securities, are accounted for as expenses in the period in which they are incurred.</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Goodwill and Intangible Assets</w:t>
      </w:r>
    </w:p>
    <w:p>
      <w:pPr>
        <w:spacing w:after="0" w:line="112" w:lineRule="exact"/>
        <w:rPr>
          <w:sz w:val="20"/>
          <w:szCs w:val="20"/>
          <w:color w:val="auto"/>
        </w:rPr>
      </w:pPr>
    </w:p>
    <w:p>
      <w:pPr>
        <w:ind w:left="620" w:firstLine="400"/>
        <w:spacing w:after="0" w:line="259" w:lineRule="auto"/>
        <w:rPr>
          <w:sz w:val="20"/>
          <w:szCs w:val="20"/>
          <w:color w:val="auto"/>
        </w:rPr>
      </w:pPr>
      <w:r>
        <w:rPr>
          <w:rFonts w:ascii="Times New Roman" w:cs="Times New Roman" w:eastAsia="Times New Roman" w:hAnsi="Times New Roman"/>
          <w:sz w:val="16"/>
          <w:szCs w:val="16"/>
          <w:color w:val="auto"/>
        </w:rPr>
        <w:t xml:space="preserve">Goodwill and intangible assets that have indefinite useful lives are accounted for in accordance with ASC 350, </w:t>
      </w:r>
      <w:r>
        <w:rPr>
          <w:rFonts w:ascii="Times New Roman" w:cs="Times New Roman" w:eastAsia="Times New Roman" w:hAnsi="Times New Roman"/>
          <w:sz w:val="16"/>
          <w:szCs w:val="16"/>
          <w:i w:val="1"/>
          <w:iCs w:val="1"/>
          <w:color w:val="auto"/>
        </w:rPr>
        <w:t>Intangibles — Goodwill and Other</w:t>
      </w:r>
      <w:r>
        <w:rPr>
          <w:rFonts w:ascii="Times New Roman" w:cs="Times New Roman" w:eastAsia="Times New Roman" w:hAnsi="Times New Roman"/>
          <w:sz w:val="16"/>
          <w:szCs w:val="16"/>
          <w:color w:val="auto"/>
        </w:rPr>
        <w:t>.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169" w:lineRule="exact"/>
        <w:rPr>
          <w:sz w:val="20"/>
          <w:szCs w:val="20"/>
          <w:color w:val="auto"/>
        </w:rPr>
      </w:pPr>
    </w:p>
    <w:p>
      <w:pPr>
        <w:ind w:left="620" w:right="120" w:firstLine="400"/>
        <w:spacing w:after="0" w:line="291" w:lineRule="auto"/>
        <w:rPr>
          <w:sz w:val="20"/>
          <w:szCs w:val="20"/>
          <w:color w:val="auto"/>
        </w:rPr>
      </w:pPr>
      <w:r>
        <w:rPr>
          <w:rFonts w:ascii="Times New Roman" w:cs="Times New Roman" w:eastAsia="Times New Roman" w:hAnsi="Times New Roman"/>
          <w:sz w:val="16"/>
          <w:szCs w:val="16"/>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42" w:lineRule="exact"/>
        <w:rPr>
          <w:sz w:val="20"/>
          <w:szCs w:val="20"/>
          <w:color w:val="auto"/>
        </w:rPr>
      </w:pPr>
    </w:p>
    <w:p>
      <w:pPr>
        <w:ind w:left="620" w:right="840" w:firstLine="400"/>
        <w:spacing w:after="0" w:line="291" w:lineRule="auto"/>
        <w:rPr>
          <w:sz w:val="20"/>
          <w:szCs w:val="20"/>
          <w:color w:val="auto"/>
        </w:rPr>
      </w:pPr>
      <w:r>
        <w:rPr>
          <w:rFonts w:ascii="Times New Roman" w:cs="Times New Roman" w:eastAsia="Times New Roman" w:hAnsi="Times New Roman"/>
          <w:sz w:val="16"/>
          <w:szCs w:val="16"/>
          <w:color w:val="auto"/>
        </w:rPr>
        <w:t>We did not record any impairment charges related to goodwill and intangible assets during the periods from October 15, 2021 through December 31, 2021 and January 1, 2021 through October 14, 2021, and the year ended December 31, 2020, respectively.</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14" w:lineRule="exact"/>
        <w:rPr>
          <w:sz w:val="20"/>
          <w:szCs w:val="20"/>
          <w:color w:val="auto"/>
        </w:rPr>
      </w:pPr>
    </w:p>
    <w:p>
      <w:pPr>
        <w:ind w:left="620" w:right="120" w:firstLine="400"/>
        <w:spacing w:after="0" w:line="291" w:lineRule="auto"/>
        <w:rPr>
          <w:sz w:val="20"/>
          <w:szCs w:val="20"/>
          <w:color w:val="auto"/>
        </w:rPr>
      </w:pPr>
      <w:r>
        <w:rPr>
          <w:rFonts w:ascii="Times New Roman" w:cs="Times New Roman" w:eastAsia="Times New Roman" w:hAnsi="Times New Roman"/>
          <w:sz w:val="16"/>
          <w:szCs w:val="16"/>
          <w:color w:val="auto"/>
        </w:rPr>
        <w:t>We recognize revenue when we transfer promised goods or services to customers in an amount that reflects the consideration to which we expect to be entitled in exchange for those goods or services.</w:t>
      </w:r>
    </w:p>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Digital asset marketplace</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Digital asset marketplace revenues are derived from the Triparty agreement and our custody services.</w:t>
      </w:r>
    </w:p>
    <w:p>
      <w:pPr>
        <w:spacing w:after="0" w:line="106" w:lineRule="exact"/>
        <w:rPr>
          <w:sz w:val="20"/>
          <w:szCs w:val="20"/>
          <w:color w:val="auto"/>
        </w:rPr>
      </w:pPr>
    </w:p>
    <w:p>
      <w:pPr>
        <w:ind w:left="1020" w:right="180" w:firstLine="384"/>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Triparty Agreement: </w:t>
      </w:r>
      <w:r>
        <w:rPr>
          <w:rFonts w:ascii="Times New Roman" w:cs="Times New Roman" w:eastAsia="Times New Roman" w:hAnsi="Times New Roman"/>
          <w:sz w:val="16"/>
          <w:szCs w:val="16"/>
          <w:color w:val="auto"/>
        </w:rPr>
        <w:t>The Digital Currency Trading, Clearing, and Warehouse Services Agreement with IFUS and ICUS (the “Triparty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governs the trading, clearing and custody services for physically-delivered bitcoin futures contracts and options contracts (collectively, “PDF Contracts”). While our performance obligation to IFUS and ICUS is comprised of several related promises as described in Note 8, we have concluded that we have a single performance obligation to provide a stand-ready custody function that supports the trading and clearing services as required for the PDF Contracts for parties that trade PDF Contracts (“PDF Contract Traders”), so that IFUS can execute its trading services and ICUS can clear and arrange for the settlement of the PDF Contracts. We have concluded that the related activities that collectively comprise this single performance obligation are not separately identifiable within the context of the Triparty Agreement, as all are necessary in order for IFUS and ICUS to offer PDF Contracts. We determine the obligation period associated with Triparty Agreement revenue using the portfolio method based on our historical transaction experience, as the PDF Contracts have similar characteristics. The</w:t>
      </w:r>
    </w:p>
    <w:p>
      <w:pPr>
        <w:spacing w:after="0" w:line="11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F-15</w:t>
      </w:r>
    </w:p>
    <w:p>
      <w:pPr>
        <w:sectPr>
          <w:pgSz w:w="11900" w:h="16838" w:orient="portrait"/>
          <w:cols w:equalWidth="0" w:num="1">
            <w:col w:w="10620"/>
          </w:cols>
          <w:pgMar w:left="320" w:top="453" w:right="959" w:bottom="1440" w:gutter="0" w:footer="0" w:header="0"/>
        </w:sectPr>
      </w:pPr>
    </w:p>
    <w:bookmarkStart w:id="169" w:name="page170"/>
    <w:bookmarkEnd w:id="16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jc w:val="both"/>
        <w:ind w:left="1020" w:right="160"/>
        <w:spacing w:after="0" w:line="273" w:lineRule="auto"/>
        <w:rPr>
          <w:sz w:val="20"/>
          <w:szCs w:val="20"/>
          <w:color w:val="auto"/>
        </w:rPr>
      </w:pPr>
      <w:r>
        <w:rPr>
          <w:rFonts w:ascii="Times New Roman" w:cs="Times New Roman" w:eastAsia="Times New Roman" w:hAnsi="Times New Roman"/>
          <w:sz w:val="16"/>
          <w:szCs w:val="16"/>
          <w:color w:val="auto"/>
        </w:rPr>
        <w:t>average performance obligation period is less than one month based on the application of the portfolio method. Therefore, we recognize revenue for the stand-ready custody services that we provide to IFUS and ICUS on a straight-line basis over the average performance obligation period, which is less than one month.</w:t>
      </w:r>
    </w:p>
    <w:p>
      <w:pPr>
        <w:spacing w:after="0" w:line="59" w:lineRule="exact"/>
        <w:rPr>
          <w:sz w:val="20"/>
          <w:szCs w:val="20"/>
          <w:color w:val="auto"/>
        </w:rPr>
      </w:pPr>
    </w:p>
    <w:p>
      <w:pPr>
        <w:ind w:left="1020" w:right="40" w:firstLine="384"/>
        <w:spacing w:after="0" w:line="263" w:lineRule="auto"/>
        <w:rPr>
          <w:sz w:val="20"/>
          <w:szCs w:val="20"/>
          <w:color w:val="auto"/>
        </w:rPr>
      </w:pPr>
      <w:r>
        <w:rPr>
          <w:rFonts w:ascii="Times New Roman" w:cs="Times New Roman" w:eastAsia="Times New Roman" w:hAnsi="Times New Roman"/>
          <w:sz w:val="16"/>
          <w:szCs w:val="16"/>
          <w:color w:val="auto"/>
        </w:rPr>
        <w:t>PDF Contract Traders pay a transaction fee for trading and clearing, which is collected by ICUS. Per terms of the Triparty Agreement, IFUS and ICUS pass to us all trading and clearing transaction fees, net of rebates and liquidity payments issued to PDF Contract Traders. We consider the transaction price to be the net transaction fee received from IFUS and ICUS or paid to IFUS and ICUS. Rebates offered by IFUS to support market liquidity and trading volume represent consideration payable to a customer and reduce the transaction price; as such, these rebates are included in “Net revenues”. Because these rebates are measured and resolved within the same reporting period, it is not necessary for us to estimate these at a given reporting period date.</w:t>
      </w:r>
    </w:p>
    <w:p>
      <w:pPr>
        <w:spacing w:after="0" w:line="65" w:lineRule="exact"/>
        <w:rPr>
          <w:sz w:val="20"/>
          <w:szCs w:val="20"/>
          <w:color w:val="auto"/>
        </w:rPr>
      </w:pPr>
    </w:p>
    <w:p>
      <w:pPr>
        <w:ind w:left="1020" w:right="560" w:firstLine="384"/>
        <w:spacing w:after="0" w:line="291" w:lineRule="auto"/>
        <w:rPr>
          <w:sz w:val="20"/>
          <w:szCs w:val="20"/>
          <w:color w:val="auto"/>
        </w:rPr>
      </w:pPr>
      <w:r>
        <w:rPr>
          <w:rFonts w:ascii="Times New Roman" w:cs="Times New Roman" w:eastAsia="Times New Roman" w:hAnsi="Times New Roman"/>
          <w:sz w:val="16"/>
          <w:szCs w:val="16"/>
          <w:color w:val="auto"/>
        </w:rPr>
        <w:t>We also recognize a capital contribution for the cost of the trading and clearing services provided by IFUS and ICUS pursuant to the Contribution Agreement (Note 10), which reduces the revenue recognized as part of the net transaction fee.</w:t>
      </w:r>
    </w:p>
    <w:p>
      <w:pPr>
        <w:spacing w:after="0" w:line="44" w:lineRule="exact"/>
        <w:rPr>
          <w:sz w:val="20"/>
          <w:szCs w:val="20"/>
          <w:color w:val="auto"/>
        </w:rPr>
      </w:pPr>
    </w:p>
    <w:p>
      <w:pPr>
        <w:ind w:left="1020" w:firstLine="384"/>
        <w:spacing w:after="0" w:line="291" w:lineRule="auto"/>
        <w:rPr>
          <w:sz w:val="20"/>
          <w:szCs w:val="20"/>
          <w:color w:val="auto"/>
        </w:rPr>
      </w:pPr>
      <w:r>
        <w:rPr>
          <w:rFonts w:ascii="Times New Roman" w:cs="Times New Roman" w:eastAsia="Times New Roman" w:hAnsi="Times New Roman"/>
          <w:sz w:val="16"/>
          <w:szCs w:val="16"/>
          <w:color w:val="auto"/>
        </w:rPr>
        <w:t>Revenue from the Triparty Agreement is included in “Transaction revenue, net” in the disaggregation of revenue by service type table within Note 3.</w:t>
      </w:r>
    </w:p>
    <w:p>
      <w:pPr>
        <w:spacing w:after="0" w:line="40" w:lineRule="exact"/>
        <w:rPr>
          <w:sz w:val="20"/>
          <w:szCs w:val="20"/>
          <w:color w:val="auto"/>
        </w:rPr>
      </w:pPr>
    </w:p>
    <w:p>
      <w:pPr>
        <w:ind w:left="1020" w:right="100" w:firstLine="384"/>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Custody: </w:t>
      </w:r>
      <w:r>
        <w:rPr>
          <w:rFonts w:ascii="Times New Roman" w:cs="Times New Roman" w:eastAsia="Times New Roman" w:hAnsi="Times New Roman"/>
          <w:sz w:val="16"/>
          <w:szCs w:val="16"/>
          <w:color w:val="auto"/>
        </w:rPr>
        <w:t>For PDF Contract Traders with custody accounts related to PDF Contracts, we do not charge a fee specifically for the custody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service. For customers using custody services on a standalone basis, we charge a fee, which is generally based on a fixed fee and represents fixed consideration. We invoice customers on a quarterly basis. Our performance obligation related to the storage and custody of a customer’s bitcoin represents an obligation to provide custody services for digital assets. The contract for custodial services may be terminated by the applicable institution or high net worth individual at any time upon final withdrawal of all digital assets, without incurring a penalty. As a result, we believe our contracts represent a day-to-day contract with each day representing a renewal. These renewals are priced consistently with the original contract and with other similar customers and as such, we do not believe that they represent a material right.</w:t>
      </w:r>
    </w:p>
    <w:p>
      <w:pPr>
        <w:spacing w:after="0" w:line="69" w:lineRule="exact"/>
        <w:rPr>
          <w:sz w:val="20"/>
          <w:szCs w:val="20"/>
          <w:color w:val="auto"/>
        </w:rPr>
      </w:pPr>
    </w:p>
    <w:p>
      <w:pPr>
        <w:jc w:val="both"/>
        <w:ind w:left="1020" w:right="320" w:firstLine="384"/>
        <w:spacing w:after="0" w:line="273" w:lineRule="auto"/>
        <w:rPr>
          <w:sz w:val="20"/>
          <w:szCs w:val="20"/>
          <w:color w:val="auto"/>
        </w:rPr>
      </w:pPr>
      <w:r>
        <w:rPr>
          <w:rFonts w:ascii="Times New Roman" w:cs="Times New Roman" w:eastAsia="Times New Roman" w:hAnsi="Times New Roman"/>
          <w:sz w:val="16"/>
          <w:szCs w:val="16"/>
          <w:color w:val="auto"/>
        </w:rPr>
        <w:t>The daily contract consists of a single performance obligation to provide custodial services, with the transaction price equal to a pro rata portion (i.e., daily) of the annual custody fee. Our performance obligation to provide custodial services meets the criterion to be satisfied over time. Revenue from our custodial services is included in “Net revenues” in the statements of operations.</w:t>
      </w:r>
    </w:p>
    <w:p>
      <w:pPr>
        <w:spacing w:after="0" w:line="59" w:lineRule="exact"/>
        <w:rPr>
          <w:sz w:val="20"/>
          <w:szCs w:val="20"/>
          <w:color w:val="auto"/>
        </w:rPr>
      </w:pPr>
    </w:p>
    <w:p>
      <w:pPr>
        <w:ind w:left="1020" w:right="40" w:firstLine="384"/>
        <w:spacing w:after="0" w:line="291" w:lineRule="auto"/>
        <w:rPr>
          <w:sz w:val="20"/>
          <w:szCs w:val="20"/>
          <w:color w:val="auto"/>
        </w:rPr>
      </w:pPr>
      <w:r>
        <w:rPr>
          <w:rFonts w:ascii="Times New Roman" w:cs="Times New Roman" w:eastAsia="Times New Roman" w:hAnsi="Times New Roman"/>
          <w:sz w:val="16"/>
          <w:szCs w:val="16"/>
          <w:color w:val="auto"/>
        </w:rPr>
        <w:t>Revenue from our custody services is included in “Subscription and services revenue” in the disaggregation of revenue by service type table within Note 3.</w:t>
      </w:r>
    </w:p>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Loyalty redemption platform</w:t>
      </w:r>
    </w:p>
    <w:p>
      <w:pPr>
        <w:spacing w:after="0" w:line="112" w:lineRule="exact"/>
        <w:rPr>
          <w:sz w:val="20"/>
          <w:szCs w:val="20"/>
          <w:color w:val="auto"/>
        </w:rPr>
      </w:pPr>
    </w:p>
    <w:p>
      <w:pPr>
        <w:ind w:left="620" w:firstLine="400"/>
        <w:spacing w:after="0" w:line="263" w:lineRule="auto"/>
        <w:rPr>
          <w:sz w:val="20"/>
          <w:szCs w:val="20"/>
          <w:color w:val="auto"/>
        </w:rPr>
      </w:pPr>
      <w:r>
        <w:rPr>
          <w:rFonts w:ascii="Times New Roman" w:cs="Times New Roman" w:eastAsia="Times New Roman" w:hAnsi="Times New Roman"/>
          <w:sz w:val="16"/>
          <w:szCs w:val="16"/>
          <w:color w:val="auto"/>
        </w:rPr>
        <w:t>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program sponsor. Our contracts related to our loyalty redemption platform consist of two performance obligations: (1) access to our SaaS-based redemption platform and 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“Net revenues” in the statements of operations and include the following:</w:t>
      </w:r>
    </w:p>
    <w:p>
      <w:pPr>
        <w:spacing w:after="0" w:line="73" w:lineRule="exact"/>
        <w:rPr>
          <w:sz w:val="20"/>
          <w:szCs w:val="20"/>
          <w:color w:val="auto"/>
        </w:rPr>
      </w:pPr>
    </w:p>
    <w:p>
      <w:pPr>
        <w:ind w:left="1500" w:hanging="387"/>
        <w:spacing w:after="0" w:line="269" w:lineRule="auto"/>
        <w:tabs>
          <w:tab w:leader="none" w:pos="150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Platform subscription fees: </w:t>
      </w:r>
      <w:r>
        <w:rPr>
          <w:rFonts w:ascii="Times New Roman" w:cs="Times New Roman" w:eastAsia="Times New Roman" w:hAnsi="Times New Roman"/>
          <w:sz w:val="16"/>
          <w:szCs w:val="16"/>
          <w:color w:val="auto"/>
        </w:rPr>
        <w:t>Monthly fixed fee charged to customers to access the redemption platform and receive customer support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services. We recognize revenue for these fees on a straight-line basis over the related contract term as the customer receives benefits evenly throughout the term of the contract. These fees are allocated to our performance obligation to provide access to our redemption platform, and thus are recognized on a gross basis. Revenue from our platform subscription fees is</w:t>
      </w:r>
    </w:p>
    <w:p>
      <w:pPr>
        <w:spacing w:after="0" w:line="9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F-16</w:t>
      </w:r>
    </w:p>
    <w:p>
      <w:pPr>
        <w:sectPr>
          <w:pgSz w:w="11900" w:h="16838" w:orient="portrait"/>
          <w:cols w:equalWidth="0" w:num="1">
            <w:col w:w="10620"/>
          </w:cols>
          <w:pgMar w:left="320" w:top="453" w:right="959" w:bottom="1440" w:gutter="0" w:footer="0" w:header="0"/>
        </w:sectPr>
      </w:pPr>
    </w:p>
    <w:bookmarkStart w:id="170" w:name="page171"/>
    <w:bookmarkEnd w:id="17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included in “Subscription and services revenue” in the disaggregation of revenue table by service type in Note 3.</w:t>
      </w:r>
    </w:p>
    <w:p>
      <w:pPr>
        <w:spacing w:after="0" w:line="118" w:lineRule="exact"/>
        <w:rPr>
          <w:sz w:val="20"/>
          <w:szCs w:val="20"/>
          <w:color w:val="auto"/>
        </w:rPr>
      </w:pPr>
    </w:p>
    <w:p>
      <w:pPr>
        <w:ind w:left="1500" w:right="140" w:hanging="387"/>
        <w:spacing w:after="0" w:line="269" w:lineRule="auto"/>
        <w:tabs>
          <w:tab w:leader="none" w:pos="15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Transaction fees: </w:t>
      </w:r>
      <w:r>
        <w:rPr>
          <w:rFonts w:ascii="Times New Roman" w:cs="Times New Roman" w:eastAsia="Times New Roman" w:hAnsi="Times New Roman"/>
          <w:sz w:val="16"/>
          <w:szCs w:val="16"/>
          <w:color w:val="auto"/>
        </w:rPr>
        <w:t>Transaction fees are earned for most transactions processed through our platform. These fees are allocated to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performance obligation to 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3.</w:t>
      </w:r>
    </w:p>
    <w:p>
      <w:pPr>
        <w:spacing w:after="0" w:line="69" w:lineRule="exact"/>
        <w:rPr>
          <w:rFonts w:ascii="Times New Roman" w:cs="Times New Roman" w:eastAsia="Times New Roman" w:hAnsi="Times New Roman"/>
          <w:sz w:val="16"/>
          <w:szCs w:val="16"/>
          <w:color w:val="auto"/>
        </w:rPr>
      </w:pPr>
    </w:p>
    <w:p>
      <w:pPr>
        <w:ind w:left="1500" w:right="100" w:hanging="387"/>
        <w:spacing w:after="0" w:line="269" w:lineRule="auto"/>
        <w:tabs>
          <w:tab w:leader="none" w:pos="15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Revenue share fees: </w:t>
      </w:r>
      <w:r>
        <w:rPr>
          <w:rFonts w:ascii="Times New Roman" w:cs="Times New Roman" w:eastAsia="Times New Roman" w:hAnsi="Times New Roman"/>
          <w:sz w:val="16"/>
          <w:szCs w:val="16"/>
          <w:color w:val="auto"/>
        </w:rPr>
        <w:t>We are entitled to revenue share fees in the form of rebates from third-party commerce merchants and other partners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provide services facilitating redemption order fulfillment. We allocate revenue share fees to the period in which the related transaction occurs. Revenue from our revenue share fees is included in “Transaction revenue, net” in the disaggregation of revenue table by service type in Note 3.</w:t>
      </w:r>
    </w:p>
    <w:p>
      <w:pPr>
        <w:spacing w:after="0" w:line="69" w:lineRule="exact"/>
        <w:rPr>
          <w:rFonts w:ascii="Times New Roman" w:cs="Times New Roman" w:eastAsia="Times New Roman" w:hAnsi="Times New Roman"/>
          <w:sz w:val="16"/>
          <w:szCs w:val="16"/>
          <w:color w:val="auto"/>
        </w:rPr>
      </w:pPr>
    </w:p>
    <w:p>
      <w:pPr>
        <w:ind w:left="1500" w:right="40" w:hanging="387"/>
        <w:spacing w:after="0" w:line="261" w:lineRule="auto"/>
        <w:tabs>
          <w:tab w:leader="none" w:pos="15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Service fees: </w:t>
      </w:r>
      <w:r>
        <w:rPr>
          <w:rFonts w:ascii="Times New Roman" w:cs="Times New Roman" w:eastAsia="Times New Roman" w:hAnsi="Times New Roman"/>
          <w:sz w:val="16"/>
          <w:szCs w:val="16"/>
          <w:color w:val="auto"/>
        </w:rPr>
        <w:t>We earn fees for certain software development activities associated with the implementation of new customers on our loyalty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redemption platform and other development activities if a customer requests that we customize certain features and functionalities for their loyalty program. We also earn fees for providing call center services for customers.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our internally developed software. Implementation and development service fees are generally billed when the implementation and development activities are performed. We recognize deferred revenue when all such fees are billed. Revenue from our services fees is included in “Subscription and services revenue” in the disaggregation of revenue table by service type in Note 3.</w:t>
      </w:r>
    </w:p>
    <w:p>
      <w:pPr>
        <w:spacing w:after="0" w:line="2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Alternative payment platform</w:t>
      </w:r>
    </w:p>
    <w:p>
      <w:pPr>
        <w:spacing w:after="0" w:line="112" w:lineRule="exact"/>
        <w:rPr>
          <w:sz w:val="20"/>
          <w:szCs w:val="20"/>
          <w:color w:val="auto"/>
        </w:rPr>
      </w:pPr>
    </w:p>
    <w:p>
      <w:pPr>
        <w:ind w:left="620" w:firstLine="400"/>
        <w:spacing w:after="0" w:line="271" w:lineRule="auto"/>
        <w:rPr>
          <w:sz w:val="20"/>
          <w:szCs w:val="20"/>
          <w:color w:val="auto"/>
        </w:rPr>
      </w:pPr>
      <w:r>
        <w:rPr>
          <w:rFonts w:ascii="Times New Roman" w:cs="Times New Roman" w:eastAsia="Times New Roman" w:hAnsi="Times New Roman"/>
          <w:sz w:val="16"/>
          <w:szCs w:val="16"/>
          <w:color w:val="auto"/>
        </w:rPr>
        <w:t>Alternative payment platform revenues are transaction fees earned by Bakkt Marketplace. Development of this platform began in February 2020, when Opco entered into a Strategic Alliance Agreement (the “Strategic Alliance Agreement”) with a strategic partner, who was also a customer of Opco, to develop and operate a mechanism whereby a customer can purchase food and beverage items from the strategic partner using their Bakkt digital wallet.</w:t>
      </w:r>
    </w:p>
    <w:p>
      <w:pPr>
        <w:spacing w:after="0" w:line="357"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 xml:space="preserve">In conjunction with the Strategic Alliance Agreement, the parties entered into a separate agreement under which the Company issued the strategic partner a warrant to purchase 15 million Class B voting units. Opco accounted for the cost of the warrant as consideration payable to a customer within the scope of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and recorded an asset at the fair value on the grant date of the warrant. Opco recognized the customer consideration asset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“Net revenues” in the statements of operations. As described in Note 10, the customer consideration asset was fully impaired during the period from January 1, 2021 through October 14, 2021. Accordingly, Successor period transaction fees no longer reflect a reduction for the recognition of the customer consideration asset. Refer to Note 10 for additional information related to the warrant.</w:t>
      </w:r>
    </w:p>
    <w:p>
      <w:pPr>
        <w:spacing w:after="0" w:line="170" w:lineRule="exact"/>
        <w:rPr>
          <w:sz w:val="20"/>
          <w:szCs w:val="20"/>
          <w:color w:val="auto"/>
        </w:rPr>
      </w:pPr>
    </w:p>
    <w:p>
      <w:pPr>
        <w:ind w:left="620" w:right="140" w:firstLine="400"/>
        <w:spacing w:after="0" w:line="291" w:lineRule="auto"/>
        <w:rPr>
          <w:sz w:val="20"/>
          <w:szCs w:val="20"/>
          <w:color w:val="auto"/>
        </w:rPr>
      </w:pPr>
      <w:r>
        <w:rPr>
          <w:rFonts w:ascii="Times New Roman" w:cs="Times New Roman" w:eastAsia="Times New Roman" w:hAnsi="Times New Roman"/>
          <w:sz w:val="16"/>
          <w:szCs w:val="16"/>
          <w:color w:val="auto"/>
        </w:rPr>
        <w:t>Transaction fees and the reduction to transaction fees are included in “Transaction revenue, net” in the disaggregation of revenue by service type table in Note 3.</w:t>
      </w:r>
    </w:p>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Sale of cryptoassets</w:t>
      </w:r>
    </w:p>
    <w:p>
      <w:pPr>
        <w:spacing w:after="0" w:line="112" w:lineRule="exact"/>
        <w:rPr>
          <w:sz w:val="20"/>
          <w:szCs w:val="20"/>
          <w:color w:val="auto"/>
        </w:rPr>
      </w:pPr>
    </w:p>
    <w:p>
      <w:pPr>
        <w:ind w:left="620" w:right="420" w:firstLine="400"/>
        <w:spacing w:after="0" w:line="291" w:lineRule="auto"/>
        <w:rPr>
          <w:sz w:val="20"/>
          <w:szCs w:val="20"/>
          <w:color w:val="auto"/>
        </w:rPr>
      </w:pPr>
      <w:r>
        <w:rPr>
          <w:rFonts w:ascii="Times New Roman" w:cs="Times New Roman" w:eastAsia="Times New Roman" w:hAnsi="Times New Roman"/>
          <w:sz w:val="16"/>
          <w:szCs w:val="16"/>
          <w:color w:val="auto"/>
        </w:rPr>
        <w:t>As part of our operation of the alternative payment platform, we transact in bitcoin and ether (collectively referred to as “cryptoassets”) with consumers. Consumer cryptoasset transactions are not material for the periods</w:t>
      </w:r>
    </w:p>
    <w:p>
      <w:pPr>
        <w:spacing w:after="0" w:line="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F-17</w:t>
      </w:r>
    </w:p>
    <w:p>
      <w:pPr>
        <w:sectPr>
          <w:pgSz w:w="11900" w:h="16838" w:orient="portrait"/>
          <w:cols w:equalWidth="0" w:num="1">
            <w:col w:w="10620"/>
          </w:cols>
          <w:pgMar w:left="320" w:top="453" w:right="959" w:bottom="1440" w:gutter="0" w:footer="0" w:header="0"/>
        </w:sectPr>
      </w:pPr>
    </w:p>
    <w:bookmarkStart w:id="171" w:name="page172"/>
    <w:bookmarkEnd w:id="17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line="291" w:lineRule="auto"/>
        <w:rPr>
          <w:sz w:val="20"/>
          <w:szCs w:val="20"/>
          <w:color w:val="auto"/>
        </w:rPr>
      </w:pPr>
      <w:r>
        <w:rPr>
          <w:rFonts w:ascii="Times New Roman" w:cs="Times New Roman" w:eastAsia="Times New Roman" w:hAnsi="Times New Roman"/>
          <w:sz w:val="16"/>
          <w:szCs w:val="16"/>
          <w:color w:val="auto"/>
        </w:rPr>
        <w:t>from October 15, 2021 through December 31, 2021 and January 1, 2021 through October 14, 2021. There were no consumer cryptoasset transactions for the year ended December 31, 2020.</w:t>
      </w:r>
    </w:p>
    <w:p>
      <w:pPr>
        <w:spacing w:after="0" w:line="142" w:lineRule="exact"/>
        <w:rPr>
          <w:sz w:val="20"/>
          <w:szCs w:val="20"/>
          <w:color w:val="auto"/>
        </w:rPr>
      </w:pPr>
    </w:p>
    <w:p>
      <w:pPr>
        <w:jc w:val="both"/>
        <w:ind w:left="620" w:right="160" w:firstLine="400"/>
        <w:spacing w:after="0" w:line="264" w:lineRule="auto"/>
        <w:rPr>
          <w:sz w:val="20"/>
          <w:szCs w:val="20"/>
          <w:color w:val="auto"/>
        </w:rPr>
      </w:pPr>
      <w:r>
        <w:rPr>
          <w:rFonts w:ascii="Times New Roman" w:cs="Times New Roman" w:eastAsia="Times New Roman" w:hAnsi="Times New Roman"/>
          <w:sz w:val="16"/>
          <w:szCs w:val="16"/>
          <w:color w:val="auto"/>
        </w:rPr>
        <w:t>Additionally, as part of our operation of the alternative payment platform, we transact in cryptoassets with our trading partners in order to adjust our cryptoasset inventory based on actual consumer activity to maintain an inventory based on our inventory policy. Transactions in cryptoassets with our trading partners in the normal course of business is not material for the periods from October 15, 2021 through December 31, 2021 and January 1, 2021 through October 14, 2021. There were no material transactions in cryptoassets with our trading partners in the normal course of business for the year ended December 31, 2020.</w:t>
      </w:r>
    </w:p>
    <w:p>
      <w:pPr>
        <w:spacing w:after="0" w:line="165" w:lineRule="exact"/>
        <w:rPr>
          <w:sz w:val="20"/>
          <w:szCs w:val="20"/>
          <w:color w:val="auto"/>
        </w:rPr>
      </w:pPr>
    </w:p>
    <w:p>
      <w:pPr>
        <w:ind w:left="620" w:right="40" w:firstLine="400"/>
        <w:spacing w:after="0" w:line="263" w:lineRule="auto"/>
        <w:rPr>
          <w:sz w:val="20"/>
          <w:szCs w:val="20"/>
          <w:color w:val="auto"/>
        </w:rPr>
      </w:pPr>
      <w:r>
        <w:rPr>
          <w:rFonts w:ascii="Times New Roman" w:cs="Times New Roman" w:eastAsia="Times New Roman" w:hAnsi="Times New Roman"/>
          <w:sz w:val="16"/>
          <w:szCs w:val="16"/>
          <w:color w:val="auto"/>
        </w:rPr>
        <w:t>We maintain an inventory reserve of cryptoassets to facilitate consumer transactions if needed. We may adjust our inventory reserve levels under our inventory policy. Sales of cryptoassets resulting from inventory reserve adjustments are not part of our normal course of business. Accordingly, proceeds from the sale of cryptoassets outside of the normal course of business is included in “Other income (expense), net,” net of the cost of cryptoasset sold, in the statements of operations. Opco recognized income from the sale of cryptoassets, net of the cost of cryptoassets sold, of $0 and $1.0 million for periods from October 15, 2021 through December 31, 2021 and January 1, 2021 through October 14, 2021, respectively. There were no sales of cryptoassets outside of the normal course of business for the year ended December 31, 2020.</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Off-Balance Sheet Cryptoassets</w:t>
      </w:r>
    </w:p>
    <w:p>
      <w:pPr>
        <w:spacing w:after="0" w:line="112" w:lineRule="exact"/>
        <w:rPr>
          <w:sz w:val="20"/>
          <w:szCs w:val="20"/>
          <w:color w:val="auto"/>
        </w:rPr>
      </w:pPr>
    </w:p>
    <w:p>
      <w:pPr>
        <w:ind w:left="620" w:right="240" w:firstLine="400"/>
        <w:spacing w:after="0" w:line="291" w:lineRule="auto"/>
        <w:rPr>
          <w:sz w:val="20"/>
          <w:szCs w:val="20"/>
          <w:color w:val="auto"/>
        </w:rPr>
      </w:pPr>
      <w:r>
        <w:rPr>
          <w:rFonts w:ascii="Times New Roman" w:cs="Times New Roman" w:eastAsia="Times New Roman" w:hAnsi="Times New Roman"/>
          <w:sz w:val="16"/>
          <w:szCs w:val="16"/>
          <w:color w:val="auto"/>
        </w:rPr>
        <w:t>Cryptoassets held in a custodial capacity on behalf of our customers are not included in our balance sheet, as we do not own those cryptoassets and they do not exhibit the characteristics of assets as it relates to our consolidated financial statements.</w:t>
      </w:r>
    </w:p>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Practical expedients</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have elected the following practical expedients under ASC 606:</w:t>
      </w:r>
    </w:p>
    <w:p>
      <w:pPr>
        <w:spacing w:after="0" w:line="122" w:lineRule="exact"/>
        <w:rPr>
          <w:sz w:val="20"/>
          <w:szCs w:val="20"/>
          <w:color w:val="auto"/>
        </w:rPr>
      </w:pPr>
    </w:p>
    <w:p>
      <w:pPr>
        <w:ind w:left="1020" w:hanging="299"/>
        <w:spacing w:after="0"/>
        <w:tabs>
          <w:tab w:leader="none" w:pos="10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Assessing the performance obligation period for Triparty Agreement transactions on a portfolio basis.</w:t>
      </w:r>
    </w:p>
    <w:p>
      <w:pPr>
        <w:spacing w:after="0" w:line="122" w:lineRule="exact"/>
        <w:rPr>
          <w:rFonts w:ascii="Times New Roman" w:cs="Times New Roman" w:eastAsia="Times New Roman" w:hAnsi="Times New Roman"/>
          <w:sz w:val="16"/>
          <w:szCs w:val="16"/>
          <w:color w:val="auto"/>
        </w:rPr>
      </w:pPr>
    </w:p>
    <w:p>
      <w:pPr>
        <w:ind w:left="1020" w:hanging="299"/>
        <w:spacing w:after="0"/>
        <w:tabs>
          <w:tab w:leader="none" w:pos="10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 sales taxes from the measurement of the transaction price.</w:t>
      </w:r>
    </w:p>
    <w:p>
      <w:pPr>
        <w:spacing w:after="0" w:line="122" w:lineRule="exact"/>
        <w:rPr>
          <w:rFonts w:ascii="Times New Roman" w:cs="Times New Roman" w:eastAsia="Times New Roman" w:hAnsi="Times New Roman"/>
          <w:sz w:val="16"/>
          <w:szCs w:val="16"/>
          <w:color w:val="auto"/>
        </w:rPr>
      </w:pPr>
    </w:p>
    <w:p>
      <w:pPr>
        <w:ind w:left="1020" w:right="100" w:hanging="299"/>
        <w:spacing w:after="0" w:line="291" w:lineRule="auto"/>
        <w:tabs>
          <w:tab w:leader="none" w:pos="10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adjust the transaction price for the existence of a significant financing component if the timing difference between a customer’s payment and our performance is one year or less.</w:t>
      </w:r>
    </w:p>
    <w:p>
      <w:pPr>
        <w:spacing w:after="0" w:line="56" w:lineRule="exact"/>
        <w:rPr>
          <w:rFonts w:ascii="Times New Roman" w:cs="Times New Roman" w:eastAsia="Times New Roman" w:hAnsi="Times New Roman"/>
          <w:sz w:val="16"/>
          <w:szCs w:val="16"/>
          <w:color w:val="auto"/>
        </w:rPr>
      </w:pPr>
    </w:p>
    <w:p>
      <w:pPr>
        <w:ind w:left="1020" w:right="80" w:hanging="299"/>
        <w:spacing w:after="0" w:line="273" w:lineRule="auto"/>
        <w:tabs>
          <w:tab w:leader="none" w:pos="10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57" w:lineRule="exact"/>
        <w:rPr>
          <w:sz w:val="20"/>
          <w:szCs w:val="20"/>
          <w:color w:val="auto"/>
        </w:rPr>
      </w:pPr>
    </w:p>
    <w:p>
      <w:pPr>
        <w:ind w:left="620" w:right="60" w:firstLine="400"/>
        <w:spacing w:after="0" w:line="291" w:lineRule="auto"/>
        <w:rPr>
          <w:sz w:val="20"/>
          <w:szCs w:val="20"/>
          <w:color w:val="auto"/>
        </w:rPr>
      </w:pPr>
      <w:r>
        <w:rPr>
          <w:rFonts w:ascii="Times New Roman" w:cs="Times New Roman" w:eastAsia="Times New Roman" w:hAnsi="Times New Roman"/>
          <w:sz w:val="16"/>
          <w:szCs w:val="16"/>
          <w:color w:val="auto"/>
        </w:rPr>
        <w:t>Additionally, we have elected the practical expedient under ASC 340-40 to not capitalize incremental costs to obtain a contract with a customer if the amortization period would have been one year or less.</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Refer to Note 3 for additional disclosures related to our recognition of revenue.</w:t>
      </w:r>
    </w:p>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Deferred Revenue</w:t>
      </w:r>
    </w:p>
    <w:p>
      <w:pPr>
        <w:spacing w:after="0" w:line="114" w:lineRule="exact"/>
        <w:rPr>
          <w:sz w:val="20"/>
          <w:szCs w:val="20"/>
          <w:color w:val="auto"/>
        </w:rPr>
      </w:pPr>
    </w:p>
    <w:p>
      <w:pPr>
        <w:ind w:left="620" w:right="20" w:firstLine="400"/>
        <w:spacing w:after="0" w:line="264" w:lineRule="auto"/>
        <w:rPr>
          <w:sz w:val="20"/>
          <w:szCs w:val="20"/>
          <w:color w:val="auto"/>
        </w:rPr>
      </w:pPr>
      <w:r>
        <w:rPr>
          <w:rFonts w:ascii="Times New Roman" w:cs="Times New Roman" w:eastAsia="Times New Roman" w:hAnsi="Times New Roman"/>
          <w:sz w:val="16"/>
          <w:szCs w:val="16"/>
          <w:color w:val="auto"/>
        </w:rPr>
        <w:t>Deferred revenue includes amounts invoiced prior to our meeting the criteria for revenue recognition. We invoice customers for service fees at the time the service is performed, and such fees are recognized as revenue over time as we satisfy our performance obligation. The portion of deferred revenue to be recognized in the succeeding twelve-month period is recorded as non-current deferred revenue, and the remaining portion is recorded as current deferred revenue. We have determined that these arrangements do not contain a significant financing component, and therefore the transaction price is not adjusted.</w:t>
      </w:r>
    </w:p>
    <w:p>
      <w:pPr>
        <w:spacing w:after="0" w:line="1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F-18</w:t>
      </w:r>
    </w:p>
    <w:p>
      <w:pPr>
        <w:sectPr>
          <w:pgSz w:w="11900" w:h="16838" w:orient="portrait"/>
          <w:cols w:equalWidth="0" w:num="1">
            <w:col w:w="10600"/>
          </w:cols>
          <w:pgMar w:left="320" w:top="453" w:right="979" w:bottom="1440" w:gutter="0" w:footer="0" w:header="0"/>
        </w:sectPr>
      </w:pPr>
    </w:p>
    <w:bookmarkStart w:id="172" w:name="page173"/>
    <w:bookmarkEnd w:id="17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Compensation and Benefits</w:t>
      </w:r>
    </w:p>
    <w:p>
      <w:pPr>
        <w:spacing w:after="0" w:line="114" w:lineRule="exact"/>
        <w:rPr>
          <w:sz w:val="20"/>
          <w:szCs w:val="20"/>
          <w:color w:val="auto"/>
        </w:rPr>
      </w:pPr>
    </w:p>
    <w:p>
      <w:pPr>
        <w:ind w:left="620" w:right="500" w:firstLine="400"/>
        <w:spacing w:after="0" w:line="273" w:lineRule="auto"/>
        <w:rPr>
          <w:sz w:val="20"/>
          <w:szCs w:val="20"/>
          <w:color w:val="auto"/>
        </w:rPr>
      </w:pPr>
      <w:r>
        <w:rPr>
          <w:rFonts w:ascii="Times New Roman" w:cs="Times New Roman" w:eastAsia="Times New Roman" w:hAnsi="Times New Roman"/>
          <w:sz w:val="16"/>
          <w:szCs w:val="16"/>
          <w:color w:val="auto"/>
        </w:rPr>
        <w:t>Compensation and benefits primarily consist of salaries and wages, bonuses, contract labor fees, share-based compensation, unit-based compensation, payroll taxes and benefits associated with the compensation of our employees, excluding the accelerated unit-based compensation discussed in “Acquisition-related expenses,” and any contract labor not capitalized.</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Professional Services</w:t>
      </w:r>
    </w:p>
    <w:p>
      <w:pPr>
        <w:spacing w:after="0" w:line="1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Professional services expenses consist of costs associated with audit, tax, legal and other professional services and are recognized as incurred.</w:t>
      </w:r>
    </w:p>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Technology and Communication</w:t>
      </w:r>
    </w:p>
    <w:p>
      <w:pPr>
        <w:spacing w:after="0" w:line="114" w:lineRule="exact"/>
        <w:rPr>
          <w:sz w:val="20"/>
          <w:szCs w:val="20"/>
          <w:color w:val="auto"/>
        </w:rPr>
      </w:pPr>
    </w:p>
    <w:p>
      <w:pPr>
        <w:ind w:left="620" w:right="80" w:firstLine="400"/>
        <w:spacing w:after="0" w:line="291" w:lineRule="auto"/>
        <w:rPr>
          <w:sz w:val="20"/>
          <w:szCs w:val="20"/>
          <w:color w:val="auto"/>
        </w:rPr>
      </w:pPr>
      <w:r>
        <w:rPr>
          <w:rFonts w:ascii="Times New Roman" w:cs="Times New Roman" w:eastAsia="Times New Roman" w:hAnsi="Times New Roman"/>
          <w:sz w:val="16"/>
          <w:szCs w:val="16"/>
          <w:color w:val="auto"/>
        </w:rPr>
        <w:t>Technology and communication expenses include costs incurred in operating and maintaining our platform, including software licenses, software maintenance and support, hosting and infrastructure costs.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Selling, General and Administrative</w:t>
      </w:r>
    </w:p>
    <w:p>
      <w:pPr>
        <w:spacing w:after="0" w:line="114" w:lineRule="exact"/>
        <w:rPr>
          <w:sz w:val="20"/>
          <w:szCs w:val="20"/>
          <w:color w:val="auto"/>
        </w:rPr>
      </w:pPr>
    </w:p>
    <w:p>
      <w:pPr>
        <w:ind w:left="620" w:right="140" w:firstLine="400"/>
        <w:spacing w:after="0" w:line="273" w:lineRule="auto"/>
        <w:rPr>
          <w:sz w:val="20"/>
          <w:szCs w:val="20"/>
          <w:color w:val="auto"/>
        </w:rPr>
      </w:pPr>
      <w:r>
        <w:rPr>
          <w:rFonts w:ascii="Times New Roman" w:cs="Times New Roman" w:eastAsia="Times New Roman" w:hAnsi="Times New Roman"/>
          <w:sz w:val="16"/>
          <w:szCs w:val="16"/>
          <w:color w:val="auto"/>
        </w:rPr>
        <w:t>Selling, general and administrative expenses consist primarily of costs associated with advertising, marketing, insurance and rent. Advertising costs are expensed as incurred. Total advertising costs for the periods from October 15, 2021 through December 31, 2021 and January 1, 2021 through October 14, 2021, and the year ended December 31, 2020 were approximately $2.6 million, $16.2 million and $4.9 million, respectively.</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Acquisition-Related Expenses</w:t>
      </w:r>
    </w:p>
    <w:p>
      <w:pPr>
        <w:spacing w:after="0" w:line="114" w:lineRule="exact"/>
        <w:rPr>
          <w:sz w:val="20"/>
          <w:szCs w:val="20"/>
          <w:color w:val="auto"/>
        </w:rPr>
      </w:pPr>
    </w:p>
    <w:p>
      <w:pPr>
        <w:ind w:left="620" w:firstLine="400"/>
        <w:spacing w:after="0" w:line="264" w:lineRule="auto"/>
        <w:rPr>
          <w:sz w:val="20"/>
          <w:szCs w:val="20"/>
          <w:color w:val="auto"/>
        </w:rPr>
      </w:pPr>
      <w:r>
        <w:rPr>
          <w:rFonts w:ascii="Times New Roman" w:cs="Times New Roman" w:eastAsia="Times New Roman" w:hAnsi="Times New Roman"/>
          <w:sz w:val="16"/>
          <w:szCs w:val="16"/>
          <w:color w:val="auto"/>
        </w:rPr>
        <w:t>We incur incremental costs relating to our completed and potential acquisitions and other strategic opportunities. This includes fees for investment banking advisors, lawyers, accountants, tax advisors and public relations firms, as well as costs associated with other external costs directly related to the proposed or closed transactions. Acquisition-related expenses for the year ended December 31, 2020 included approximately $9.6 million of accelerated expense for our incentive and participation units resulting from the issuance of Class C voting units in connection with the acquisition of Bridge2 Solutions (Note 4).</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Share-Based Compensation</w:t>
      </w:r>
    </w:p>
    <w:p>
      <w:pPr>
        <w:spacing w:after="0" w:line="114" w:lineRule="exact"/>
        <w:rPr>
          <w:sz w:val="20"/>
          <w:szCs w:val="20"/>
          <w:color w:val="auto"/>
        </w:rPr>
      </w:pPr>
    </w:p>
    <w:p>
      <w:pPr>
        <w:jc w:val="both"/>
        <w:ind w:left="620" w:right="20" w:firstLine="400"/>
        <w:spacing w:after="0" w:line="264" w:lineRule="auto"/>
        <w:rPr>
          <w:sz w:val="20"/>
          <w:szCs w:val="20"/>
          <w:color w:val="auto"/>
        </w:rPr>
      </w:pPr>
      <w:r>
        <w:rPr>
          <w:rFonts w:ascii="Times New Roman" w:cs="Times New Roman" w:eastAsia="Times New Roman" w:hAnsi="Times New Roman"/>
          <w:sz w:val="16"/>
          <w:szCs w:val="16"/>
          <w:color w:val="auto"/>
        </w:rPr>
        <w:t>Share-based compensation expense relates to the restricted stock units (“RSUs”) granted during the Successor period. Our RSUs are measured at fair value on the date of grant and recognized as expense in “Compensation and benefits” over the requisite service period. Expense is recognized on a straight-line basis for awards that vest based solely on a service condition, and on an accelerated attribution basis for all other awards. The fair value of our RSUs is determined as the closing price of our Class A common stock on the date of grant. We account for forfeitures as they occur. See Note 11 for additional disclosures related to share-based compensation.</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Unit-Based Compensation</w:t>
      </w:r>
    </w:p>
    <w:p>
      <w:pPr>
        <w:spacing w:after="0" w:line="114" w:lineRule="exact"/>
        <w:rPr>
          <w:sz w:val="20"/>
          <w:szCs w:val="20"/>
          <w:color w:val="auto"/>
        </w:rPr>
      </w:pPr>
    </w:p>
    <w:p>
      <w:pPr>
        <w:ind w:left="620" w:right="60" w:firstLine="400"/>
        <w:spacing w:after="0" w:line="263" w:lineRule="auto"/>
        <w:rPr>
          <w:sz w:val="20"/>
          <w:szCs w:val="20"/>
          <w:color w:val="auto"/>
        </w:rPr>
      </w:pPr>
      <w:r>
        <w:rPr>
          <w:rFonts w:ascii="Times New Roman" w:cs="Times New Roman" w:eastAsia="Times New Roman" w:hAnsi="Times New Roman"/>
          <w:sz w:val="16"/>
          <w:szCs w:val="16"/>
          <w:color w:val="auto"/>
        </w:rPr>
        <w:t>The Successor period unit-based compensation expense relates to the replacement common incentive units and phantom units (“participation” units) granted during the Predecessor period that were issued to employees as purchase consideration. The replacement incentive units and participation units were measured at fair value on the Closing Date, and we recognize expense in “Compensation and benefits” in the statements of operations over the requisite service period. A portion of the current year expense relates to the acceleration of compensation expense given the satisfaction of non-substantive service obligations upon the Closing Date for certain participation units. Additionally, we recognize variable compensation expense for liability-classified participation units based on changes to the fair value of the awards at each reporting date. We account for</w:t>
      </w:r>
    </w:p>
    <w:p>
      <w:pPr>
        <w:spacing w:after="0" w:line="10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F-19</w:t>
      </w:r>
    </w:p>
    <w:p>
      <w:pPr>
        <w:sectPr>
          <w:pgSz w:w="11900" w:h="16838" w:orient="portrait"/>
          <w:cols w:equalWidth="0" w:num="1">
            <w:col w:w="10600"/>
          </w:cols>
          <w:pgMar w:left="320" w:top="453" w:right="979" w:bottom="1440" w:gutter="0" w:footer="0" w:header="0"/>
        </w:sectPr>
      </w:pPr>
    </w:p>
    <w:bookmarkStart w:id="173" w:name="page174"/>
    <w:bookmarkEnd w:id="17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640"/>
        <w:spacing w:after="0" w:line="273" w:lineRule="auto"/>
        <w:rPr>
          <w:sz w:val="20"/>
          <w:szCs w:val="20"/>
          <w:color w:val="auto"/>
        </w:rPr>
      </w:pPr>
      <w:r>
        <w:rPr>
          <w:rFonts w:ascii="Times New Roman" w:cs="Times New Roman" w:eastAsia="Times New Roman" w:hAnsi="Times New Roman"/>
          <w:sz w:val="16"/>
          <w:szCs w:val="16"/>
          <w:color w:val="auto"/>
        </w:rPr>
        <w:t>forfeitures as they occur. Any cancellations of common incentive units due to clawbacks or similar provisions are recognized in “Other income (expense), net” at the lesser of the recognized compensation cost associated with the unit-based payment arrangement or the fair value of the consideration received.</w:t>
      </w:r>
    </w:p>
    <w:p>
      <w:pPr>
        <w:spacing w:after="0" w:line="157" w:lineRule="exact"/>
        <w:rPr>
          <w:sz w:val="20"/>
          <w:szCs w:val="20"/>
          <w:color w:val="auto"/>
        </w:rPr>
      </w:pPr>
    </w:p>
    <w:p>
      <w:pPr>
        <w:ind w:left="620" w:firstLine="400"/>
        <w:spacing w:after="0" w:line="264" w:lineRule="auto"/>
        <w:rPr>
          <w:sz w:val="20"/>
          <w:szCs w:val="20"/>
          <w:color w:val="auto"/>
        </w:rPr>
      </w:pPr>
      <w:r>
        <w:rPr>
          <w:rFonts w:ascii="Times New Roman" w:cs="Times New Roman" w:eastAsia="Times New Roman" w:hAnsi="Times New Roman"/>
          <w:sz w:val="16"/>
          <w:szCs w:val="16"/>
          <w:color w:val="auto"/>
        </w:rPr>
        <w:t>The Predecessor period unit-based compensation expense related to incentive units and participation units granted to employees and was measured at fair value on the date of grant and recognized as expense in “Compensation and benefits” over the requisite service period, subject to acceleration if certain performance or market conditions were met. Additionally, we recognized variable compensation expense for liability-classified participation units based on changes to the fair value of the awards at each reporting date. We accounted for forfeitures in the Predecessor period as they occurred. See Note 11 for additional disclosures related to unit-based compensation.</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Warrant Accounting</w:t>
      </w:r>
    </w:p>
    <w:p>
      <w:pPr>
        <w:spacing w:after="0" w:line="112" w:lineRule="exact"/>
        <w:rPr>
          <w:sz w:val="20"/>
          <w:szCs w:val="20"/>
          <w:color w:val="auto"/>
        </w:rPr>
      </w:pPr>
    </w:p>
    <w:p>
      <w:pPr>
        <w:ind w:left="620" w:right="140" w:firstLine="400"/>
        <w:spacing w:after="0" w:line="262" w:lineRule="auto"/>
        <w:rPr>
          <w:sz w:val="20"/>
          <w:szCs w:val="20"/>
          <w:color w:val="auto"/>
        </w:rPr>
      </w:pPr>
      <w:r>
        <w:rPr>
          <w:rFonts w:ascii="Times New Roman" w:cs="Times New Roman" w:eastAsia="Times New Roman" w:hAnsi="Times New Roman"/>
          <w:sz w:val="16"/>
          <w:szCs w:val="16"/>
          <w:color w:val="auto"/>
        </w:rPr>
        <w:t xml:space="preserve">We account for our Class A common stock warrants in accordance with applicable accounting guidance provided in ASC Topic 815, </w:t>
      </w:r>
      <w:r>
        <w:rPr>
          <w:rFonts w:ascii="Times New Roman" w:cs="Times New Roman" w:eastAsia="Times New Roman" w:hAnsi="Times New Roman"/>
          <w:sz w:val="16"/>
          <w:szCs w:val="16"/>
          <w:i w:val="1"/>
          <w:iCs w:val="1"/>
          <w:color w:val="auto"/>
        </w:rPr>
        <w:t>Derivatives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Hedging—Contracts in Entity’s Own Equity</w:t>
      </w:r>
      <w:r>
        <w:rPr>
          <w:rFonts w:ascii="Times New Roman" w:cs="Times New Roman" w:eastAsia="Times New Roman" w:hAnsi="Times New Roman"/>
          <w:sz w:val="16"/>
          <w:szCs w:val="16"/>
          <w:color w:val="auto"/>
        </w:rPr>
        <w:t>, as either derivative liabilities or as equity instruments depending on the specific terms of the warrant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 (Note 9).</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Noncontrolling Interest</w:t>
      </w:r>
    </w:p>
    <w:p>
      <w:pPr>
        <w:spacing w:after="0" w:line="114" w:lineRule="exact"/>
        <w:rPr>
          <w:sz w:val="20"/>
          <w:szCs w:val="20"/>
          <w:color w:val="auto"/>
        </w:rPr>
      </w:pPr>
    </w:p>
    <w:p>
      <w:pPr>
        <w:ind w:left="620" w:right="60" w:firstLine="400"/>
        <w:spacing w:after="0" w:line="261" w:lineRule="auto"/>
        <w:rPr>
          <w:sz w:val="20"/>
          <w:szCs w:val="20"/>
          <w:color w:val="auto"/>
        </w:rPr>
      </w:pPr>
      <w:r>
        <w:rPr>
          <w:rFonts w:ascii="Times New Roman" w:cs="Times New Roman" w:eastAsia="Times New Roman" w:hAnsi="Times New Roman"/>
          <w:sz w:val="16"/>
          <w:szCs w:val="16"/>
          <w:color w:val="auto"/>
        </w:rPr>
        <w:t>Noncontrolling interest represents the portion of Opco that we control and consolidate but do not own. We recognize each noncontrolling holders’ respective share of the estimated fair value of the net assets at the date of formation or acquisition. Noncontrolling interest is subsequently adjusted by the noncontrolling holders’ share of additional contributions, distributions and their share of the net earnings or losses of each respective consolidated entity. We allocate net income or loss to noncontrolling interest based on the weighted average ownership interest during the period. The net income or loss that is not attributable to the Company is reflected in “Net loss attributable to noncontrolling interest”. We do not recognize a gain or loss on transactions with a consolidated entity in which we do not own 100% of the equity, but we reflect the difference in cash received or paid from the noncontrolling interests carrying amount as additional paid-in capital.</w:t>
      </w: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14" w:lineRule="exact"/>
        <w:rPr>
          <w:sz w:val="20"/>
          <w:szCs w:val="20"/>
          <w:color w:val="auto"/>
        </w:rPr>
      </w:pPr>
    </w:p>
    <w:p>
      <w:pPr>
        <w:ind w:left="620" w:right="20" w:firstLine="400"/>
        <w:spacing w:after="0" w:line="259" w:lineRule="auto"/>
        <w:rPr>
          <w:sz w:val="20"/>
          <w:szCs w:val="20"/>
          <w:color w:val="auto"/>
        </w:rPr>
      </w:pPr>
      <w:r>
        <w:rPr>
          <w:rFonts w:ascii="Times New Roman" w:cs="Times New Roman" w:eastAsia="Times New Roman" w:hAnsi="Times New Roman"/>
          <w:sz w:val="16"/>
          <w:szCs w:val="16"/>
          <w:color w:val="auto"/>
        </w:rPr>
        <w:t>We account for deferred income taxes related to the federal and state jurisdictions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will be to include such items in income tax expense. We record deferred tax assets and liabilities on a net basis on the consolidated balance sheets. We will recognize interest and penalties related to uncertain tax positions in income tax expense.</w:t>
      </w:r>
    </w:p>
    <w:p>
      <w:pPr>
        <w:spacing w:after="0" w:line="11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F-20</w:t>
      </w:r>
    </w:p>
    <w:p>
      <w:pPr>
        <w:sectPr>
          <w:pgSz w:w="11900" w:h="16838" w:orient="portrait"/>
          <w:cols w:equalWidth="0" w:num="1">
            <w:col w:w="10620"/>
          </w:cols>
          <w:pgMar w:left="320" w:top="453" w:right="959" w:bottom="1440" w:gutter="0" w:footer="0" w:header="0"/>
        </w:sectPr>
      </w:pPr>
    </w:p>
    <w:bookmarkStart w:id="174" w:name="page175"/>
    <w:bookmarkEnd w:id="17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Fair Value Measurements</w:t>
      </w:r>
    </w:p>
    <w:p>
      <w:pPr>
        <w:spacing w:after="0" w:line="114" w:lineRule="exact"/>
        <w:rPr>
          <w:sz w:val="20"/>
          <w:szCs w:val="20"/>
          <w:color w:val="auto"/>
        </w:rPr>
      </w:pPr>
    </w:p>
    <w:p>
      <w:pPr>
        <w:ind w:left="620" w:right="140" w:firstLine="400"/>
        <w:spacing w:after="0" w:line="261" w:lineRule="auto"/>
        <w:rPr>
          <w:sz w:val="20"/>
          <w:szCs w:val="20"/>
          <w:color w:val="auto"/>
        </w:rPr>
      </w:pPr>
      <w:r>
        <w:rPr>
          <w:rFonts w:ascii="Times New Roman" w:cs="Times New Roman" w:eastAsia="Times New Roman" w:hAnsi="Times New Roman"/>
          <w:sz w:val="16"/>
          <w:szCs w:val="16"/>
          <w:color w:val="auto"/>
        </w:rPr>
        <w:t xml:space="preserve">We account for our financial assets and liabilities that are recognized and/or disclosed at fair value on a recurring basis in accordance with ASC 820, </w:t>
      </w:r>
      <w:r>
        <w:rPr>
          <w:rFonts w:ascii="Times New Roman" w:cs="Times New Roman" w:eastAsia="Times New Roman" w:hAnsi="Times New Roman"/>
          <w:sz w:val="16"/>
          <w:szCs w:val="16"/>
          <w:i w:val="1"/>
          <w:iCs w:val="1"/>
          <w:color w:val="auto"/>
        </w:rPr>
        <w:t>Fair Value Measurements and Disclosures</w:t>
      </w:r>
      <w:r>
        <w:rPr>
          <w:rFonts w:ascii="Times New Roman" w:cs="Times New Roman" w:eastAsia="Times New Roman" w:hAnsi="Times New Roman"/>
          <w:sz w:val="16"/>
          <w:szCs w:val="16"/>
          <w:color w:val="auto"/>
        </w:rPr>
        <w:t>.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we consider the principal or most advantageous market in which we would transact, and we consider assumptions that market participants would use when pricing the asset or liability. ASC 820 establishes a hierarchy of valuation techniques based on whether the inputs to those valuation techniques are observable or unobservable and proscribes the following fair value hierarchy in determining fair values: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Level 1 — Quoted prices for identical assets or liabilities in active markets.</w:t>
      </w:r>
    </w:p>
    <w:p>
      <w:pPr>
        <w:spacing w:after="0" w:line="208"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spacing w:after="0" w:line="162" w:lineRule="exact"/>
        <w:rPr>
          <w:sz w:val="20"/>
          <w:szCs w:val="20"/>
          <w:color w:val="auto"/>
        </w:rPr>
      </w:pPr>
    </w:p>
    <w:p>
      <w:pPr>
        <w:ind w:left="620" w:right="40"/>
        <w:spacing w:after="0" w:line="291" w:lineRule="auto"/>
        <w:rPr>
          <w:sz w:val="20"/>
          <w:szCs w:val="20"/>
          <w:color w:val="auto"/>
        </w:rPr>
      </w:pPr>
      <w:r>
        <w:rPr>
          <w:rFonts w:ascii="Times New Roman" w:cs="Times New Roman" w:eastAsia="Times New Roman" w:hAnsi="Times New Roman"/>
          <w:sz w:val="16"/>
          <w:szCs w:val="16"/>
          <w:color w:val="auto"/>
        </w:rPr>
        <w:t>Level 3 — Unobservable inputs reflecting our view about the assumptions that market participants would use in measuring the fair value of the assets or liabilities.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Concentration of Credit Risk</w:t>
      </w:r>
    </w:p>
    <w:p>
      <w:pPr>
        <w:spacing w:after="0" w:line="114" w:lineRule="exact"/>
        <w:rPr>
          <w:sz w:val="20"/>
          <w:szCs w:val="20"/>
          <w:color w:val="auto"/>
        </w:rPr>
      </w:pPr>
    </w:p>
    <w:p>
      <w:pPr>
        <w:ind w:left="620" w:right="60" w:firstLine="400"/>
        <w:spacing w:after="0" w:line="267" w:lineRule="auto"/>
        <w:rPr>
          <w:sz w:val="20"/>
          <w:szCs w:val="20"/>
          <w:color w:val="auto"/>
        </w:rPr>
      </w:pPr>
      <w:r>
        <w:rPr>
          <w:rFonts w:ascii="Times New Roman" w:cs="Times New Roman" w:eastAsia="Times New Roman" w:hAnsi="Times New Roman"/>
          <w:sz w:val="16"/>
          <w:szCs w:val="16"/>
          <w:color w:val="auto"/>
        </w:rPr>
        <w:t>Financial instruments that potentially subject us to concentrations of credit risk consist primarily of cash and cash equivalents, restricted cash, and accounts receivable, including unbilled accounts receivable. The associated risk of concentration for cash and cash equivalents and restricted cash is mitigated by banking with creditworthy institutions. At certain times, amounts on deposit exceed federal deposit insurance limits. We have not experienced any losses on our deposits of cash and cash equivalents.</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As of December 31, 2021, and 2020, three and four customers represented approximately 49% and 58%, respectively, of total accounts receivable.</w:t>
      </w:r>
    </w:p>
    <w:p>
      <w:pPr>
        <w:spacing w:after="0" w:line="208" w:lineRule="exact"/>
        <w:rPr>
          <w:sz w:val="20"/>
          <w:szCs w:val="20"/>
          <w:color w:val="auto"/>
        </w:rPr>
      </w:pPr>
    </w:p>
    <w:p>
      <w:pPr>
        <w:ind w:left="620" w:right="800" w:firstLine="400"/>
        <w:spacing w:after="0" w:line="291" w:lineRule="auto"/>
        <w:rPr>
          <w:sz w:val="20"/>
          <w:szCs w:val="20"/>
          <w:color w:val="auto"/>
        </w:rPr>
      </w:pPr>
      <w:r>
        <w:rPr>
          <w:rFonts w:ascii="Times New Roman" w:cs="Times New Roman" w:eastAsia="Times New Roman" w:hAnsi="Times New Roman"/>
          <w:sz w:val="16"/>
          <w:szCs w:val="16"/>
          <w:color w:val="auto"/>
        </w:rPr>
        <w:t>For the periods from October 15, 2021 through December 31, 2021 and January 1, 2021 through October 14, 2021, and the year ended December 31, 2020, four, three, and two customers represented approximately 59%, 55%, and 65%, respectively, of total revenue.</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Investments</w:t>
      </w:r>
    </w:p>
    <w:p>
      <w:pPr>
        <w:spacing w:after="0" w:line="114" w:lineRule="exact"/>
        <w:rPr>
          <w:sz w:val="20"/>
          <w:szCs w:val="20"/>
          <w:color w:val="auto"/>
        </w:rPr>
      </w:pPr>
    </w:p>
    <w:p>
      <w:pPr>
        <w:ind w:left="620" w:right="80" w:firstLine="400"/>
        <w:spacing w:after="0" w:line="263" w:lineRule="auto"/>
        <w:rPr>
          <w:sz w:val="20"/>
          <w:szCs w:val="20"/>
          <w:color w:val="auto"/>
        </w:rPr>
      </w:pPr>
      <w:r>
        <w:rPr>
          <w:rFonts w:ascii="Times New Roman" w:cs="Times New Roman" w:eastAsia="Times New Roman" w:hAnsi="Times New Roman"/>
          <w:sz w:val="16"/>
          <w:szCs w:val="16"/>
          <w:color w:val="auto"/>
        </w:rPr>
        <w:t>Bakkt Clearing was required to hold shares of Intercontinental Exchange, Inc. (“ICE”) stock for ICUS membership privileges prior to the withdrawal of its ICUS membership on May 20, 2020. These shares were carried at cost basis and evaluated periodically for impairment. Upon withdrawal of its ICUS membership, these shares were remeasured at fair value, with realized and unrealized gains and losses being reflected as “Other income (expense), net”. In June 2021, we sold all of our shares of ICE stock, resulting in a realized loss on the sale of shares of affiliate stock of approximately $0.1 million for the period from January 1, 2021 through October 14, 2021. We recorded an unrealized gain of $0.6 million for the year ended December 31, 2020 (Note 8).</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Investments are classified as current or non-current depending on their maturity dates and when it is expected to be converted into cash.</w:t>
      </w:r>
    </w:p>
    <w:p>
      <w:pPr>
        <w:spacing w:after="0" w:line="14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F-21</w:t>
      </w:r>
    </w:p>
    <w:p>
      <w:pPr>
        <w:sectPr>
          <w:pgSz w:w="11900" w:h="16838" w:orient="portrait"/>
          <w:cols w:equalWidth="0" w:num="1">
            <w:col w:w="10620"/>
          </w:cols>
          <w:pgMar w:left="320" w:top="453" w:right="959" w:bottom="1440" w:gutter="0" w:footer="0" w:header="0"/>
        </w:sectPr>
      </w:pPr>
    </w:p>
    <w:bookmarkStart w:id="175" w:name="page176"/>
    <w:bookmarkEnd w:id="175"/>
    <w:p>
      <w:pPr>
        <w:spacing w:after="0"/>
        <w:rPr>
          <w:rFonts w:ascii="Times New Roman" w:cs="Times New Roman" w:eastAsia="Times New Roman" w:hAnsi="Times New Roman"/>
          <w:sz w:val="16"/>
          <w:szCs w:val="16"/>
          <w:b w:val="1"/>
          <w:bCs w:val="1"/>
          <w:u w:val="single" w:color="auto"/>
          <w:color w:val="0000EE"/>
        </w:rPr>
      </w:pP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Recently Adopted Accounting Pronouncements</w:t>
      </w:r>
    </w:p>
    <w:p>
      <w:pPr>
        <w:spacing w:after="0" w:line="39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3"/>
          <w:szCs w:val="13"/>
          <w:b w:val="1"/>
          <w:bCs w:val="1"/>
          <w:u w:val="single" w:color="auto"/>
          <w:color w:val="auto"/>
        </w:rPr>
        <w:t>Standard/Description</w:t>
      </w:r>
    </w:p>
    <w:p>
      <w:pPr>
        <w:spacing w:after="0" w:line="21" w:lineRule="exact"/>
        <w:rPr>
          <w:sz w:val="20"/>
          <w:szCs w:val="20"/>
          <w:color w:val="auto"/>
        </w:rPr>
      </w:pPr>
    </w:p>
    <w:p>
      <w:pPr>
        <w:jc w:val="both"/>
        <w:ind w:left="620"/>
        <w:spacing w:after="0" w:line="257" w:lineRule="auto"/>
        <w:rPr>
          <w:sz w:val="20"/>
          <w:szCs w:val="20"/>
          <w:color w:val="auto"/>
        </w:rPr>
      </w:pPr>
      <w:r>
        <w:rPr>
          <w:rFonts w:ascii="Times New Roman" w:cs="Times New Roman" w:eastAsia="Times New Roman" w:hAnsi="Times New Roman"/>
          <w:sz w:val="16"/>
          <w:szCs w:val="16"/>
          <w:color w:val="auto"/>
        </w:rPr>
        <w:t>ASU No. 2016-13, Financial Instruments — Measurement of Credit Losses on Financial Instruments, applies to all financial instruments carried at amortized cost including accounts receivable and certain off-balance-sheet credit exposures. It requires financial assets carried at amortized cost to be presented at the net amount expected to be collected and requires entities to record credit losses through an allowance for credit losses on available-for-sale debt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Effective Date and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-850900</wp:posOffset>
            </wp:positionV>
            <wp:extent cx="7185660" cy="514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3"/>
          <w:szCs w:val="13"/>
          <w:b w:val="1"/>
          <w:bCs w:val="1"/>
          <w:u w:val="single" w:color="auto"/>
          <w:color w:val="auto"/>
        </w:rPr>
        <w:t>Considerations</w:t>
      </w:r>
    </w:p>
    <w:p>
      <w:pPr>
        <w:spacing w:after="0" w:line="1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We adopted on January 1, 2020 on a modified retrospective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Effect on Financial Statements</w:t>
      </w:r>
    </w:p>
    <w:p>
      <w:pPr>
        <w:spacing w:after="0" w:line="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adoption of this standard requires more timely recognition of credit losses and credit loss estimates are required to use historical information, current information and reasonable and supportable forecasts of future events. The adoption of the new standard did not have a material impact on our consolidated financial statement amounts.</w:t>
      </w:r>
    </w:p>
    <w:p>
      <w:pPr>
        <w:spacing w:after="0" w:line="268" w:lineRule="exact"/>
        <w:rPr>
          <w:sz w:val="20"/>
          <w:szCs w:val="20"/>
          <w:color w:val="auto"/>
        </w:rPr>
      </w:pPr>
    </w:p>
    <w:p>
      <w:pPr>
        <w:sectPr>
          <w:pgSz w:w="11900" w:h="16838" w:orient="portrait"/>
          <w:cols w:equalWidth="0" w:num="3">
            <w:col w:w="4120" w:space="220"/>
            <w:col w:w="3180" w:space="220"/>
            <w:col w:w="2880"/>
          </w:cols>
          <w:pgMar w:left="320" w:top="453" w:right="959" w:bottom="1440" w:gutter="0" w:footer="0" w:header="0"/>
        </w:sectPr>
      </w:pPr>
    </w:p>
    <w:p>
      <w:pPr>
        <w:jc w:val="both"/>
        <w:ind w:left="620"/>
        <w:spacing w:after="0" w:line="259" w:lineRule="auto"/>
        <w:rPr>
          <w:sz w:val="20"/>
          <w:szCs w:val="20"/>
          <w:color w:val="auto"/>
        </w:rPr>
      </w:pPr>
      <w:r>
        <w:rPr>
          <w:rFonts w:ascii="Times New Roman" w:cs="Times New Roman" w:eastAsia="Times New Roman" w:hAnsi="Times New Roman"/>
          <w:sz w:val="16"/>
          <w:szCs w:val="16"/>
          <w:color w:val="auto"/>
        </w:rPr>
        <w:t>ASU 2017-04, Simplifying the Test for Goodwill Impairment, removes the second step of the goodwill impairment test, which requires a hypothetical purchase price allocation if the fair value of a reporting unit is less than its carrying value. Goodwill impairment will now be measured using the difference between the carrying value and the fair value of the reporting unit, and any loss recognized should not exceed the total amount of goodwill allocated to that reporting unit.</w:t>
      </w:r>
    </w:p>
    <w:p>
      <w:pPr>
        <w:spacing w:after="0" w:line="74" w:lineRule="exact"/>
        <w:rPr>
          <w:sz w:val="20"/>
          <w:szCs w:val="20"/>
          <w:color w:val="auto"/>
        </w:rPr>
      </w:pPr>
    </w:p>
    <w:p>
      <w:pPr>
        <w:jc w:val="both"/>
        <w:ind w:left="620"/>
        <w:spacing w:after="0" w:line="258" w:lineRule="auto"/>
        <w:rPr>
          <w:sz w:val="20"/>
          <w:szCs w:val="20"/>
          <w:color w:val="auto"/>
        </w:rPr>
      </w:pPr>
      <w:r>
        <w:rPr>
          <w:rFonts w:ascii="Times New Roman" w:cs="Times New Roman" w:eastAsia="Times New Roman" w:hAnsi="Times New Roman"/>
          <w:sz w:val="16"/>
          <w:szCs w:val="16"/>
          <w:color w:val="auto"/>
        </w:rPr>
        <w:t>ASU 2018-15, Customer’s Accounting for Implementation Costs Incurred in a Cloud Computing Arrangement that is a Service Contract, helps entities evaluate the accounting for fees paid by a customer in a cloud computing arrangement by providing guidance for determining when an arrangement includes a software license and is solely a hosted service. Customers will now apply the same criteria for capitalizing implementation costs as they would for a software license arrangement. The guidance also prescribes the balance sheet, income statement, and cash flow classification of the capitalized implementation costs and related</w:t>
      </w:r>
    </w:p>
    <w:p>
      <w:pPr>
        <w:spacing w:after="0" w:line="20" w:lineRule="exact"/>
        <w:rPr>
          <w:sz w:val="20"/>
          <w:szCs w:val="20"/>
          <w:color w:val="auto"/>
        </w:rPr>
      </w:pPr>
      <w:r>
        <w:rPr>
          <w:sz w:val="20"/>
          <w:szCs w:val="20"/>
          <w:color w:val="auto"/>
        </w:rPr>
        <w:br w:type="column"/>
      </w: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We adopted on January 1, 2020 on a prospective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adopted on January 1, 2020 and apply the rules prospectively to eligible costs incurred on or after the effective date.</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Times New Roman" w:cs="Times New Roman" w:eastAsia="Times New Roman" w:hAnsi="Times New Roman"/>
          <w:sz w:val="16"/>
          <w:szCs w:val="16"/>
          <w:color w:val="auto"/>
        </w:rPr>
        <w:t>The adoption of the new standard did not have a material impact on our consolidated financial statement amounts. The fair value of our reporting unit has been greater than its corresponding carrying value since our inception. Changes in future projections, market conditions, and other factors may cause a change in the excess of fair value of our reporting unit over its corresponding carrying value.</w:t>
      </w:r>
    </w:p>
    <w:p>
      <w:pPr>
        <w:spacing w:after="0" w:line="7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adoption of the new standard did not have a material impact on our consolidated financial statement amounts.</w:t>
      </w:r>
    </w:p>
    <w:p>
      <w:pPr>
        <w:spacing w:after="0" w:line="2056" w:lineRule="exact"/>
        <w:rPr>
          <w:sz w:val="20"/>
          <w:szCs w:val="20"/>
          <w:color w:val="auto"/>
        </w:rPr>
      </w:pPr>
    </w:p>
    <w:p>
      <w:pPr>
        <w:sectPr>
          <w:pgSz w:w="11900" w:h="16838" w:orient="portrait"/>
          <w:cols w:equalWidth="0" w:num="3">
            <w:col w:w="4120" w:space="220"/>
            <w:col w:w="3200" w:space="200"/>
            <w:col w:w="2880"/>
          </w:cols>
          <w:pgMar w:left="320" w:top="453" w:right="959" w:bottom="1440" w:gutter="0" w:footer="0" w:header="0"/>
          <w:type w:val="continuous"/>
        </w:sectPr>
      </w:pPr>
    </w:p>
    <w:p>
      <w:pPr>
        <w:ind w:left="5460"/>
        <w:spacing w:after="0"/>
        <w:rPr>
          <w:sz w:val="20"/>
          <w:szCs w:val="20"/>
          <w:color w:val="auto"/>
        </w:rPr>
      </w:pPr>
      <w:r>
        <w:rPr>
          <w:rFonts w:ascii="Times New Roman" w:cs="Times New Roman" w:eastAsia="Times New Roman" w:hAnsi="Times New Roman"/>
          <w:sz w:val="16"/>
          <w:szCs w:val="16"/>
          <w:color w:val="auto"/>
        </w:rPr>
        <w:t>F-22</w:t>
      </w:r>
    </w:p>
    <w:p>
      <w:pPr>
        <w:sectPr>
          <w:pgSz w:w="11900" w:h="16838" w:orient="portrait"/>
          <w:cols w:equalWidth="0" w:num="1">
            <w:col w:w="10620"/>
          </w:cols>
          <w:pgMar w:left="320" w:top="453" w:right="959" w:bottom="1440" w:gutter="0" w:footer="0" w:header="0"/>
          <w:type w:val="continuous"/>
        </w:sectPr>
      </w:pPr>
    </w:p>
    <w:bookmarkStart w:id="176" w:name="page177"/>
    <w:bookmarkEnd w:id="176"/>
    <w:p>
      <w:pPr>
        <w:spacing w:after="0"/>
        <w:rPr>
          <w:rFonts w:ascii="Times New Roman" w:cs="Times New Roman" w:eastAsia="Times New Roman" w:hAnsi="Times New Roman"/>
          <w:sz w:val="16"/>
          <w:szCs w:val="16"/>
          <w:b w:val="1"/>
          <w:bCs w:val="1"/>
          <w:u w:val="single" w:color="auto"/>
          <w:color w:val="0000EE"/>
        </w:rPr>
      </w:pP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Standard/Description</w:t>
      </w:r>
    </w:p>
    <w:p>
      <w:pPr>
        <w:spacing w:after="0" w:line="21" w:lineRule="exact"/>
        <w:rPr>
          <w:sz w:val="20"/>
          <w:szCs w:val="20"/>
          <w:color w:val="auto"/>
        </w:rPr>
      </w:pPr>
    </w:p>
    <w:p>
      <w:pPr>
        <w:ind w:left="620"/>
        <w:spacing w:after="0" w:line="268" w:lineRule="auto"/>
        <w:rPr>
          <w:sz w:val="20"/>
          <w:szCs w:val="20"/>
          <w:color w:val="auto"/>
        </w:rPr>
      </w:pPr>
      <w:r>
        <w:rPr>
          <w:rFonts w:ascii="Times New Roman" w:cs="Times New Roman" w:eastAsia="Times New Roman" w:hAnsi="Times New Roman"/>
          <w:sz w:val="16"/>
          <w:szCs w:val="16"/>
          <w:color w:val="auto"/>
        </w:rPr>
        <w:t>amortization expense and requires additional quantitative and qualitative disclosures.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Effective Date and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-586105</wp:posOffset>
            </wp:positionV>
            <wp:extent cx="7185660" cy="514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p>
    <w:p>
      <w:pPr>
        <w:jc w:val="both"/>
        <w:ind w:left="1180"/>
        <w:spacing w:after="0" w:line="188" w:lineRule="auto"/>
        <w:tabs>
          <w:tab w:leader="none" w:pos="3960" w:val="left"/>
        </w:tabs>
        <w:rPr>
          <w:sz w:val="20"/>
          <w:szCs w:val="20"/>
          <w:color w:val="auto"/>
        </w:rPr>
      </w:pPr>
      <w:r>
        <w:rPr>
          <w:rFonts w:ascii="Times New Roman" w:cs="Times New Roman" w:eastAsia="Times New Roman" w:hAnsi="Times New Roman"/>
          <w:sz w:val="19"/>
          <w:szCs w:val="19"/>
          <w:b w:val="1"/>
          <w:bCs w:val="1"/>
          <w:u w:val="single" w:color="auto"/>
          <w:color w:val="auto"/>
          <w:vertAlign w:val="superscript"/>
        </w:rPr>
        <w:t>Considerations</w:t>
      </w:r>
      <w:r>
        <w:rPr>
          <w:sz w:val="20"/>
          <w:szCs w:val="20"/>
          <w:color w:val="auto"/>
        </w:rPr>
        <w:tab/>
      </w:r>
      <w:r>
        <w:rPr>
          <w:rFonts w:ascii="Times New Roman" w:cs="Times New Roman" w:eastAsia="Times New Roman" w:hAnsi="Times New Roman"/>
          <w:sz w:val="11"/>
          <w:szCs w:val="11"/>
          <w:b w:val="1"/>
          <w:bCs w:val="1"/>
          <w:u w:val="single" w:color="auto"/>
          <w:color w:val="auto"/>
        </w:rPr>
        <w:t>Effect on Financial Statements</w:t>
      </w:r>
    </w:p>
    <w:p>
      <w:pPr>
        <w:spacing w:after="0" w:line="482" w:lineRule="exact"/>
        <w:rPr>
          <w:sz w:val="20"/>
          <w:szCs w:val="20"/>
          <w:color w:val="auto"/>
        </w:rPr>
      </w:pPr>
    </w:p>
    <w:p>
      <w:pPr>
        <w:sectPr>
          <w:pgSz w:w="11900" w:h="16838" w:orient="portrait"/>
          <w:cols w:equalWidth="0" w:num="2">
            <w:col w:w="4120" w:space="220"/>
            <w:col w:w="6280"/>
          </w:cols>
          <w:pgMar w:left="320" w:top="453" w:right="959" w:bottom="1440" w:gutter="0" w:footer="0" w:header="0"/>
        </w:sectPr>
      </w:pPr>
    </w:p>
    <w:p>
      <w:pPr>
        <w:jc w:val="both"/>
        <w:ind w:left="620"/>
        <w:spacing w:after="0" w:line="258" w:lineRule="auto"/>
        <w:rPr>
          <w:sz w:val="20"/>
          <w:szCs w:val="20"/>
          <w:color w:val="auto"/>
        </w:rPr>
      </w:pPr>
      <w:r>
        <w:rPr>
          <w:rFonts w:ascii="Times New Roman" w:cs="Times New Roman" w:eastAsia="Times New Roman" w:hAnsi="Times New Roman"/>
          <w:sz w:val="16"/>
          <w:szCs w:val="16"/>
          <w:color w:val="auto"/>
        </w:rPr>
        <w:t>ASU No. 2019-12, Simplifying the Accounting for Income Taxes, eliminates certain exceptions related to the approach for intra-period tax allocation, the methodology for calculating income taxes in an interim period and the recognition of deferred tax liabilities for outside basis differences. It clarifies that single-member limited liability companies, and other similar disregarded entities that are not subject to income tax, are not required to recognize an allocation of consolidated income tax expense in their separate financial statements. Further, it simplifies the accounting for franchise taxes, enacted changes in tax laws or rates and transactions that result in a step-up in the tax basis of goodwill.</w:t>
      </w:r>
    </w:p>
    <w:p>
      <w:pPr>
        <w:spacing w:after="0" w:line="75" w:lineRule="exact"/>
        <w:rPr>
          <w:sz w:val="20"/>
          <w:szCs w:val="20"/>
          <w:color w:val="auto"/>
        </w:rPr>
      </w:pPr>
    </w:p>
    <w:p>
      <w:pPr>
        <w:jc w:val="both"/>
        <w:ind w:left="620"/>
        <w:spacing w:after="0" w:line="267" w:lineRule="auto"/>
        <w:rPr>
          <w:sz w:val="20"/>
          <w:szCs w:val="20"/>
          <w:color w:val="auto"/>
        </w:rPr>
      </w:pPr>
      <w:r>
        <w:rPr>
          <w:rFonts w:ascii="Times New Roman" w:cs="Times New Roman" w:eastAsia="Times New Roman" w:hAnsi="Times New Roman"/>
          <w:sz w:val="16"/>
          <w:szCs w:val="16"/>
          <w:color w:val="auto"/>
        </w:rPr>
        <w:t>ASU 2020-06, Debt — Debt with Conversion and Other Options (Subtopic 470-20) and Derivatives and Hedging — Contracts in Entity’s Own Equity (Subtopic 815-40).</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Times New Roman" w:cs="Times New Roman" w:eastAsia="Times New Roman" w:hAnsi="Times New Roman"/>
          <w:sz w:val="16"/>
          <w:szCs w:val="16"/>
          <w:color w:val="auto"/>
        </w:rPr>
        <w:t>We adopted on January 1, 2020 on a prospective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early adopted on January 1, 2021.</w:t>
      </w:r>
    </w:p>
    <w:p>
      <w:pPr>
        <w:spacing w:after="0" w:line="20" w:lineRule="exact"/>
        <w:rPr>
          <w:sz w:val="20"/>
          <w:szCs w:val="20"/>
          <w:color w:val="auto"/>
        </w:rPr>
      </w:pPr>
      <w:r>
        <w:rPr>
          <w:sz w:val="20"/>
          <w:szCs w:val="20"/>
          <w:color w:val="auto"/>
        </w:rPr>
        <w:br w:type="column"/>
      </w:r>
    </w:p>
    <w:p>
      <w:pPr>
        <w:jc w:val="both"/>
        <w:spacing w:after="0" w:line="273" w:lineRule="auto"/>
        <w:rPr>
          <w:sz w:val="20"/>
          <w:szCs w:val="20"/>
          <w:color w:val="auto"/>
        </w:rPr>
      </w:pPr>
      <w:r>
        <w:rPr>
          <w:rFonts w:ascii="Times New Roman" w:cs="Times New Roman" w:eastAsia="Times New Roman" w:hAnsi="Times New Roman"/>
          <w:sz w:val="16"/>
          <w:szCs w:val="16"/>
          <w:color w:val="auto"/>
        </w:rPr>
        <w:t>The adoption of the new standard did not have a material impact on our consolidated financial statement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This standard is effective for annual periods beginning after December 15, 2023, including interim periods therein, with early adoption permitted. The adoption of the new standard did not have a material impact on our consolidated financial statement amounts.</w:t>
      </w:r>
    </w:p>
    <w:p>
      <w:pPr>
        <w:spacing w:after="0" w:line="70" w:lineRule="exact"/>
        <w:rPr>
          <w:sz w:val="20"/>
          <w:szCs w:val="20"/>
          <w:color w:val="auto"/>
        </w:rPr>
      </w:pPr>
    </w:p>
    <w:p>
      <w:pPr>
        <w:sectPr>
          <w:pgSz w:w="11900" w:h="16838" w:orient="portrait"/>
          <w:cols w:equalWidth="0" w:num="3">
            <w:col w:w="4120" w:space="220"/>
            <w:col w:w="3180" w:space="220"/>
            <w:col w:w="2880"/>
          </w:cols>
          <w:pgMar w:left="320" w:top="453" w:right="959" w:bottom="1440" w:gutter="0" w:footer="0" w:header="0"/>
          <w:type w:val="continuous"/>
        </w:sectPr>
      </w:pPr>
    </w:p>
    <w:p>
      <w:pPr>
        <w:jc w:val="both"/>
        <w:ind w:left="620"/>
        <w:spacing w:after="0" w:line="260" w:lineRule="auto"/>
        <w:rPr>
          <w:sz w:val="20"/>
          <w:szCs w:val="20"/>
          <w:color w:val="auto"/>
        </w:rPr>
      </w:pPr>
      <w:r>
        <w:rPr>
          <w:rFonts w:ascii="Times New Roman" w:cs="Times New Roman" w:eastAsia="Times New Roman" w:hAnsi="Times New Roman"/>
          <w:sz w:val="16"/>
          <w:szCs w:val="16"/>
          <w:color w:val="auto"/>
        </w:rPr>
        <w:t>ASU 2021-08, Business Combinations (Topic 805): Accounting for Contract Assets and Contract Liabilities from Contracts with Customers. This standard requires that an acquirer recognize, and measure contract assets and liabilities acquired in a business combination in accordance with ASU 2014-09, Revenue from Contracts with Customers (Topic 606), or ASU 2021-08.</w:t>
      </w:r>
    </w:p>
    <w:p>
      <w:pPr>
        <w:spacing w:after="0" w:line="20" w:lineRule="exact"/>
        <w:rPr>
          <w:sz w:val="20"/>
          <w:szCs w:val="20"/>
          <w:color w:val="auto"/>
        </w:rPr>
      </w:pPr>
      <w:r>
        <w:rPr>
          <w:sz w:val="20"/>
          <w:szCs w:val="20"/>
          <w:color w:val="auto"/>
        </w:rPr>
        <w:br w:type="column"/>
      </w:r>
    </w:p>
    <w:p>
      <w:pPr>
        <w:spacing w:after="0"/>
        <w:tabs>
          <w:tab w:leader="none" w:pos="3380" w:val="left"/>
        </w:tabs>
        <w:rPr>
          <w:sz w:val="20"/>
          <w:szCs w:val="20"/>
          <w:color w:val="auto"/>
        </w:rPr>
      </w:pPr>
      <w:r>
        <w:rPr>
          <w:rFonts w:ascii="Times New Roman" w:cs="Times New Roman" w:eastAsia="Times New Roman" w:hAnsi="Times New Roman"/>
          <w:sz w:val="16"/>
          <w:szCs w:val="16"/>
          <w:color w:val="auto"/>
        </w:rPr>
        <w:t>We early adopted on October 15, 2021 on a</w:t>
        <w:tab/>
        <w:t>This standard is effective for annual periods</w:t>
      </w:r>
    </w:p>
    <w:p>
      <w:pPr>
        <w:spacing w:after="0" w:line="28" w:lineRule="exact"/>
        <w:rPr>
          <w:sz w:val="20"/>
          <w:szCs w:val="20"/>
          <w:color w:val="auto"/>
        </w:rPr>
      </w:pPr>
    </w:p>
    <w:p>
      <w:pPr>
        <w:spacing w:after="0"/>
        <w:tabs>
          <w:tab w:leader="none" w:pos="3380" w:val="left"/>
          <w:tab w:leader="none" w:pos="4200" w:val="left"/>
          <w:tab w:leader="none" w:pos="4680" w:val="left"/>
          <w:tab w:leader="none" w:pos="5520" w:val="left"/>
          <w:tab w:leader="none" w:pos="5900" w:val="left"/>
        </w:tabs>
        <w:rPr>
          <w:sz w:val="20"/>
          <w:szCs w:val="20"/>
          <w:color w:val="auto"/>
        </w:rPr>
      </w:pPr>
      <w:r>
        <w:rPr>
          <w:rFonts w:ascii="Times New Roman" w:cs="Times New Roman" w:eastAsia="Times New Roman" w:hAnsi="Times New Roman"/>
          <w:sz w:val="16"/>
          <w:szCs w:val="16"/>
          <w:color w:val="auto"/>
        </w:rPr>
        <w:t>prospective basis.</w:t>
      </w:r>
      <w:r>
        <w:rPr>
          <w:sz w:val="20"/>
          <w:szCs w:val="20"/>
          <w:color w:val="auto"/>
        </w:rPr>
        <w:tab/>
      </w:r>
      <w:r>
        <w:rPr>
          <w:rFonts w:ascii="Times New Roman" w:cs="Times New Roman" w:eastAsia="Times New Roman" w:hAnsi="Times New Roman"/>
          <w:sz w:val="16"/>
          <w:szCs w:val="16"/>
          <w:color w:val="auto"/>
        </w:rPr>
        <w:t>beginning</w:t>
        <w:tab/>
        <w:t>after</w:t>
        <w:tab/>
        <w:t>December</w:t>
        <w:tab/>
        <w:t>15,</w:t>
        <w:tab/>
        <w:t>2022,</w:t>
      </w:r>
    </w:p>
    <w:p>
      <w:pPr>
        <w:spacing w:after="0" w:line="1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color w:val="auto"/>
        </w:rPr>
        <w:t>including interim periods therein, with early</w:t>
      </w:r>
    </w:p>
    <w:p>
      <w:pPr>
        <w:spacing w:after="0" w:line="12" w:lineRule="exact"/>
        <w:rPr>
          <w:sz w:val="20"/>
          <w:szCs w:val="20"/>
          <w:color w:val="auto"/>
        </w:rPr>
      </w:pPr>
    </w:p>
    <w:p>
      <w:pPr>
        <w:ind w:left="3400"/>
        <w:spacing w:after="0"/>
        <w:tabs>
          <w:tab w:leader="none" w:pos="4140" w:val="left"/>
          <w:tab w:leader="none" w:pos="4980" w:val="left"/>
          <w:tab w:leader="none" w:pos="5380" w:val="left"/>
          <w:tab w:leader="none" w:pos="6060" w:val="left"/>
        </w:tabs>
        <w:rPr>
          <w:sz w:val="20"/>
          <w:szCs w:val="20"/>
          <w:color w:val="auto"/>
        </w:rPr>
      </w:pPr>
      <w:r>
        <w:rPr>
          <w:rFonts w:ascii="Times New Roman" w:cs="Times New Roman" w:eastAsia="Times New Roman" w:hAnsi="Times New Roman"/>
          <w:sz w:val="16"/>
          <w:szCs w:val="16"/>
          <w:color w:val="auto"/>
        </w:rPr>
        <w:t>adoption</w:t>
        <w:tab/>
        <w:t>permitted.</w:t>
        <w:tab/>
        <w:t>We</w:t>
        <w:tab/>
        <w:t>applied</w:t>
        <w:tab/>
        <w:t>the</w:t>
      </w:r>
    </w:p>
    <w:p>
      <w:pPr>
        <w:spacing w:after="0" w:line="1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color w:val="auto"/>
        </w:rPr>
        <w:t>guidance to the Business Combination as it</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relates  to  the  measurement  of  deferred</w:t>
      </w:r>
    </w:p>
    <w:p>
      <w:pPr>
        <w:spacing w:after="0" w:line="1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6"/>
          <w:szCs w:val="16"/>
          <w:color w:val="auto"/>
        </w:rPr>
        <w:t>revenue at the acquisition date.</w:t>
      </w:r>
    </w:p>
    <w:p>
      <w:pPr>
        <w:spacing w:after="0" w:line="32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F-23</w:t>
      </w:r>
    </w:p>
    <w:p>
      <w:pPr>
        <w:sectPr>
          <w:pgSz w:w="11900" w:h="16838" w:orient="portrait"/>
          <w:cols w:equalWidth="0" w:num="2">
            <w:col w:w="4120" w:space="220"/>
            <w:col w:w="6280"/>
          </w:cols>
          <w:pgMar w:left="320" w:top="453" w:right="959" w:bottom="1440" w:gutter="0" w:footer="0" w:header="0"/>
          <w:type w:val="continuous"/>
        </w:sectPr>
      </w:pPr>
    </w:p>
    <w:bookmarkStart w:id="177" w:name="page178"/>
    <w:bookmarkEnd w:id="17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 Not Yet Adopted</w:t>
      </w:r>
    </w:p>
    <w:p>
      <w:pPr>
        <w:spacing w:after="0" w:line="114" w:lineRule="exact"/>
        <w:rPr>
          <w:sz w:val="20"/>
          <w:szCs w:val="20"/>
          <w:color w:val="auto"/>
        </w:rPr>
      </w:pPr>
    </w:p>
    <w:p>
      <w:pPr>
        <w:ind w:left="620" w:right="300" w:firstLine="400"/>
        <w:spacing w:after="0" w:line="291" w:lineRule="auto"/>
        <w:rPr>
          <w:sz w:val="20"/>
          <w:szCs w:val="20"/>
          <w:color w:val="auto"/>
        </w:rPr>
      </w:pPr>
      <w:r>
        <w:rPr>
          <w:rFonts w:ascii="Times New Roman" w:cs="Times New Roman" w:eastAsia="Times New Roman" w:hAnsi="Times New Roman"/>
          <w:sz w:val="16"/>
          <w:szCs w:val="16"/>
          <w:color w:val="auto"/>
        </w:rPr>
        <w:t>Management does not believe that any recently issued, but not yet effective, accounting standards, if currently adopted, would have a material effect on the Company’s financial statements.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3. Revenue from Contracts with Customers</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Disaggregation of Revenue</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disaggregate revenue by service type and by platform, respectively, as follows (in thousands):</w:t>
      </w:r>
    </w:p>
    <w:p>
      <w:pPr>
        <w:spacing w:after="0" w:line="227" w:lineRule="exact"/>
        <w:rPr>
          <w:sz w:val="20"/>
          <w:szCs w:val="20"/>
          <w:color w:val="auto"/>
        </w:rPr>
      </w:pPr>
    </w:p>
    <w:tbl>
      <w:tblPr>
        <w:tblLayout w:type="fixed"/>
        <w:tblInd w:w="142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vMerge w:val="restart"/>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3"/>
                <w:szCs w:val="13"/>
                <w:b w:val="1"/>
                <w:bCs w:val="1"/>
                <w:color w:val="auto"/>
                <w:w w:val="96"/>
              </w:rPr>
              <w:t>Predecessor</w:t>
            </w: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6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2021</w:t>
            </w:r>
          </w:p>
        </w:tc>
        <w:tc>
          <w:tcPr>
            <w:tcW w:w="580" w:type="dxa"/>
            <w:vAlign w:val="bottom"/>
          </w:tcPr>
          <w:p>
            <w:pPr>
              <w:spacing w:after="0"/>
              <w:rPr>
                <w:sz w:val="11"/>
                <w:szCs w:val="11"/>
                <w:color w:val="auto"/>
              </w:rPr>
            </w:pPr>
          </w:p>
        </w:tc>
        <w:tc>
          <w:tcPr>
            <w:tcW w:w="8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16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5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Service Type</w:t>
            </w:r>
          </w:p>
        </w:tc>
        <w:tc>
          <w:tcPr>
            <w:tcW w:w="2140" w:type="dxa"/>
            <w:vAlign w:val="bottom"/>
            <w:gridSpan w:val="3"/>
          </w:tcPr>
          <w:p>
            <w:pPr>
              <w:jc w:val="center"/>
              <w:ind w:left="1266"/>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Borders>
              <w:right w:val="single" w:sz="8" w:color="auto"/>
            </w:tcBorders>
          </w:tcPr>
          <w:p>
            <w:pPr>
              <w:spacing w:after="0"/>
              <w:rPr>
                <w:sz w:val="11"/>
                <w:szCs w:val="11"/>
                <w:color w:val="auto"/>
              </w:rPr>
            </w:pPr>
          </w:p>
        </w:tc>
        <w:tc>
          <w:tcPr>
            <w:tcW w:w="1200" w:type="dxa"/>
            <w:vAlign w:val="bottom"/>
            <w:gridSpan w:val="3"/>
          </w:tcPr>
          <w:p>
            <w:pPr>
              <w:ind w:left="520"/>
              <w:spacing w:after="0" w:line="135" w:lineRule="exact"/>
              <w:rPr>
                <w:sz w:val="20"/>
                <w:szCs w:val="20"/>
                <w:color w:val="auto"/>
              </w:rPr>
            </w:pPr>
            <w:r>
              <w:rPr>
                <w:rFonts w:ascii="Times New Roman" w:cs="Times New Roman" w:eastAsia="Times New Roman" w:hAnsi="Times New Roman"/>
                <w:sz w:val="13"/>
                <w:szCs w:val="13"/>
                <w:b w:val="1"/>
                <w:bCs w:val="1"/>
                <w:color w:val="auto"/>
              </w:rPr>
              <w:t>October 14,</w:t>
            </w:r>
          </w:p>
        </w:tc>
        <w:tc>
          <w:tcPr>
            <w:tcW w:w="1380" w:type="dxa"/>
            <w:vAlign w:val="bottom"/>
            <w:gridSpan w:val="4"/>
          </w:tcPr>
          <w:p>
            <w:pPr>
              <w:jc w:val="center"/>
              <w:ind w:left="469"/>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45"/>
        </w:trPr>
        <w:tc>
          <w:tcPr>
            <w:tcW w:w="352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28"/>
              <w:spacing w:after="0" w:line="14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100"/>
              <w:spacing w:after="0" w:line="145" w:lineRule="exact"/>
              <w:rPr>
                <w:sz w:val="20"/>
                <w:szCs w:val="20"/>
                <w:color w:val="auto"/>
              </w:rPr>
            </w:pPr>
            <w:r>
              <w:rPr>
                <w:rFonts w:ascii="Times New Roman" w:cs="Times New Roman" w:eastAsia="Times New Roman" w:hAnsi="Times New Roman"/>
                <w:sz w:val="13"/>
                <w:szCs w:val="13"/>
                <w:b w:val="1"/>
                <w:bCs w:val="1"/>
                <w:color w:val="auto"/>
              </w:rPr>
              <w:t>2021</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02"/>
              <w:spacing w:after="0" w:line="145"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5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Transaction revenue, net</w:t>
            </w:r>
            <w:r>
              <w:rPr>
                <w:rFonts w:ascii="Times New Roman" w:cs="Times New Roman" w:eastAsia="Times New Roman" w:hAnsi="Times New Roman"/>
                <w:sz w:val="20"/>
                <w:szCs w:val="20"/>
                <w:color w:val="auto"/>
                <w:vertAlign w:val="superscript"/>
              </w:rPr>
              <w:t>(a)</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5,724</w:t>
            </w:r>
          </w:p>
        </w:tc>
        <w:tc>
          <w:tcPr>
            <w:tcW w:w="160" w:type="dxa"/>
            <w:vAlign w:val="bottom"/>
            <w:tcBorders>
              <w:right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6"/>
                <w:szCs w:val="16"/>
                <w:color w:val="auto"/>
                <w:w w:val="99"/>
              </w:rPr>
              <w:t>10,637</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7,386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Subscription and service revenue</w:t>
            </w:r>
          </w:p>
        </w:tc>
        <w:tc>
          <w:tcPr>
            <w:tcW w:w="13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16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9"/>
              </w:rPr>
              <w:t>17,319</w:t>
            </w:r>
          </w:p>
        </w:tc>
        <w:tc>
          <w:tcPr>
            <w:tcW w:w="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11,481</w:t>
            </w:r>
          </w:p>
        </w:tc>
        <w:tc>
          <w:tcPr>
            <w:tcW w:w="160" w:type="dxa"/>
            <w:vAlign w:val="bottom"/>
            <w:tcBorders>
              <w:right w:val="single" w:sz="8" w:color="auto"/>
            </w:tcBorders>
            <w:shd w:val="clear" w:color="auto" w:fill="CCEEFF"/>
          </w:tcPr>
          <w:p>
            <w:pPr>
              <w:spacing w:after="0"/>
              <w:rPr>
                <w:sz w:val="17"/>
                <w:szCs w:val="17"/>
                <w:color w:val="auto"/>
              </w:rPr>
            </w:pP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27,956</w:t>
            </w:r>
          </w:p>
        </w:tc>
        <w:tc>
          <w:tcPr>
            <w:tcW w:w="7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1020" w:right="80" w:hanging="397"/>
        <w:spacing w:after="0" w:line="263" w:lineRule="auto"/>
        <w:tabs>
          <w:tab w:leader="none" w:pos="10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net of rebates and liquidity payments, reductions related to the Contribution Agreement and consideration payable pursuant to the Strategic Alliance Agreement of less than $0.1 million for the period from October 15, 2021 through December 31, 2021 and approximately $2.1 million and $4.5 million for the period from January 1, 2021 through October 14, 2021 and the year ended December 31, 2020, respectively. Included in these amounts are amounts earned from related parties of less than $0.1 million for the period from October 15, 2021 through December 31, 2021 and approximately $0.3 million and $4.1 million for the period from January 1, 2021 through October 14, 2021 and the year ended December 31, 2020, respectively (Note 8).</w:t>
      </w:r>
    </w:p>
    <w:p>
      <w:pPr>
        <w:spacing w:after="0" w:line="182" w:lineRule="exact"/>
        <w:rPr>
          <w:sz w:val="20"/>
          <w:szCs w:val="20"/>
          <w:color w:val="auto"/>
        </w:rPr>
      </w:pPr>
    </w:p>
    <w:tbl>
      <w:tblPr>
        <w:tblLayout w:type="fixed"/>
        <w:tblInd w:w="142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restart"/>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6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gridSpan w:val="3"/>
          </w:tcPr>
          <w:p>
            <w:pPr>
              <w:jc w:val="center"/>
              <w:ind w:right="275"/>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46"/>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25"/>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26"/>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16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75"/>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3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Platform</w:t>
            </w:r>
          </w:p>
        </w:tc>
        <w:tc>
          <w:tcPr>
            <w:tcW w:w="7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Borders>
              <w:right w:val="single" w:sz="8" w:color="auto"/>
            </w:tcBorders>
          </w:tcPr>
          <w:p>
            <w:pPr>
              <w:spacing w:after="0"/>
              <w:rPr>
                <w:sz w:val="11"/>
                <w:szCs w:val="11"/>
                <w:color w:val="auto"/>
              </w:rPr>
            </w:pPr>
          </w:p>
        </w:tc>
        <w:tc>
          <w:tcPr>
            <w:tcW w:w="1440" w:type="dxa"/>
            <w:vAlign w:val="bottom"/>
            <w:gridSpan w:val="4"/>
          </w:tcPr>
          <w:p>
            <w:pPr>
              <w:jc w:val="center"/>
              <w:ind w:left="35"/>
              <w:spacing w:after="0" w:line="135" w:lineRule="exact"/>
              <w:rPr>
                <w:sz w:val="20"/>
                <w:szCs w:val="20"/>
                <w:color w:val="auto"/>
              </w:rPr>
            </w:pPr>
            <w:r>
              <w:rPr>
                <w:rFonts w:ascii="Times New Roman" w:cs="Times New Roman" w:eastAsia="Times New Roman" w:hAnsi="Times New Roman"/>
                <w:sz w:val="13"/>
                <w:szCs w:val="13"/>
                <w:b w:val="1"/>
                <w:bCs w:val="1"/>
                <w:color w:val="auto"/>
              </w:rPr>
              <w:t>October 14,</w:t>
            </w:r>
          </w:p>
        </w:tc>
        <w:tc>
          <w:tcPr>
            <w:tcW w:w="1140" w:type="dxa"/>
            <w:vAlign w:val="bottom"/>
            <w:gridSpan w:val="4"/>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45"/>
        </w:trPr>
        <w:tc>
          <w:tcPr>
            <w:tcW w:w="4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46"/>
              <w:spacing w:after="0" w:line="14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5"/>
              <w:spacing w:after="0" w:line="14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82"/>
              <w:spacing w:after="0" w:line="145" w:lineRule="exact"/>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8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Digital asset marketplace</w:t>
            </w:r>
            <w:r>
              <w:rPr>
                <w:rFonts w:ascii="Times New Roman" w:cs="Times New Roman" w:eastAsia="Times New Roman" w:hAnsi="Times New Roman"/>
                <w:sz w:val="20"/>
                <w:szCs w:val="20"/>
                <w:color w:val="auto"/>
                <w:vertAlign w:val="superscript"/>
              </w:rPr>
              <w:t>(b)</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165</w:t>
            </w:r>
          </w:p>
        </w:tc>
        <w:tc>
          <w:tcPr>
            <w:tcW w:w="160" w:type="dxa"/>
            <w:vAlign w:val="bottom"/>
            <w:tcBorders>
              <w:right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518</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(1,073)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Loyalty redemption platform</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11,315</w:t>
            </w:r>
          </w:p>
        </w:tc>
        <w:tc>
          <w:tcPr>
            <w:tcW w:w="1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Alternative payment platform</w:t>
            </w:r>
            <w:r>
              <w:rPr>
                <w:rFonts w:ascii="Times New Roman" w:cs="Times New Roman" w:eastAsia="Times New Roman" w:hAnsi="Times New Roman"/>
                <w:sz w:val="22"/>
                <w:szCs w:val="22"/>
                <w:color w:val="auto"/>
                <w:vertAlign w:val="superscript"/>
              </w:rPr>
              <w:t>(c)</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6"/>
                <w:szCs w:val="16"/>
                <w:color w:val="auto"/>
              </w:rPr>
              <w:t>(1,741)</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11,481</w:t>
            </w:r>
          </w:p>
        </w:tc>
        <w:tc>
          <w:tcPr>
            <w:tcW w:w="1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27,956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1020" w:right="80" w:hanging="397"/>
        <w:spacing w:after="0" w:line="262" w:lineRule="auto"/>
        <w:tabs>
          <w:tab w:leader="none" w:pos="10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net of rebates and liquidity payments and reductions related to the Contribution Agreement of less than $0.1 million for the period from October 15, 2021 through December 31, 2021 and approximately $0.3 million and $4.1 million for the period from January 1, 2021 through October 14, 2021 and the year ended December 31, 2020, respectively.</w:t>
      </w:r>
    </w:p>
    <w:p>
      <w:pPr>
        <w:spacing w:after="0" w:line="1" w:lineRule="exact"/>
        <w:rPr>
          <w:rFonts w:ascii="Times New Roman" w:cs="Times New Roman" w:eastAsia="Times New Roman" w:hAnsi="Times New Roman"/>
          <w:sz w:val="16"/>
          <w:szCs w:val="16"/>
          <w:color w:val="auto"/>
        </w:rPr>
      </w:pPr>
    </w:p>
    <w:p>
      <w:pPr>
        <w:ind w:left="1020" w:hanging="397"/>
        <w:spacing w:after="0" w:line="271" w:lineRule="auto"/>
        <w:tabs>
          <w:tab w:leader="none" w:pos="10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net of consideration payable pursuant to the Strategic Alliance Agreement of $0, $1.7 million and $0.4 million for the periods from October 15, 2021 through December 31, 2021 and January 1, 2021 through October 14, 2021 and the year ended December 31, 2020, respectively.</w:t>
      </w:r>
    </w:p>
    <w:p>
      <w:pPr>
        <w:spacing w:after="0" w:line="157"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one reportable segment to which our revenues relate (Note 2).</w:t>
      </w:r>
    </w:p>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Deferred Revenue</w:t>
      </w:r>
    </w:p>
    <w:p>
      <w:pPr>
        <w:spacing w:after="0" w:line="114" w:lineRule="exact"/>
        <w:rPr>
          <w:sz w:val="20"/>
          <w:szCs w:val="20"/>
          <w:color w:val="auto"/>
        </w:rPr>
      </w:pPr>
    </w:p>
    <w:p>
      <w:pPr>
        <w:jc w:val="both"/>
        <w:ind w:left="620" w:right="640" w:firstLine="400"/>
        <w:spacing w:after="0" w:line="273" w:lineRule="auto"/>
        <w:rPr>
          <w:sz w:val="20"/>
          <w:szCs w:val="20"/>
          <w:color w:val="auto"/>
        </w:rPr>
      </w:pPr>
      <w:r>
        <w:rPr>
          <w:rFonts w:ascii="Times New Roman" w:cs="Times New Roman" w:eastAsia="Times New Roman" w:hAnsi="Times New Roman"/>
          <w:sz w:val="16"/>
          <w:szCs w:val="16"/>
          <w:color w:val="auto"/>
        </w:rPr>
        <w:t>Contract liabilities consist of deferred revenues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F-24</w:t>
      </w:r>
    </w:p>
    <w:p>
      <w:pPr>
        <w:sectPr>
          <w:pgSz w:w="11900" w:h="16838" w:orient="portrait"/>
          <w:cols w:equalWidth="0" w:num="1">
            <w:col w:w="10600"/>
          </w:cols>
          <w:pgMar w:left="320" w:top="453" w:right="979" w:bottom="1440" w:gutter="0" w:footer="0" w:header="0"/>
        </w:sectPr>
      </w:pPr>
    </w:p>
    <w:bookmarkStart w:id="178" w:name="page179"/>
    <w:bookmarkEnd w:id="17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320"/>
        <w:spacing w:after="0" w:line="273" w:lineRule="auto"/>
        <w:rPr>
          <w:sz w:val="20"/>
          <w:szCs w:val="20"/>
          <w:color w:val="auto"/>
        </w:rPr>
      </w:pPr>
      <w:r>
        <w:rPr>
          <w:rFonts w:ascii="Times New Roman" w:cs="Times New Roman" w:eastAsia="Times New Roman" w:hAnsi="Times New Roman"/>
          <w:sz w:val="16"/>
          <w:szCs w:val="16"/>
          <w:color w:val="auto"/>
        </w:rPr>
        <w:t>“Deferred revenue, current” and “Deferred revenue, noncurrent” in our consolidated balance sheets. The activity in deferred revenue for the periods from October 15, 2021 through December 31, 2021 and January 1, 2021 through October 14, 2021, and the year ended December 31, 2020 was as follows (in thousands):</w:t>
      </w:r>
    </w:p>
    <w:p>
      <w:pPr>
        <w:spacing w:after="0" w:line="175" w:lineRule="exact"/>
        <w:rPr>
          <w:sz w:val="20"/>
          <w:szCs w:val="20"/>
          <w:color w:val="auto"/>
        </w:rPr>
      </w:pPr>
    </w:p>
    <w:tbl>
      <w:tblPr>
        <w:tblLayout w:type="fixed"/>
        <w:tblInd w:w="1820" w:type="dxa"/>
        <w:tblCellMar>
          <w:top w:w="0" w:type="dxa"/>
          <w:left w:w="0" w:type="dxa"/>
          <w:bottom w:w="0" w:type="dxa"/>
          <w:right w:w="0" w:type="dxa"/>
        </w:tblCellMar>
      </w:tblPr>
      <w:tr>
        <w:trPr>
          <w:trHeight w:val="22"/>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2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2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20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Borders>
              <w:top w:val="single" w:sz="8" w:color="auto"/>
            </w:tcBorders>
            <w:gridSpan w:val="3"/>
          </w:tcPr>
          <w:p>
            <w:pPr>
              <w:jc w:val="center"/>
              <w:ind w:right="6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6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24"/>
              <w:spacing w:after="0" w:line="135" w:lineRule="exact"/>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66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96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66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38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of the period contract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9,423</w:t>
            </w:r>
          </w:p>
        </w:tc>
        <w:tc>
          <w:tcPr>
            <w:tcW w:w="20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8,385</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contract liability acquired (Note 4)</w:t>
            </w:r>
          </w:p>
        </w:tc>
        <w:tc>
          <w:tcPr>
            <w:tcW w:w="1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12,703</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Revenue recognized from contract liabilities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included in the beginning balance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(1,350)</w:t>
            </w:r>
          </w:p>
        </w:tc>
        <w:tc>
          <w:tcPr>
            <w:tcW w:w="20" w:type="dxa"/>
            <w:vAlign w:val="bottom"/>
            <w:shd w:val="clear" w:color="auto" w:fill="000000"/>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(3,524)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(11,005)</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Increases due to cash received, net of amounts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recognized in revenue during the period</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1,375</w:t>
            </w:r>
          </w:p>
        </w:tc>
        <w:tc>
          <w:tcPr>
            <w:tcW w:w="20" w:type="dxa"/>
            <w:vAlign w:val="bottom"/>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4,562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the period contract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9,448</w:t>
            </w:r>
          </w:p>
        </w:tc>
        <w:tc>
          <w:tcPr>
            <w:tcW w:w="20" w:type="dxa"/>
            <w:vAlign w:val="bottom"/>
            <w:shd w:val="clear" w:color="auto" w:fill="000000"/>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9,423</w:t>
            </w: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Remaining Performance Obligations</w:t>
      </w:r>
    </w:p>
    <w:p>
      <w:pPr>
        <w:spacing w:after="0" w:line="114" w:lineRule="exact"/>
        <w:rPr>
          <w:sz w:val="20"/>
          <w:szCs w:val="20"/>
          <w:color w:val="auto"/>
        </w:rPr>
      </w:pPr>
    </w:p>
    <w:p>
      <w:pPr>
        <w:ind w:left="620" w:right="160" w:firstLine="400"/>
        <w:spacing w:after="0" w:line="267" w:lineRule="auto"/>
        <w:rPr>
          <w:sz w:val="20"/>
          <w:szCs w:val="20"/>
          <w:color w:val="auto"/>
        </w:rPr>
      </w:pPr>
      <w:r>
        <w:rPr>
          <w:rFonts w:ascii="Times New Roman" w:cs="Times New Roman" w:eastAsia="Times New Roman" w:hAnsi="Times New Roman"/>
          <w:sz w:val="16"/>
          <w:szCs w:val="16"/>
          <w:color w:val="auto"/>
        </w:rPr>
        <w:t>As of December 31, 2021, the aggregate amount of the transaction price allocated to the remaining performance obligations related to partially completed contracts is $26.0 million, comprised of $16.6 million of subscription fees and $9.4 million of service fees that are deferred. We will recognize our subscription fees as revenue over a weighted-average period of 50 months (ranges from 10 months – 57 months) and our service fees as revenue over approximately 3 years.</w:t>
      </w:r>
    </w:p>
    <w:p>
      <w:pPr>
        <w:spacing w:after="0" w:line="162" w:lineRule="exact"/>
        <w:rPr>
          <w:sz w:val="20"/>
          <w:szCs w:val="20"/>
          <w:color w:val="auto"/>
        </w:rPr>
      </w:pPr>
    </w:p>
    <w:p>
      <w:pPr>
        <w:ind w:left="620" w:right="20" w:firstLine="400"/>
        <w:spacing w:after="0" w:line="267" w:lineRule="auto"/>
        <w:rPr>
          <w:sz w:val="20"/>
          <w:szCs w:val="20"/>
          <w:color w:val="auto"/>
        </w:rPr>
      </w:pPr>
      <w:r>
        <w:rPr>
          <w:rFonts w:ascii="Times New Roman" w:cs="Times New Roman" w:eastAsia="Times New Roman" w:hAnsi="Times New Roman"/>
          <w:sz w:val="16"/>
          <w:szCs w:val="16"/>
          <w:color w:val="auto"/>
        </w:rPr>
        <w:t>As of December 31, 2020, the aggregate amount of the transaction price allocated to the remaining performance obligations related to partially completed contracts is $15.5 million, comprised of $7.1 million of subscription fees and $8.4 million of service fees that are deferred. We will recognize our subscription fees as revenue over a weighted-average period of 18.5 months (ranges from 4 months – 42 months) and our service fees as revenue over approximately 3 years.</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Contract Costs</w:t>
      </w:r>
    </w:p>
    <w:p>
      <w:pPr>
        <w:spacing w:after="0" w:line="114" w:lineRule="exact"/>
        <w:rPr>
          <w:sz w:val="20"/>
          <w:szCs w:val="20"/>
          <w:color w:val="auto"/>
        </w:rPr>
      </w:pPr>
    </w:p>
    <w:p>
      <w:pPr>
        <w:jc w:val="both"/>
        <w:ind w:left="620" w:right="180" w:firstLine="400"/>
        <w:spacing w:after="0" w:line="273" w:lineRule="auto"/>
        <w:rPr>
          <w:sz w:val="20"/>
          <w:szCs w:val="20"/>
          <w:color w:val="auto"/>
        </w:rPr>
      </w:pPr>
      <w:r>
        <w:rPr>
          <w:rFonts w:ascii="Times New Roman" w:cs="Times New Roman" w:eastAsia="Times New Roman" w:hAnsi="Times New Roman"/>
          <w:sz w:val="16"/>
          <w:szCs w:val="16"/>
          <w:color w:val="auto"/>
        </w:rPr>
        <w:t>For the periods from October 15, 2021 through December 31, 2021 and January 1, 2021 through October 14, 2021, we incurred approximately $0.1 million and $0.7 million in incremental costs to obtain and/or costs to fulfill contracts with customers, respectively. We did not incur any costs to obtain or costs to fulfill contracts with customers during the year ended December 31, 2020.</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4. Business Combination and Acquisition</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w:t>
      </w:r>
    </w:p>
    <w:p>
      <w:pPr>
        <w:spacing w:after="0" w:line="114" w:lineRule="exact"/>
        <w:rPr>
          <w:sz w:val="20"/>
          <w:szCs w:val="20"/>
          <w:color w:val="auto"/>
        </w:rPr>
      </w:pPr>
    </w:p>
    <w:p>
      <w:pPr>
        <w:ind w:left="620" w:firstLine="400"/>
        <w:spacing w:after="0" w:line="273" w:lineRule="auto"/>
        <w:rPr>
          <w:sz w:val="20"/>
          <w:szCs w:val="20"/>
          <w:color w:val="auto"/>
        </w:rPr>
      </w:pPr>
      <w:r>
        <w:rPr>
          <w:rFonts w:ascii="Times New Roman" w:cs="Times New Roman" w:eastAsia="Times New Roman" w:hAnsi="Times New Roman"/>
          <w:sz w:val="16"/>
          <w:szCs w:val="16"/>
          <w:color w:val="auto"/>
        </w:rPr>
        <w:t>The Business Combination was completed on October 15, 2021. The Business Combination was accounted for as a business combination under ASC 805. Opco constitutes a business, with inputs, processes, and outputs. Accordingly, the acquisition of Opco constitutes the acquisition of a business for purposes of ASC 805, and due to the change in control, has been accounted for using the acquisition method with the Company as the</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F-25</w:t>
      </w:r>
    </w:p>
    <w:p>
      <w:pPr>
        <w:sectPr>
          <w:pgSz w:w="11900" w:h="16838" w:orient="portrait"/>
          <w:cols w:equalWidth="0" w:num="1">
            <w:col w:w="10600"/>
          </w:cols>
          <w:pgMar w:left="320" w:top="453" w:right="979" w:bottom="1440" w:gutter="0" w:footer="0" w:header="0"/>
        </w:sectPr>
      </w:pPr>
    </w:p>
    <w:bookmarkStart w:id="179" w:name="page180"/>
    <w:bookmarkEnd w:id="17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580"/>
        <w:spacing w:after="0" w:line="291" w:lineRule="auto"/>
        <w:rPr>
          <w:sz w:val="20"/>
          <w:szCs w:val="20"/>
          <w:color w:val="auto"/>
        </w:rPr>
      </w:pPr>
      <w:r>
        <w:rPr>
          <w:rFonts w:ascii="Times New Roman" w:cs="Times New Roman" w:eastAsia="Times New Roman" w:hAnsi="Times New Roman"/>
          <w:sz w:val="16"/>
          <w:szCs w:val="16"/>
          <w:color w:val="auto"/>
        </w:rPr>
        <w:t>accounting acquirer and Opco as the accounting acquiree. We have been determined to be the accounting acquirer based on an evaluation of the following factors:</w:t>
      </w:r>
    </w:p>
    <w:p>
      <w:pPr>
        <w:spacing w:after="0" w:line="56" w:lineRule="exact"/>
        <w:rPr>
          <w:sz w:val="20"/>
          <w:szCs w:val="20"/>
          <w:color w:val="auto"/>
        </w:rPr>
      </w:pPr>
    </w:p>
    <w:p>
      <w:pPr>
        <w:ind w:left="1020" w:right="820" w:hanging="299"/>
        <w:spacing w:after="0" w:line="291" w:lineRule="auto"/>
        <w:tabs>
          <w:tab w:leader="none" w:pos="10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the sole managing member of Opco, the managing member has full and complete charge of all affairs of Opco and the existing non-managing member equity holders of Opco do not have substantive participating or kick out rights;</w:t>
      </w:r>
    </w:p>
    <w:p>
      <w:pPr>
        <w:spacing w:after="0" w:line="56" w:lineRule="exact"/>
        <w:rPr>
          <w:rFonts w:ascii="Times New Roman" w:cs="Times New Roman" w:eastAsia="Times New Roman" w:hAnsi="Times New Roman"/>
          <w:sz w:val="16"/>
          <w:szCs w:val="16"/>
          <w:color w:val="auto"/>
        </w:rPr>
      </w:pPr>
    </w:p>
    <w:p>
      <w:pPr>
        <w:ind w:left="1020" w:hanging="299"/>
        <w:spacing w:after="0"/>
        <w:tabs>
          <w:tab w:leader="none" w:pos="10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 and Opco jointly designated six of the initial eight members of the Board; and</w:t>
      </w:r>
    </w:p>
    <w:p>
      <w:pPr>
        <w:spacing w:after="0" w:line="122" w:lineRule="exact"/>
        <w:rPr>
          <w:rFonts w:ascii="Times New Roman" w:cs="Times New Roman" w:eastAsia="Times New Roman" w:hAnsi="Times New Roman"/>
          <w:sz w:val="16"/>
          <w:szCs w:val="16"/>
          <w:color w:val="auto"/>
        </w:rPr>
      </w:pPr>
    </w:p>
    <w:p>
      <w:pPr>
        <w:ind w:left="1020" w:right="60" w:hanging="299"/>
        <w:spacing w:after="0" w:line="259" w:lineRule="auto"/>
        <w:tabs>
          <w:tab w:leader="none" w:pos="10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Holders do not hold a controlling interest in the Company or Opco due to (1) the limitation imposed by the Voting Agreement entered into between the Company and ICE at Closing on ICE and its affiliates’ voting power to 30% of the total voting power of all shares of our Class A common stock, par value $0.0001 per share (“Class A common stock”), and our Class V common stock, par value $0.0001 per share (“Class V common stock,” together with the Class A common stock, the “Common Stock”) that are issued and outstanding and entitled to vote as of the relevant record date so long as it owns shares of Common Stock representing more than 50% of the total voting power of the Company, and</w:t>
      </w:r>
    </w:p>
    <w:p>
      <w:pPr>
        <w:spacing w:after="0" w:line="3" w:lineRule="exact"/>
        <w:rPr>
          <w:rFonts w:ascii="Times New Roman" w:cs="Times New Roman" w:eastAsia="Times New Roman" w:hAnsi="Times New Roman"/>
          <w:sz w:val="16"/>
          <w:szCs w:val="16"/>
          <w:color w:val="auto"/>
        </w:rPr>
      </w:pPr>
    </w:p>
    <w:p>
      <w:pPr>
        <w:ind w:left="1020" w:right="26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ICE and its affiliates do not unilaterally control the Board, as only one out of the eight members of the Board is affiliated with ICE, and the majority of the Board are independent directors not affiliated with ICE.</w:t>
      </w:r>
    </w:p>
    <w:p>
      <w:pPr>
        <w:spacing w:after="0" w:line="157"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These factors support the conclusion that the Company acquired a controlling interest in Opco and is the accounting acquirer. We are the primary beneficiary of Opco, which is a variable interest entity, since we have the power to direct the activities of Opco that most significantly impact Opco’s economic performance through our role as the managing member, and our ownership of Opco, which results in the right (and obligation) to receive benefits (and absorb losses) of Opco that could potentially be significant to us. Therefore, the Business Combination constituted a change in control and was accounted for using the acquisition method. Under the acquisition method, as the accounting acquirer, VIH’s net assets and stockholders equity retain their carrying values. The estimated fair value of the purchase price is allocated to the assets acquired and the liabilities assumed from Opco based on their estimated acquisition-date fair values. Opening successor cash and equity represent the carrying value of the accounting acquirer’s cash and equity and are not comparable to the predecessor cash and equity of Opco.</w:t>
      </w:r>
    </w:p>
    <w:p>
      <w:pPr>
        <w:spacing w:after="0" w:line="170" w:lineRule="exact"/>
        <w:rPr>
          <w:sz w:val="20"/>
          <w:szCs w:val="20"/>
          <w:color w:val="auto"/>
        </w:rPr>
      </w:pPr>
    </w:p>
    <w:p>
      <w:pPr>
        <w:ind w:left="620" w:right="100" w:firstLine="400"/>
        <w:spacing w:after="0" w:line="267" w:lineRule="auto"/>
        <w:rPr>
          <w:sz w:val="20"/>
          <w:szCs w:val="20"/>
          <w:color w:val="auto"/>
        </w:rPr>
      </w:pPr>
      <w:r>
        <w:rPr>
          <w:rFonts w:ascii="Times New Roman" w:cs="Times New Roman" w:eastAsia="Times New Roman" w:hAnsi="Times New Roman"/>
          <w:sz w:val="16"/>
          <w:szCs w:val="16"/>
          <w:color w:val="auto"/>
        </w:rPr>
        <w:t>Included in the opening cash balance as of October 15, 2021 was $207.4 million from the proceeds of the sale of the units in VIH’s Initial Public Offering and the sale of the private placement warrants, net of transaction costs, that was previously held in the Trust Account. The cash proceeds from the Trust Account were used for transaction expenses, deferred underwriting commission, redemption of Public Shares, and the operating activities of the Company following the Business Combination.</w:t>
      </w:r>
    </w:p>
    <w:p>
      <w:pPr>
        <w:spacing w:after="0" w:line="162" w:lineRule="exact"/>
        <w:rPr>
          <w:sz w:val="20"/>
          <w:szCs w:val="20"/>
          <w:color w:val="auto"/>
        </w:rPr>
      </w:pPr>
    </w:p>
    <w:p>
      <w:pPr>
        <w:ind w:left="620" w:right="80" w:firstLine="400"/>
        <w:spacing w:after="0" w:line="267" w:lineRule="auto"/>
        <w:rPr>
          <w:sz w:val="20"/>
          <w:szCs w:val="20"/>
          <w:color w:val="auto"/>
        </w:rPr>
      </w:pPr>
      <w:r>
        <w:rPr>
          <w:rFonts w:ascii="Times New Roman" w:cs="Times New Roman" w:eastAsia="Times New Roman" w:hAnsi="Times New Roman"/>
          <w:sz w:val="16"/>
          <w:szCs w:val="16"/>
          <w:color w:val="auto"/>
        </w:rPr>
        <w:t>We paid $84.5 million of cash for the repurchase of 8,452,042 shares Class A ordinary shares, for shareholders who elected to execute their redemption right, as presented within the financing activities of our statement of cash flows. The remaining 12,285,160 outstanding Class A ordinary shares of the Company, par value $0.0001 per share (the “Class A Ordinary Shares”), and 5,184,300 Class B ordinary shares of the Company, par value $0.0001 per share (the “Class B Ordinary Shares”), were exchanged for an equivalent number of shares of Class A common stock.</w:t>
      </w:r>
    </w:p>
    <w:p>
      <w:pPr>
        <w:spacing w:after="0" w:line="162" w:lineRule="exact"/>
        <w:rPr>
          <w:sz w:val="20"/>
          <w:szCs w:val="20"/>
          <w:color w:val="auto"/>
        </w:rPr>
      </w:pPr>
    </w:p>
    <w:p>
      <w:pPr>
        <w:ind w:left="620" w:right="40" w:firstLine="400"/>
        <w:spacing w:after="0" w:line="261" w:lineRule="auto"/>
        <w:rPr>
          <w:sz w:val="20"/>
          <w:szCs w:val="20"/>
          <w:color w:val="auto"/>
        </w:rPr>
      </w:pPr>
      <w:r>
        <w:rPr>
          <w:rFonts w:ascii="Times New Roman" w:cs="Times New Roman" w:eastAsia="Times New Roman" w:hAnsi="Times New Roman"/>
          <w:sz w:val="16"/>
          <w:szCs w:val="16"/>
          <w:color w:val="auto"/>
        </w:rPr>
        <w:t>We incurred $1.6 million of expenses directly related to the Business Combination from October 15, 2021 through December 31, 2021, which are reflected as “Acquisition-related expenses” in the statements of operations. Opco incurred approximately $24.8 million of expenses directly related to the Business Combination from January 1, 2021 through October 14, 2021, which are reflected as “Acquisition-related expenses” in the statements of operations, including a $12.1 million success fee for an investment bank advising Opco. At Closing, we paid approximately $7.3 million of deferred underwriting costs related to VIH’s initial public offering and $13.0 million of fees related to the $325.0 million in proceeds from the investors purchasing an aggregate of 32,500,000 shares of Class A common stock in connection with the Business Combination (the “PIPE Investment”). The cash inflow from the PIPE Investment is presented net of issuance costs within the</w:t>
      </w:r>
    </w:p>
    <w:p>
      <w:pPr>
        <w:spacing w:after="0" w:line="1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F-26</w:t>
      </w:r>
    </w:p>
    <w:p>
      <w:pPr>
        <w:sectPr>
          <w:pgSz w:w="11900" w:h="16838" w:orient="portrait"/>
          <w:cols w:equalWidth="0" w:num="1">
            <w:col w:w="10600"/>
          </w:cols>
          <w:pgMar w:left="320" w:top="453" w:right="979" w:bottom="1440" w:gutter="0" w:footer="0" w:header="0"/>
        </w:sectPr>
      </w:pPr>
    </w:p>
    <w:bookmarkStart w:id="180" w:name="page181"/>
    <w:bookmarkEnd w:id="18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60"/>
        <w:spacing w:after="0" w:line="273" w:lineRule="auto"/>
        <w:rPr>
          <w:sz w:val="20"/>
          <w:szCs w:val="20"/>
          <w:color w:val="auto"/>
        </w:rPr>
      </w:pPr>
      <w:r>
        <w:rPr>
          <w:rFonts w:ascii="Times New Roman" w:cs="Times New Roman" w:eastAsia="Times New Roman" w:hAnsi="Times New Roman"/>
          <w:sz w:val="16"/>
          <w:szCs w:val="16"/>
          <w:color w:val="auto"/>
        </w:rPr>
        <w:t>financing section of the statement of cash flows. The fees associated with the PIPE were treated as a reduction of equity. Additionally, at Closing we paid approximately $0.9 million as a prepayment on Directors and Officers (“D&amp;O”) insurance which is included in “Other current assets” in the balance sheets.</w:t>
      </w:r>
    </w:p>
    <w:p>
      <w:pPr>
        <w:spacing w:after="0" w:line="157" w:lineRule="exact"/>
        <w:rPr>
          <w:sz w:val="20"/>
          <w:szCs w:val="20"/>
          <w:color w:val="auto"/>
        </w:rPr>
      </w:pPr>
    </w:p>
    <w:p>
      <w:pPr>
        <w:ind w:left="620" w:right="160" w:firstLine="400"/>
        <w:spacing w:after="0" w:line="261" w:lineRule="auto"/>
        <w:rPr>
          <w:sz w:val="20"/>
          <w:szCs w:val="20"/>
          <w:color w:val="auto"/>
        </w:rPr>
      </w:pPr>
      <w:r>
        <w:rPr>
          <w:rFonts w:ascii="Times New Roman" w:cs="Times New Roman" w:eastAsia="Times New Roman" w:hAnsi="Times New Roman"/>
          <w:sz w:val="16"/>
          <w:szCs w:val="16"/>
          <w:color w:val="auto"/>
        </w:rPr>
        <w:t>Additionally, all outstanding membership interests and rights to acquire membership interests in Opco were exchanged for an aggregate of 208,200,000 Opco common units and an equal number of newly issued shares of our Class V common stock, par value $0.0001 per share (“Class V common stock”), which are non-economic, voting shares of the Company, of which 207,406,648 are outstanding and 793,352 reserved for issuance upon the exercise of a warrant agreement. Opco equity holders converted 400,000,000 Opco Class A voting units, 192,453,454 Opco Class B voting units, and 270,270,270 Opco Class C voting units to 189,933,286 shares of Class V common stock on a pro rata basis. Opco Class C warrants were exchanged for the 793,352 shares of Class V common stock referenced above. Opco incentive units were exchanged for 17,473,362 shares of Class V common stock.</w:t>
      </w:r>
    </w:p>
    <w:p>
      <w:pPr>
        <w:spacing w:after="0" w:line="168" w:lineRule="exact"/>
        <w:rPr>
          <w:sz w:val="20"/>
          <w:szCs w:val="20"/>
          <w:color w:val="auto"/>
        </w:rPr>
      </w:pPr>
    </w:p>
    <w:p>
      <w:pPr>
        <w:ind w:left="620" w:right="40" w:firstLine="400"/>
        <w:spacing w:after="0" w:line="264" w:lineRule="auto"/>
        <w:rPr>
          <w:sz w:val="20"/>
          <w:szCs w:val="20"/>
          <w:color w:val="auto"/>
        </w:rPr>
      </w:pPr>
      <w:r>
        <w:rPr>
          <w:rFonts w:ascii="Times New Roman" w:cs="Times New Roman" w:eastAsia="Times New Roman" w:hAnsi="Times New Roman"/>
          <w:sz w:val="16"/>
          <w:szCs w:val="16"/>
          <w:color w:val="auto"/>
        </w:rPr>
        <w:t>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Exchange Agreement, dated as of October 15, 2021, between the Company and certain holders of Opco common units (the “Exchange Agreement”). Following the Closing, the Company owned approximately 20.3% of the Opco common units and with the remaining Opco common units being owned by the equity owners of Opco prior to the Merger (the “Opco Equity Holders”).</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The following table summarizes the estimated fair value of the purchase consideration paid to Opco Equity Holders (in thousands, except per unit</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data):</w:t>
      </w:r>
    </w:p>
    <w:p>
      <w:pPr>
        <w:spacing w:after="0" w:line="212" w:lineRule="exact"/>
        <w:rPr>
          <w:sz w:val="20"/>
          <w:szCs w:val="20"/>
          <w:color w:val="auto"/>
        </w:rPr>
      </w:pPr>
    </w:p>
    <w:tbl>
      <w:tblPr>
        <w:tblLayout w:type="fixed"/>
        <w:tblInd w:w="2220" w:type="dxa"/>
        <w:tblCellMar>
          <w:top w:w="0" w:type="dxa"/>
          <w:left w:w="0" w:type="dxa"/>
          <w:bottom w:w="0" w:type="dxa"/>
          <w:right w:w="0" w:type="dxa"/>
        </w:tblCellMar>
      </w:tblPr>
      <w:tr>
        <w:trPr>
          <w:trHeight w:val="157"/>
        </w:trPr>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Consideration</w:t>
            </w:r>
          </w:p>
        </w:tc>
      </w:tr>
      <w:tr>
        <w:trPr>
          <w:trHeight w:val="188"/>
        </w:trPr>
        <w:tc>
          <w:tcPr>
            <w:tcW w:w="590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5"/>
                <w:szCs w:val="15"/>
                <w:color w:val="auto"/>
              </w:rPr>
              <w:t>Equity consideration paid to Opco Equity Holders</w:t>
            </w:r>
            <w:r>
              <w:rPr>
                <w:rFonts w:ascii="Times New Roman" w:cs="Times New Roman" w:eastAsia="Times New Roman" w:hAnsi="Times New Roman"/>
                <w:sz w:val="21"/>
                <w:szCs w:val="21"/>
                <w:color w:val="auto"/>
                <w:vertAlign w:val="superscript"/>
              </w:rPr>
              <w:t>(1)</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1,904,648</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196"/>
        </w:trPr>
        <w:tc>
          <w:tcPr>
            <w:tcW w:w="590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Cash paid for redeemed Opco Incentive Units</w:t>
            </w:r>
            <w:r>
              <w:rPr>
                <w:rFonts w:ascii="Times New Roman" w:cs="Times New Roman" w:eastAsia="Times New Roman" w:hAnsi="Times New Roman"/>
                <w:sz w:val="22"/>
                <w:szCs w:val="22"/>
                <w:color w:val="auto"/>
                <w:vertAlign w:val="superscript"/>
              </w:rPr>
              <w:t>(2)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1,488</w:t>
            </w:r>
          </w:p>
        </w:tc>
        <w:tc>
          <w:tcPr>
            <w:tcW w:w="40" w:type="dxa"/>
            <w:vAlign w:val="bottom"/>
          </w:tcPr>
          <w:p>
            <w:pPr>
              <w:spacing w:after="0"/>
              <w:rPr>
                <w:sz w:val="17"/>
                <w:szCs w:val="17"/>
                <w:color w:val="auto"/>
              </w:rPr>
            </w:pPr>
          </w:p>
        </w:tc>
      </w:tr>
      <w:tr>
        <w:trPr>
          <w:trHeight w:val="196"/>
        </w:trPr>
        <w:tc>
          <w:tcPr>
            <w:tcW w:w="59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Cash paid for seller transaction costs</w:t>
            </w:r>
            <w:r>
              <w:rPr>
                <w:rFonts w:ascii="Times New Roman" w:cs="Times New Roman" w:eastAsia="Times New Roman" w:hAnsi="Times New Roman"/>
                <w:sz w:val="22"/>
                <w:szCs w:val="22"/>
                <w:color w:val="auto"/>
                <w:vertAlign w:val="superscript"/>
              </w:rPr>
              <w:t>(3)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13,454</w:t>
            </w:r>
          </w:p>
        </w:tc>
        <w:tc>
          <w:tcPr>
            <w:tcW w:w="40" w:type="dxa"/>
            <w:vAlign w:val="bottom"/>
            <w:shd w:val="clear" w:color="auto" w:fill="CCEEFF"/>
          </w:tcPr>
          <w:p>
            <w:pPr>
              <w:spacing w:after="0"/>
              <w:rPr>
                <w:sz w:val="17"/>
                <w:szCs w:val="17"/>
                <w:color w:val="auto"/>
              </w:rPr>
            </w:pPr>
          </w:p>
        </w:tc>
      </w:tr>
      <w:tr>
        <w:trPr>
          <w:trHeight w:val="201"/>
        </w:trPr>
        <w:tc>
          <w:tcPr>
            <w:tcW w:w="5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purchase consideration</w:t>
            </w: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1,919,590</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6" w:lineRule="exact"/>
        <w:rPr>
          <w:sz w:val="20"/>
          <w:szCs w:val="20"/>
          <w:color w:val="auto"/>
        </w:rPr>
      </w:pPr>
    </w:p>
    <w:p>
      <w:pPr>
        <w:ind w:left="1020" w:hanging="397"/>
        <w:spacing w:after="0" w:line="291" w:lineRule="auto"/>
        <w:tabs>
          <w:tab w:leader="none" w:pos="10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equity consideration paid to Opco Equity Holders is equal to the estimated fair value of noncontrolling interest on the acquisition date. Equity consideration paid to Opco Equity Holders consisted of the following:</w:t>
      </w:r>
    </w:p>
    <w:p>
      <w:pPr>
        <w:spacing w:after="0" w:line="161" w:lineRule="exact"/>
        <w:rPr>
          <w:sz w:val="20"/>
          <w:szCs w:val="20"/>
          <w:color w:val="auto"/>
        </w:rPr>
      </w:pPr>
    </w:p>
    <w:tbl>
      <w:tblPr>
        <w:tblLayout w:type="fixed"/>
        <w:tblInd w:w="22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88"/>
        </w:trPr>
        <w:tc>
          <w:tcPr>
            <w:tcW w:w="20" w:type="dxa"/>
            <w:vAlign w:val="bottom"/>
          </w:tcPr>
          <w:p>
            <w:pPr>
              <w:spacing w:after="0"/>
              <w:rPr>
                <w:sz w:val="16"/>
                <w:szCs w:val="16"/>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Opco common units</w:t>
            </w: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189,933</w:t>
            </w: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Fair value per unit</w:t>
            </w:r>
          </w:p>
        </w:tc>
        <w:tc>
          <w:tcPr>
            <w:tcW w:w="6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Opco common units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1,796,769</w:t>
            </w:r>
          </w:p>
        </w:tc>
      </w:tr>
      <w:tr>
        <w:trPr>
          <w:trHeight w:val="201"/>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Opco common incentive units based on services rendered</w:t>
            </w:r>
          </w:p>
        </w:tc>
        <w:tc>
          <w:tcPr>
            <w:tcW w:w="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107,879</w:t>
            </w:r>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consideration paid to Opco Equity Holders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1,904,648</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ind w:left="1020" w:right="380" w:hanging="397"/>
        <w:spacing w:after="0" w:line="265" w:lineRule="auto"/>
        <w:tabs>
          <w:tab w:leader="none" w:pos="10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cash paid to certain Opco Equity Holders in exchange for the redemption of 40% of the first one-third of their Opco common incentive units and preferred incentive units which vested at the effective time of the Business Combination (Note 11).</w:t>
      </w:r>
    </w:p>
    <w:p>
      <w:pPr>
        <w:spacing w:after="0" w:line="1" w:lineRule="exact"/>
        <w:rPr>
          <w:rFonts w:ascii="Times New Roman" w:cs="Times New Roman" w:eastAsia="Times New Roman" w:hAnsi="Times New Roman"/>
          <w:sz w:val="16"/>
          <w:szCs w:val="16"/>
          <w:color w:val="auto"/>
        </w:rPr>
      </w:pPr>
    </w:p>
    <w:p>
      <w:pPr>
        <w:ind w:left="1020" w:right="80" w:hanging="397"/>
        <w:spacing w:after="0" w:line="271" w:lineRule="auto"/>
        <w:tabs>
          <w:tab w:leader="none" w:pos="10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Opco’s liability to pay transaction costs as of the Business Combination date, which was settled with cash received from the Business Combination.</w:t>
      </w:r>
    </w:p>
    <w:p>
      <w:pPr>
        <w:spacing w:after="0" w:line="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F-27</w:t>
      </w:r>
    </w:p>
    <w:p>
      <w:pPr>
        <w:sectPr>
          <w:pgSz w:w="11900" w:h="16838" w:orient="portrait"/>
          <w:cols w:equalWidth="0" w:num="1">
            <w:col w:w="10580"/>
          </w:cols>
          <w:pgMar w:left="320" w:top="453" w:right="999" w:bottom="1440" w:gutter="0" w:footer="0" w:header="0"/>
        </w:sectPr>
      </w:pPr>
    </w:p>
    <w:bookmarkStart w:id="181" w:name="page182"/>
    <w:bookmarkEnd w:id="18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We recorded the preliminary allocation of the purchase price to Opco’s assets acquired and liabilities assumed based on their fair values as of</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October 15, 2021. The preliminary purchase price allocation is as follows (in thousands):</w:t>
      </w:r>
    </w:p>
    <w:p>
      <w:pPr>
        <w:spacing w:after="0" w:line="212" w:lineRule="exact"/>
        <w:rPr>
          <w:sz w:val="20"/>
          <w:szCs w:val="20"/>
          <w:color w:val="auto"/>
        </w:rPr>
      </w:pPr>
    </w:p>
    <w:tbl>
      <w:tblPr>
        <w:tblLayout w:type="fixed"/>
        <w:tblInd w:w="2220" w:type="dxa"/>
        <w:tblCellMar>
          <w:top w:w="0" w:type="dxa"/>
          <w:left w:w="0" w:type="dxa"/>
          <w:bottom w:w="0" w:type="dxa"/>
          <w:right w:w="0" w:type="dxa"/>
        </w:tblCellMar>
      </w:tblPr>
      <w:tr>
        <w:trPr>
          <w:trHeight w:val="157"/>
        </w:trPr>
        <w:tc>
          <w:tcPr>
            <w:tcW w:w="5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r>
      <w:tr>
        <w:trPr>
          <w:trHeight w:val="188"/>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restricted cash and customer funds</w:t>
            </w: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30,837</w:t>
            </w:r>
          </w:p>
        </w:tc>
        <w:tc>
          <w:tcPr>
            <w:tcW w:w="120" w:type="dxa"/>
            <w:vAlign w:val="bottom"/>
            <w:tcBorders>
              <w:top w:val="single" w:sz="8" w:color="CCEEFF"/>
            </w:tcBorders>
            <w:shd w:val="clear" w:color="auto" w:fill="CCEEFF"/>
          </w:tcPr>
          <w:p>
            <w:pPr>
              <w:spacing w:after="0"/>
              <w:rPr>
                <w:sz w:val="16"/>
                <w:szCs w:val="16"/>
                <w:color w:val="auto"/>
              </w:rPr>
            </w:pP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17,009</w:t>
            </w:r>
          </w:p>
        </w:tc>
      </w:tr>
      <w:tr>
        <w:trPr>
          <w:trHeight w:val="19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5,090</w:t>
            </w: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Property, equipment and software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4,115</w:t>
            </w:r>
          </w:p>
        </w:tc>
      </w:tr>
      <w:tr>
        <w:trPr>
          <w:trHeight w:val="19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 with clearinghouse, noncurrent (affiliate in Predecessor period)</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15,151</w:t>
            </w: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393,070</w:t>
            </w:r>
          </w:p>
        </w:tc>
      </w:tr>
      <w:tr>
        <w:trPr>
          <w:trHeight w:val="19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1,527,071</w:t>
            </w:r>
          </w:p>
        </w:tc>
        <w:tc>
          <w:tcPr>
            <w:tcW w:w="120" w:type="dxa"/>
            <w:vAlign w:val="bottom"/>
            <w:shd w:val="clear" w:color="auto" w:fill="CCEEFF"/>
          </w:tcPr>
          <w:p>
            <w:pPr>
              <w:spacing w:after="0"/>
              <w:rPr>
                <w:sz w:val="17"/>
                <w:szCs w:val="17"/>
                <w:color w:val="auto"/>
              </w:rPr>
            </w:pP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140</w:t>
            </w:r>
          </w:p>
        </w:tc>
      </w:tr>
      <w:tr>
        <w:trPr>
          <w:trHeight w:val="19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3,002</w:t>
            </w:r>
          </w:p>
        </w:tc>
      </w:tr>
      <w:tr>
        <w:trPr>
          <w:trHeight w:val="201"/>
        </w:trPr>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 acquired</w:t>
            </w: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1,995,485</w:t>
            </w:r>
          </w:p>
        </w:tc>
        <w:tc>
          <w:tcPr>
            <w:tcW w:w="120" w:type="dxa"/>
            <w:vAlign w:val="bottom"/>
          </w:tcPr>
          <w:p>
            <w:pPr>
              <w:spacing w:after="0"/>
              <w:rPr>
                <w:sz w:val="17"/>
                <w:szCs w:val="17"/>
                <w:color w:val="auto"/>
              </w:rPr>
            </w:pPr>
          </w:p>
        </w:tc>
      </w:tr>
      <w:tr>
        <w:trPr>
          <w:trHeight w:val="19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(52,997)</w:t>
            </w: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Due to related party (affiliate in Predecessor period)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(2,313)</w:t>
            </w:r>
          </w:p>
        </w:tc>
      </w:tr>
      <w:tr>
        <w:trPr>
          <w:trHeight w:val="19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(3,140)</w:t>
            </w: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current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(4,665)</w:t>
            </w:r>
          </w:p>
        </w:tc>
      </w:tr>
      <w:tr>
        <w:trPr>
          <w:trHeight w:val="19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Participation unit liability</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(6,756)</w:t>
            </w: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(4,758)</w:t>
            </w:r>
          </w:p>
        </w:tc>
      </w:tr>
      <w:tr>
        <w:trPr>
          <w:trHeight w:val="19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(1,266)</w:t>
            </w:r>
          </w:p>
        </w:tc>
      </w:tr>
      <w:tr>
        <w:trPr>
          <w:trHeight w:val="205"/>
        </w:trPr>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5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(75,895)</w:t>
            </w:r>
          </w:p>
        </w:tc>
        <w:tc>
          <w:tcPr>
            <w:tcW w:w="120" w:type="dxa"/>
            <w:vAlign w:val="bottom"/>
          </w:tcPr>
          <w:p>
            <w:pPr>
              <w:spacing w:after="0"/>
              <w:rPr>
                <w:sz w:val="17"/>
                <w:szCs w:val="17"/>
                <w:color w:val="auto"/>
              </w:rPr>
            </w:pPr>
          </w:p>
        </w:tc>
      </w:tr>
      <w:tr>
        <w:trPr>
          <w:trHeight w:val="196"/>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purchase consideration</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1,919,590</w:t>
            </w:r>
          </w:p>
        </w:tc>
        <w:tc>
          <w:tcPr>
            <w:tcW w:w="120" w:type="dxa"/>
            <w:vAlign w:val="bottom"/>
            <w:shd w:val="clear" w:color="auto" w:fill="CCEEFF"/>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2" w:lineRule="exact"/>
        <w:rPr>
          <w:sz w:val="20"/>
          <w:szCs w:val="20"/>
          <w:color w:val="auto"/>
        </w:rPr>
      </w:pPr>
    </w:p>
    <w:p>
      <w:pPr>
        <w:ind w:left="620" w:firstLine="400"/>
        <w:spacing w:after="0" w:line="264" w:lineRule="auto"/>
        <w:rPr>
          <w:sz w:val="20"/>
          <w:szCs w:val="20"/>
          <w:color w:val="auto"/>
        </w:rPr>
      </w:pPr>
      <w:r>
        <w:rPr>
          <w:rFonts w:ascii="Times New Roman" w:cs="Times New Roman" w:eastAsia="Times New Roman" w:hAnsi="Times New Roman"/>
          <w:sz w:val="16"/>
          <w:szCs w:val="16"/>
          <w:color w:val="auto"/>
        </w:rPr>
        <w:t>The goodwill of $1,527.1 million represents the excess purchase price over the fair value of the net tangible and identifiable intangible assets acquired and liabilities assumed. Qualitative factors that contribute to the recognition of goodwill include certain intangible assets that are not recognized as separate identifiable intangible assets apart from goodwill. Intangible assets not recognized apart from goodwill consist primarily of expertise and industry know-how of the workforce, back-office infrastructure, strong market position and the assembled workforce of Opco. None of the goodwill recognized is expected to be deductible for income tax purposes.</w:t>
      </w:r>
    </w:p>
    <w:p>
      <w:pPr>
        <w:spacing w:after="0" w:line="165" w:lineRule="exact"/>
        <w:rPr>
          <w:sz w:val="20"/>
          <w:szCs w:val="20"/>
          <w:color w:val="auto"/>
        </w:rPr>
      </w:pPr>
    </w:p>
    <w:p>
      <w:pPr>
        <w:ind w:left="620" w:right="220" w:firstLine="400"/>
        <w:spacing w:after="0" w:line="291" w:lineRule="auto"/>
        <w:rPr>
          <w:sz w:val="20"/>
          <w:szCs w:val="20"/>
          <w:color w:val="auto"/>
        </w:rPr>
      </w:pPr>
      <w:r>
        <w:rPr>
          <w:rFonts w:ascii="Times New Roman" w:cs="Times New Roman" w:eastAsia="Times New Roman" w:hAnsi="Times New Roman"/>
          <w:sz w:val="16"/>
          <w:szCs w:val="16"/>
          <w:color w:val="auto"/>
        </w:rPr>
        <w:t>The weighted average amortization period for the acquired intangible assets is 5.7 years. The fair value of the intangible assets is as follows (in thousands):</w:t>
      </w:r>
    </w:p>
    <w:p>
      <w:pPr>
        <w:spacing w:after="0" w:line="146"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Useful Lives</w:t>
            </w:r>
          </w:p>
        </w:tc>
        <w:tc>
          <w:tcPr>
            <w:tcW w:w="420" w:type="dxa"/>
            <w:vAlign w:val="bottom"/>
          </w:tcPr>
          <w:p>
            <w:pPr>
              <w:spacing w:after="0"/>
              <w:rPr>
                <w:sz w:val="11"/>
                <w:szCs w:val="11"/>
                <w:color w:val="auto"/>
              </w:rPr>
            </w:pPr>
          </w:p>
        </w:tc>
        <w:tc>
          <w:tcPr>
            <w:tcW w:w="7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7"/>
        </w:trPr>
        <w:tc>
          <w:tcPr>
            <w:tcW w:w="56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42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62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5"/>
                <w:szCs w:val="15"/>
                <w:color w:val="auto"/>
              </w:rPr>
              <w:t>Trademarks / trade names</w:t>
            </w:r>
            <w:r>
              <w:rPr>
                <w:rFonts w:ascii="Times New Roman" w:cs="Times New Roman" w:eastAsia="Times New Roman" w:hAnsi="Times New Roman"/>
                <w:sz w:val="21"/>
                <w:szCs w:val="21"/>
                <w:color w:val="auto"/>
                <w:vertAlign w:val="superscript"/>
              </w:rPr>
              <w:t>(1)</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4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Licenses</w:t>
            </w:r>
            <w:r>
              <w:rPr>
                <w:rFonts w:ascii="Times New Roman" w:cs="Times New Roman" w:eastAsia="Times New Roman" w:hAnsi="Times New Roman"/>
                <w:sz w:val="22"/>
                <w:szCs w:val="22"/>
                <w:color w:val="auto"/>
                <w:vertAlign w:val="superscript"/>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241,320</w:t>
            </w: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Customer relationships</w:t>
            </w:r>
            <w:r>
              <w:rPr>
                <w:rFonts w:ascii="Times New Roman" w:cs="Times New Roman" w:eastAsia="Times New Roman" w:hAnsi="Times New Roman"/>
                <w:sz w:val="22"/>
                <w:szCs w:val="22"/>
                <w:color w:val="auto"/>
                <w:vertAlign w:val="superscript"/>
              </w:rPr>
              <w:t>(3)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44,970</w:t>
            </w:r>
          </w:p>
        </w:tc>
        <w:tc>
          <w:tcPr>
            <w:tcW w:w="0" w:type="dxa"/>
            <w:vAlign w:val="bottom"/>
          </w:tcPr>
          <w:p>
            <w:pPr>
              <w:spacing w:after="0"/>
              <w:rPr>
                <w:sz w:val="1"/>
                <w:szCs w:val="1"/>
                <w:color w:val="auto"/>
              </w:rPr>
            </w:pPr>
          </w:p>
        </w:tc>
      </w:tr>
      <w:tr>
        <w:trPr>
          <w:trHeight w:val="196"/>
        </w:trPr>
        <w:tc>
          <w:tcPr>
            <w:tcW w:w="562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Technology</w:t>
            </w:r>
            <w:r>
              <w:rPr>
                <w:rFonts w:ascii="Times New Roman" w:cs="Times New Roman" w:eastAsia="Times New Roman" w:hAnsi="Times New Roman"/>
                <w:sz w:val="22"/>
                <w:szCs w:val="22"/>
                <w:color w:val="auto"/>
                <w:vertAlign w:val="superscript"/>
              </w:rPr>
              <w:t>(4)</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67,310</w:t>
            </w: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intangible assets acquired</w:t>
            </w:r>
          </w:p>
        </w:tc>
        <w:tc>
          <w:tcPr>
            <w:tcW w:w="7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393,070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1020" w:hanging="397"/>
        <w:spacing w:after="0"/>
        <w:tabs>
          <w:tab w:leader="none" w:pos="1020" w:val="left"/>
        </w:tabs>
        <w:numPr>
          <w:ilvl w:val="0"/>
          <w:numId w:val="1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trademarks / trade names represent those that Opco originated which were valued using the relief-from-royalty method.</w:t>
      </w:r>
    </w:p>
    <w:p>
      <w:pPr>
        <w:spacing w:after="0" w:line="2" w:lineRule="exact"/>
        <w:rPr>
          <w:rFonts w:ascii="Times New Roman" w:cs="Times New Roman" w:eastAsia="Times New Roman" w:hAnsi="Times New Roman"/>
          <w:sz w:val="23"/>
          <w:szCs w:val="23"/>
          <w:color w:val="auto"/>
          <w:vertAlign w:val="superscript"/>
        </w:rPr>
      </w:pPr>
    </w:p>
    <w:p>
      <w:pPr>
        <w:ind w:left="1020" w:hanging="397"/>
        <w:spacing w:after="0" w:line="183" w:lineRule="auto"/>
        <w:tabs>
          <w:tab w:leader="none" w:pos="1020" w:val="left"/>
        </w:tabs>
        <w:numPr>
          <w:ilvl w:val="0"/>
          <w:numId w:val="1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licenses represent those that Opco acquired that were valued using the with-and-without method.</w:t>
      </w:r>
    </w:p>
    <w:p>
      <w:pPr>
        <w:spacing w:after="0" w:line="12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F-28</w:t>
      </w:r>
    </w:p>
    <w:p>
      <w:pPr>
        <w:sectPr>
          <w:pgSz w:w="11900" w:h="16838" w:orient="portrait"/>
          <w:cols w:equalWidth="0" w:num="1">
            <w:col w:w="10600"/>
          </w:cols>
          <w:pgMar w:left="320" w:top="453" w:right="979" w:bottom="1440" w:gutter="0" w:footer="0" w:header="0"/>
        </w:sectPr>
      </w:pPr>
    </w:p>
    <w:bookmarkStart w:id="182" w:name="page183"/>
    <w:bookmarkEnd w:id="18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020" w:right="200" w:hanging="397"/>
        <w:spacing w:after="0" w:line="218" w:lineRule="auto"/>
        <w:tabs>
          <w:tab w:leader="none" w:pos="1020" w:val="left"/>
        </w:tabs>
        <w:numPr>
          <w:ilvl w:val="0"/>
          <w:numId w:val="1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customer relationships represent the existing customer relationships of Opco that were valued by applying the multi-period excess earnings methodology.</w:t>
      </w:r>
    </w:p>
    <w:p>
      <w:pPr>
        <w:ind w:left="1020" w:right="180" w:hanging="397"/>
        <w:spacing w:after="0" w:line="209" w:lineRule="auto"/>
        <w:tabs>
          <w:tab w:leader="none" w:pos="1020" w:val="left"/>
        </w:tabs>
        <w:numPr>
          <w:ilvl w:val="0"/>
          <w:numId w:val="1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technology represents technologies acquired and developed by Opco for the purpose of operating its platform, which were valued using the relief-from-royalty method.</w:t>
      </w:r>
    </w:p>
    <w:p>
      <w:pPr>
        <w:spacing w:after="0" w:line="182" w:lineRule="exact"/>
        <w:rPr>
          <w:sz w:val="20"/>
          <w:szCs w:val="20"/>
          <w:color w:val="auto"/>
        </w:rPr>
      </w:pPr>
    </w:p>
    <w:p>
      <w:pPr>
        <w:ind w:left="620" w:firstLine="400"/>
        <w:spacing w:after="0" w:line="263" w:lineRule="auto"/>
        <w:rPr>
          <w:sz w:val="20"/>
          <w:szCs w:val="20"/>
          <w:color w:val="auto"/>
        </w:rPr>
      </w:pPr>
      <w:r>
        <w:rPr>
          <w:rFonts w:ascii="Times New Roman" w:cs="Times New Roman" w:eastAsia="Times New Roman" w:hAnsi="Times New Roman"/>
          <w:sz w:val="16"/>
          <w:szCs w:val="16"/>
          <w:color w:val="auto"/>
        </w:rPr>
        <w:t>The following unaudited pro forma financial information presents the combined results of operations as if the Business Combination and the acquisition of Bridge2 Solutions had occurred as of January 1, 2020. The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 The unaudited pro forma results reflect the step-up amortization adjustments for the fair value of intangible assets acquired, acquisition-related expenses, nonrecurring post-combination compensation expense, unit-based compensation expense under the new capital structure and the related adjustment to the income tax provision.</w:t>
      </w:r>
    </w:p>
    <w:p>
      <w:pPr>
        <w:spacing w:after="0" w:line="167"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300" w:type="dxa"/>
            <w:vAlign w:val="bottom"/>
          </w:tcPr>
          <w:p>
            <w:pPr>
              <w:spacing w:after="0"/>
              <w:rPr>
                <w:sz w:val="12"/>
                <w:szCs w:val="12"/>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35"/>
        </w:trPr>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7"/>
        </w:trPr>
        <w:tc>
          <w:tcPr>
            <w:tcW w:w="53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18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revenue, net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39,437</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34,154</w:t>
            </w:r>
          </w:p>
        </w:tc>
        <w:tc>
          <w:tcPr>
            <w:tcW w:w="100" w:type="dxa"/>
            <w:vAlign w:val="bottom"/>
            <w:shd w:val="clear" w:color="auto" w:fill="CCEEFF"/>
          </w:tcPr>
          <w:p>
            <w:pPr>
              <w:spacing w:after="0"/>
              <w:rPr>
                <w:sz w:val="16"/>
                <w:szCs w:val="16"/>
                <w:color w:val="auto"/>
              </w:rPr>
            </w:pP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Pro forma net 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(198,467)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(168,751)</w:t>
            </w:r>
          </w:p>
        </w:tc>
      </w:tr>
      <w:tr>
        <w:trPr>
          <w:trHeight w:val="19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pro forma net loss attributable to noncontrolling interest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(165,136)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(140,376)</w:t>
            </w:r>
          </w:p>
        </w:tc>
      </w:tr>
      <w:tr>
        <w:trPr>
          <w:trHeight w:val="201"/>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Pro forma net loss attributable to Bakkt Holdings, Inc.</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(33,331</w:t>
            </w:r>
          </w:p>
        </w:tc>
        <w:tc>
          <w:tcPr>
            <w:tcW w:w="360" w:type="dxa"/>
            <w:vAlign w:val="bottom"/>
            <w:gridSpan w:val="2"/>
          </w:tcPr>
          <w:p>
            <w:pPr>
              <w:jc w:val="right"/>
              <w:ind w:right="3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(28,375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5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Predecessor Acquisition</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Bridge2 Solutions, LLC</w:t>
      </w:r>
    </w:p>
    <w:p>
      <w:pPr>
        <w:spacing w:after="0" w:line="114"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On February 21, 2020, ICE acquired all of the issued and outstanding equity of Bridge2 Solutions LLC and its affiliated companies (collectively, “Bridge2 Solutions”), including their then-parent company B2S Holdings, Inc., a leading loyalty redemption platform provider connecting loyalty programs to ecommerce merchants allowing loyalty point holders to redeem a spectrum of loyalty currencies for digital assets, merchandise and services. On March 12, 2020, Bakkt completed a Series C round of financing valued at $300.0 million. As part of the financing, ICE contributed substantially all of the assets and liabilities of Bridge2 Solutions to the Company at a value of approximately $260.8 million. Bakkt accounted for the acquisition of Bridge2 Solutions as a common control transaction under ASC 805, as Bridge2 Solutions was owned by ICE prior to its combination with Opco. As such, we measured the recognized net assets of Bridge2 Solutions at the carrying amounts of the net assets previously recognized by ICE and began reflecting the operations of Bridge2 Solutions in its financial statements as of the date of its acquisition by ICE. This acquisition is included in the one reportable segment.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summarizes the fair values of the net assets acquired as of the acquisition date (in thousands):</w:t>
      </w:r>
    </w:p>
    <w:p>
      <w:pPr>
        <w:spacing w:after="0" w:line="212" w:lineRule="exact"/>
        <w:rPr>
          <w:sz w:val="20"/>
          <w:szCs w:val="20"/>
          <w:color w:val="auto"/>
        </w:rPr>
      </w:pPr>
    </w:p>
    <w:tbl>
      <w:tblPr>
        <w:tblLayout w:type="fixed"/>
        <w:tblInd w:w="222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February 21,</w:t>
            </w:r>
          </w:p>
        </w:tc>
      </w:tr>
      <w:tr>
        <w:trPr>
          <w:trHeight w:val="157"/>
        </w:trPr>
        <w:tc>
          <w:tcPr>
            <w:tcW w:w="2480" w:type="dxa"/>
            <w:vAlign w:val="bottom"/>
          </w:tcPr>
          <w:p>
            <w:pPr>
              <w:spacing w:after="0"/>
              <w:rPr>
                <w:sz w:val="13"/>
                <w:szCs w:val="13"/>
                <w:color w:val="auto"/>
              </w:rPr>
            </w:pPr>
          </w:p>
        </w:tc>
        <w:tc>
          <w:tcPr>
            <w:tcW w:w="4280" w:type="dxa"/>
            <w:vAlign w:val="bottom"/>
            <w:gridSpan w:val="2"/>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 w:type="dxa"/>
            <w:vAlign w:val="bottom"/>
          </w:tcPr>
          <w:p>
            <w:pPr>
              <w:spacing w:after="0"/>
              <w:rPr>
                <w:sz w:val="13"/>
                <w:szCs w:val="13"/>
                <w:color w:val="auto"/>
              </w:rPr>
            </w:pPr>
          </w:p>
        </w:tc>
      </w:tr>
      <w:tr>
        <w:trPr>
          <w:trHeight w:val="19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10,652</w:t>
            </w:r>
          </w:p>
        </w:tc>
      </w:tr>
      <w:tr>
        <w:trPr>
          <w:trHeight w:val="196"/>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4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10,158</w:t>
            </w:r>
          </w:p>
        </w:tc>
      </w:tr>
      <w:tr>
        <w:trPr>
          <w:trHeight w:val="19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4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1,284</w:t>
            </w:r>
          </w:p>
        </w:tc>
      </w:tr>
      <w:tr>
        <w:trPr>
          <w:trHeight w:val="196"/>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4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4,465</w:t>
            </w:r>
          </w:p>
        </w:tc>
      </w:tr>
      <w:tr>
        <w:trPr>
          <w:trHeight w:val="19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4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53,620</w:t>
            </w:r>
          </w:p>
        </w:tc>
      </w:tr>
      <w:tr>
        <w:trPr>
          <w:trHeight w:val="196"/>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Technology</w:t>
            </w:r>
          </w:p>
        </w:tc>
        <w:tc>
          <w:tcPr>
            <w:tcW w:w="4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11,990</w:t>
            </w:r>
          </w:p>
        </w:tc>
      </w:tr>
      <w:tr>
        <w:trPr>
          <w:trHeight w:val="19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name</w:t>
            </w:r>
          </w:p>
        </w:tc>
        <w:tc>
          <w:tcPr>
            <w:tcW w:w="4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415</w:t>
            </w:r>
          </w:p>
        </w:tc>
      </w:tr>
      <w:tr>
        <w:trPr>
          <w:trHeight w:val="196"/>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4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2,864</w:t>
            </w:r>
          </w:p>
        </w:tc>
      </w:tr>
      <w:tr>
        <w:trPr>
          <w:trHeight w:val="19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4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216,575</w:t>
            </w:r>
          </w:p>
        </w:tc>
      </w:tr>
      <w:tr>
        <w:trPr>
          <w:trHeight w:val="204"/>
        </w:trPr>
        <w:tc>
          <w:tcPr>
            <w:tcW w:w="2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 acquired</w:t>
            </w:r>
          </w:p>
        </w:tc>
        <w:tc>
          <w:tcPr>
            <w:tcW w:w="35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312,023</w:t>
            </w:r>
          </w:p>
        </w:tc>
        <w:tc>
          <w:tcPr>
            <w:tcW w:w="40" w:type="dxa"/>
            <w:vAlign w:val="bottom"/>
          </w:tcPr>
          <w:p>
            <w:pPr>
              <w:spacing w:after="0"/>
              <w:rPr>
                <w:sz w:val="17"/>
                <w:szCs w:val="17"/>
                <w:color w:val="auto"/>
              </w:rPr>
            </w:pPr>
          </w:p>
        </w:tc>
      </w:tr>
      <w:tr>
        <w:trPr>
          <w:trHeight w:val="327"/>
        </w:trPr>
        <w:tc>
          <w:tcPr>
            <w:tcW w:w="2480" w:type="dxa"/>
            <w:vAlign w:val="bottom"/>
          </w:tcPr>
          <w:p>
            <w:pPr>
              <w:spacing w:after="0"/>
              <w:rPr>
                <w:sz w:val="24"/>
                <w:szCs w:val="24"/>
                <w:color w:val="auto"/>
              </w:rPr>
            </w:pPr>
          </w:p>
        </w:tc>
        <w:tc>
          <w:tcPr>
            <w:tcW w:w="432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F-29</w:t>
            </w:r>
          </w:p>
        </w:tc>
      </w:tr>
    </w:tbl>
    <w:p>
      <w:pPr>
        <w:sectPr>
          <w:pgSz w:w="11900" w:h="16838" w:orient="portrait"/>
          <w:cols w:equalWidth="0" w:num="1">
            <w:col w:w="10600"/>
          </w:cols>
          <w:pgMar w:left="320" w:top="453" w:right="979" w:bottom="1440" w:gutter="0" w:footer="0" w:header="0"/>
        </w:sectPr>
      </w:pPr>
    </w:p>
    <w:bookmarkStart w:id="183" w:name="page184"/>
    <w:bookmarkEnd w:id="18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63" w:lineRule="exact"/>
        <w:rPr>
          <w:sz w:val="20"/>
          <w:szCs w:val="20"/>
          <w:color w:val="auto"/>
        </w:rPr>
      </w:pPr>
    </w:p>
    <w:tbl>
      <w:tblPr>
        <w:tblLayout w:type="fixed"/>
        <w:tblInd w:w="2220" w:type="dxa"/>
        <w:tblCellMar>
          <w:top w:w="0" w:type="dxa"/>
          <w:left w:w="0" w:type="dxa"/>
          <w:bottom w:w="0" w:type="dxa"/>
          <w:right w:w="0" w:type="dxa"/>
        </w:tblCellMar>
      </w:tblPr>
      <w:tr>
        <w:trPr>
          <w:trHeight w:val="149"/>
        </w:trPr>
        <w:tc>
          <w:tcPr>
            <w:tcW w:w="5960" w:type="dxa"/>
            <w:vAlign w:val="bottom"/>
          </w:tcPr>
          <w:p>
            <w:pPr>
              <w:spacing w:after="0"/>
              <w:rPr>
                <w:sz w:val="12"/>
                <w:szCs w:val="12"/>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February 21,</w:t>
            </w:r>
          </w:p>
        </w:tc>
      </w:tr>
      <w:tr>
        <w:trPr>
          <w:trHeight w:val="157"/>
        </w:trPr>
        <w:tc>
          <w:tcPr>
            <w:tcW w:w="5960" w:type="dxa"/>
            <w:vAlign w:val="bottom"/>
          </w:tcPr>
          <w:p>
            <w:pPr>
              <w:spacing w:after="0"/>
              <w:rPr>
                <w:sz w:val="13"/>
                <w:szCs w:val="13"/>
                <w:color w:val="auto"/>
              </w:rPr>
            </w:pPr>
          </w:p>
        </w:tc>
        <w:tc>
          <w:tcPr>
            <w:tcW w:w="74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(22,450)</w:t>
            </w: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(12,703)</w:t>
            </w:r>
          </w:p>
        </w:tc>
      </w:tr>
      <w:tr>
        <w:trPr>
          <w:trHeight w:val="19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(3,005)</w:t>
            </w:r>
          </w:p>
        </w:tc>
      </w:tr>
      <w:tr>
        <w:trPr>
          <w:trHeight w:val="196"/>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(2,402)</w:t>
            </w:r>
          </w:p>
        </w:tc>
      </w:tr>
      <w:tr>
        <w:trPr>
          <w:trHeight w:val="25"/>
        </w:trPr>
        <w:tc>
          <w:tcPr>
            <w:tcW w:w="59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(40,560)</w:t>
            </w:r>
          </w:p>
        </w:tc>
      </w:tr>
      <w:tr>
        <w:trPr>
          <w:trHeight w:val="201"/>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Total purchase consideration</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271,463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color w:val="auto"/>
        </w:rPr>
        <w:t>The identifiable intangible assets acquired were $53.6 million for customer relationships, which have been assigned a useful life of 12 years, approximately $12.0 million for acquired technology, which has been assigned a useful life of 7 years, and $0.4 million for a trade name, which has been assigned a useful life of 1 year. The weighted average amortization period for the acquired intangible assets is 11.0 years. The goodwill related to the acquisition represents the value paid for expertise and industry know-how of the workforce, back-office infrastructure and expected synergies from Bridge2 Solutions’ complementary business model. We recognized an additional amount of approximately $10.1 million of goodwill as a result of push-down accounting by ICE for certain deferred income tax liabilities recognized, but not expected to be settled with ICE, in connection with the Bridge2 Solutions acquisition.</w:t>
      </w:r>
    </w:p>
    <w:p>
      <w:pPr>
        <w:spacing w:after="0" w:line="168" w:lineRule="exact"/>
        <w:rPr>
          <w:sz w:val="20"/>
          <w:szCs w:val="20"/>
          <w:color w:val="auto"/>
        </w:rPr>
      </w:pPr>
    </w:p>
    <w:p>
      <w:pPr>
        <w:ind w:left="620" w:right="40" w:firstLine="400"/>
        <w:spacing w:after="0" w:line="273" w:lineRule="auto"/>
        <w:rPr>
          <w:sz w:val="20"/>
          <w:szCs w:val="20"/>
          <w:color w:val="auto"/>
        </w:rPr>
      </w:pPr>
      <w:r>
        <w:rPr>
          <w:rFonts w:ascii="Times New Roman" w:cs="Times New Roman" w:eastAsia="Times New Roman" w:hAnsi="Times New Roman"/>
          <w:sz w:val="16"/>
          <w:szCs w:val="16"/>
          <w:color w:val="auto"/>
        </w:rPr>
        <w:t>The actual results of operations of the acquisition has been included in the statements of operations from the date of acquisition. The following table summarizes Bridge2 Solutions’ revenue and earnings included in the statements of operations from February 22, 2020 through December 31, 2020 (in thousands):</w:t>
      </w:r>
    </w:p>
    <w:p>
      <w:pPr>
        <w:spacing w:after="0" w:line="161"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760" w:type="dxa"/>
            <w:vAlign w:val="bottom"/>
            <w:gridSpan w:val="6"/>
          </w:tcPr>
          <w:p>
            <w:pPr>
              <w:ind w:left="1540"/>
              <w:spacing w:after="0"/>
              <w:rPr>
                <w:sz w:val="20"/>
                <w:szCs w:val="20"/>
                <w:color w:val="auto"/>
              </w:rPr>
            </w:pPr>
            <w:r>
              <w:rPr>
                <w:rFonts w:ascii="Times New Roman" w:cs="Times New Roman" w:eastAsia="Times New Roman" w:hAnsi="Times New Roman"/>
                <w:sz w:val="13"/>
                <w:szCs w:val="13"/>
                <w:b w:val="1"/>
                <w:bCs w:val="1"/>
                <w:color w:val="auto"/>
              </w:rPr>
              <w:t>February 22, 2020 –</w:t>
            </w:r>
          </w:p>
        </w:tc>
        <w:tc>
          <w:tcPr>
            <w:tcW w:w="0" w:type="dxa"/>
            <w:vAlign w:val="bottom"/>
          </w:tcPr>
          <w:p>
            <w:pPr>
              <w:spacing w:after="0"/>
              <w:rPr>
                <w:sz w:val="1"/>
                <w:szCs w:val="1"/>
                <w:color w:val="auto"/>
              </w:rPr>
            </w:pPr>
          </w:p>
        </w:tc>
      </w:tr>
      <w:tr>
        <w:trPr>
          <w:trHeight w:val="157"/>
        </w:trPr>
        <w:tc>
          <w:tcPr>
            <w:tcW w:w="16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760" w:type="dxa"/>
            <w:vAlign w:val="bottom"/>
            <w:gridSpan w:val="6"/>
          </w:tcPr>
          <w:p>
            <w:pPr>
              <w:ind w:left="158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86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30,774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(11,085)</w:t>
            </w:r>
          </w:p>
        </w:tc>
        <w:tc>
          <w:tcPr>
            <w:tcW w:w="0" w:type="dxa"/>
            <w:vAlign w:val="bottom"/>
          </w:tcPr>
          <w:p>
            <w:pPr>
              <w:spacing w:after="0"/>
              <w:rPr>
                <w:sz w:val="1"/>
                <w:szCs w:val="1"/>
                <w:color w:val="auto"/>
              </w:rPr>
            </w:pPr>
          </w:p>
        </w:tc>
      </w:tr>
      <w:tr>
        <w:trPr>
          <w:trHeight w:val="474"/>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5. Goodwill and Intangible Assets, Net</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goodwill consisted of the following (in thousands):</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6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January 1, 2020</w:t>
            </w:r>
          </w:p>
        </w:tc>
        <w:tc>
          <w:tcPr>
            <w:tcW w:w="18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16,854</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4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Bridge2 Solutions</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216,575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60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vMerge w:val="continue"/>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233,429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4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5"/>
        </w:trPr>
        <w:tc>
          <w:tcPr>
            <w:tcW w:w="160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vMerge w:val="continue"/>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October 14, 2021</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233,381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6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October 15, 2021</w:t>
            </w:r>
          </w:p>
        </w:tc>
        <w:tc>
          <w:tcPr>
            <w:tcW w:w="18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1,527,071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600" w:type="dxa"/>
            <w:vAlign w:val="bottom"/>
          </w:tcPr>
          <w:p>
            <w:pPr>
              <w:spacing w:after="0"/>
              <w:rPr>
                <w:sz w:val="17"/>
                <w:szCs w:val="17"/>
                <w:color w:val="auto"/>
              </w:rPr>
            </w:pPr>
          </w:p>
        </w:tc>
        <w:tc>
          <w:tcPr>
            <w:tcW w:w="4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8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1,527,118</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620" w:right="440" w:firstLine="400"/>
        <w:spacing w:after="0" w:line="291" w:lineRule="auto"/>
        <w:rPr>
          <w:sz w:val="20"/>
          <w:szCs w:val="20"/>
          <w:color w:val="auto"/>
        </w:rPr>
      </w:pPr>
      <w:r>
        <w:rPr>
          <w:rFonts w:ascii="Times New Roman" w:cs="Times New Roman" w:eastAsia="Times New Roman" w:hAnsi="Times New Roman"/>
          <w:sz w:val="16"/>
          <w:szCs w:val="16"/>
          <w:color w:val="auto"/>
        </w:rPr>
        <w:t>The opening balance of goodwill as of October 15, 2021 represents the fair value of goodwill on the Closing Date. See Note 4 for additional details. No goodwill impairment charges have been recognized in the periods presented.</w:t>
      </w:r>
    </w:p>
    <w:p>
      <w:pPr>
        <w:spacing w:after="0" w:line="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F-30</w:t>
      </w:r>
    </w:p>
    <w:p>
      <w:pPr>
        <w:sectPr>
          <w:pgSz w:w="11900" w:h="16838" w:orient="portrait"/>
          <w:cols w:equalWidth="0" w:num="1">
            <w:col w:w="10620"/>
          </w:cols>
          <w:pgMar w:left="320" w:top="453" w:right="959" w:bottom="1440" w:gutter="0" w:footer="0" w:header="0"/>
        </w:sectPr>
      </w:pPr>
    </w:p>
    <w:bookmarkStart w:id="184" w:name="page185"/>
    <w:bookmarkEnd w:id="18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Intangible assets consisted of the following (in thousands):</w:t>
      </w:r>
    </w:p>
    <w:p>
      <w:pPr>
        <w:spacing w:after="0" w:line="227" w:lineRule="exact"/>
        <w:rPr>
          <w:sz w:val="20"/>
          <w:szCs w:val="20"/>
          <w:color w:val="auto"/>
        </w:rPr>
      </w:pPr>
    </w:p>
    <w:tbl>
      <w:tblPr>
        <w:tblLayout w:type="fixed"/>
        <w:tblInd w:w="1020" w:type="dxa"/>
        <w:tblCellMar>
          <w:top w:w="0" w:type="dxa"/>
          <w:left w:w="0" w:type="dxa"/>
          <w:bottom w:w="0" w:type="dxa"/>
          <w:right w:w="0" w:type="dxa"/>
        </w:tblCellMar>
      </w:tblPr>
      <w:tr>
        <w:trPr>
          <w:trHeight w:val="157"/>
        </w:trPr>
        <w:tc>
          <w:tcPr>
            <w:tcW w:w="5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ind w:left="326"/>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51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5"/>
          </w:tcPr>
          <w:p>
            <w:pPr>
              <w:jc w:val="center"/>
              <w:ind w:right="3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December 31, 2021</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160" w:type="dxa"/>
            <w:vAlign w:val="bottom"/>
          </w:tcPr>
          <w:p>
            <w:pPr>
              <w:spacing w:after="0"/>
              <w:rPr>
                <w:sz w:val="9"/>
                <w:szCs w:val="9"/>
                <w:color w:val="auto"/>
              </w:rPr>
            </w:pPr>
          </w:p>
        </w:tc>
        <w:tc>
          <w:tcPr>
            <w:tcW w:w="1120" w:type="dxa"/>
            <w:vAlign w:val="bottom"/>
            <w:gridSpan w:val="2"/>
          </w:tcPr>
          <w:p>
            <w:pPr>
              <w:jc w:val="center"/>
              <w:ind w:right="420"/>
              <w:spacing w:after="0" w:line="105"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80" w:type="dxa"/>
            <w:vAlign w:val="bottom"/>
          </w:tcPr>
          <w:p>
            <w:pPr>
              <w:spacing w:after="0"/>
              <w:rPr>
                <w:sz w:val="9"/>
                <w:szCs w:val="9"/>
                <w:color w:val="auto"/>
              </w:rPr>
            </w:pPr>
          </w:p>
        </w:tc>
        <w:tc>
          <w:tcPr>
            <w:tcW w:w="9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1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1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Useful Life</w:t>
            </w:r>
          </w:p>
        </w:tc>
        <w:tc>
          <w:tcPr>
            <w:tcW w:w="1040" w:type="dxa"/>
            <w:vAlign w:val="bottom"/>
            <w:gridSpan w:val="3"/>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57"/>
        </w:trPr>
        <w:tc>
          <w:tcPr>
            <w:tcW w:w="5160" w:type="dxa"/>
            <w:vAlign w:val="bottom"/>
          </w:tcPr>
          <w:p>
            <w:pPr>
              <w:spacing w:after="0"/>
              <w:rPr>
                <w:sz w:val="13"/>
                <w:szCs w:val="13"/>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80" w:type="dxa"/>
            <w:vAlign w:val="bottom"/>
          </w:tcPr>
          <w:p>
            <w:pPr>
              <w:spacing w:after="0"/>
              <w:rPr>
                <w:sz w:val="13"/>
                <w:szCs w:val="13"/>
                <w:color w:val="auto"/>
              </w:rPr>
            </w:pPr>
          </w:p>
        </w:tc>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0" w:type="dxa"/>
            <w:vAlign w:val="bottom"/>
          </w:tcPr>
          <w:p>
            <w:pPr>
              <w:spacing w:after="0"/>
              <w:rPr>
                <w:sz w:val="1"/>
                <w:szCs w:val="1"/>
                <w:color w:val="auto"/>
              </w:rPr>
            </w:pPr>
          </w:p>
        </w:tc>
      </w:tr>
      <w:tr>
        <w:trPr>
          <w:trHeight w:val="188"/>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Licenses</w:t>
            </w:r>
          </w:p>
        </w:tc>
        <w:tc>
          <w:tcPr>
            <w:tcW w:w="7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Indefinite</w:t>
            </w:r>
          </w:p>
        </w:tc>
        <w:tc>
          <w:tcPr>
            <w:tcW w:w="4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$241,320</w:t>
            </w: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$241,320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Trademarks / trade names</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Indefinite</w:t>
            </w: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39,470</w:t>
            </w:r>
          </w:p>
        </w:tc>
        <w:tc>
          <w:tcPr>
            <w:tcW w:w="24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39,470</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Technology</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67,310</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(3,415)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63,895</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44,970</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(1,186)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43,784</w:t>
            </w:r>
          </w:p>
        </w:tc>
        <w:tc>
          <w:tcPr>
            <w:tcW w:w="0" w:type="dxa"/>
            <w:vAlign w:val="bottom"/>
          </w:tcPr>
          <w:p>
            <w:pPr>
              <w:spacing w:after="0"/>
              <w:rPr>
                <w:sz w:val="1"/>
                <w:szCs w:val="1"/>
                <w:color w:val="auto"/>
              </w:rPr>
            </w:pPr>
          </w:p>
        </w:tc>
      </w:tr>
      <w:tr>
        <w:trPr>
          <w:trHeight w:val="25"/>
        </w:trPr>
        <w:tc>
          <w:tcPr>
            <w:tcW w:w="5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393,070</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(4,601)</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388,469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1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center"/>
              <w:ind w:left="326"/>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51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5"/>
          </w:tcPr>
          <w:p>
            <w:pPr>
              <w:jc w:val="center"/>
              <w:ind w:right="3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December 31, 2020</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160" w:type="dxa"/>
            <w:vAlign w:val="bottom"/>
          </w:tcPr>
          <w:p>
            <w:pPr>
              <w:spacing w:after="0"/>
              <w:rPr>
                <w:sz w:val="9"/>
                <w:szCs w:val="9"/>
                <w:color w:val="auto"/>
              </w:rPr>
            </w:pPr>
          </w:p>
        </w:tc>
        <w:tc>
          <w:tcPr>
            <w:tcW w:w="1120" w:type="dxa"/>
            <w:vAlign w:val="bottom"/>
            <w:gridSpan w:val="2"/>
          </w:tcPr>
          <w:p>
            <w:pPr>
              <w:jc w:val="center"/>
              <w:ind w:right="420"/>
              <w:spacing w:after="0" w:line="105"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80" w:type="dxa"/>
            <w:vAlign w:val="bottom"/>
          </w:tcPr>
          <w:p>
            <w:pPr>
              <w:spacing w:after="0"/>
              <w:rPr>
                <w:sz w:val="9"/>
                <w:szCs w:val="9"/>
                <w:color w:val="auto"/>
              </w:rPr>
            </w:pPr>
          </w:p>
        </w:tc>
        <w:tc>
          <w:tcPr>
            <w:tcW w:w="9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1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1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Useful Life</w:t>
            </w:r>
          </w:p>
        </w:tc>
        <w:tc>
          <w:tcPr>
            <w:tcW w:w="1040" w:type="dxa"/>
            <w:vAlign w:val="bottom"/>
            <w:gridSpan w:val="3"/>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57"/>
        </w:trPr>
        <w:tc>
          <w:tcPr>
            <w:tcW w:w="5160" w:type="dxa"/>
            <w:vAlign w:val="bottom"/>
          </w:tcPr>
          <w:p>
            <w:pPr>
              <w:spacing w:after="0"/>
              <w:rPr>
                <w:sz w:val="13"/>
                <w:szCs w:val="13"/>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80" w:type="dxa"/>
            <w:vAlign w:val="bottom"/>
          </w:tcPr>
          <w:p>
            <w:pPr>
              <w:spacing w:after="0"/>
              <w:rPr>
                <w:sz w:val="13"/>
                <w:szCs w:val="13"/>
                <w:color w:val="auto"/>
              </w:rPr>
            </w:pPr>
          </w:p>
        </w:tc>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0" w:type="dxa"/>
            <w:vAlign w:val="bottom"/>
          </w:tcPr>
          <w:p>
            <w:pPr>
              <w:spacing w:after="0"/>
              <w:rPr>
                <w:sz w:val="1"/>
                <w:szCs w:val="1"/>
                <w:color w:val="auto"/>
              </w:rPr>
            </w:pPr>
          </w:p>
        </w:tc>
      </w:tr>
      <w:tr>
        <w:trPr>
          <w:trHeight w:val="188"/>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Regulatory licenses</w:t>
            </w:r>
          </w:p>
        </w:tc>
        <w:tc>
          <w:tcPr>
            <w:tcW w:w="7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Indefinite</w:t>
            </w: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Acquired technology</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13,690</w:t>
            </w:r>
          </w:p>
        </w:tc>
        <w:tc>
          <w:tcPr>
            <w:tcW w:w="2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(1,879)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11,811</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53,620</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(3,844)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49,776</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Trade name</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5"/>
        </w:trPr>
        <w:tc>
          <w:tcPr>
            <w:tcW w:w="5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68,279</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62,199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Amortization of intangible assets for the periods from October 15, 2021 through December 31, 2021 and January 1, 2021 through October 14,</w:t>
      </w:r>
    </w:p>
    <w:p>
      <w:pPr>
        <w:spacing w:after="0" w:line="28" w:lineRule="exact"/>
        <w:rPr>
          <w:sz w:val="20"/>
          <w:szCs w:val="20"/>
          <w:color w:val="auto"/>
        </w:rPr>
      </w:pPr>
    </w:p>
    <w:p>
      <w:pPr>
        <w:ind w:left="620" w:right="300"/>
        <w:spacing w:after="0" w:line="271" w:lineRule="auto"/>
        <w:rPr>
          <w:sz w:val="20"/>
          <w:szCs w:val="20"/>
          <w:color w:val="auto"/>
        </w:rPr>
      </w:pPr>
      <w:r>
        <w:rPr>
          <w:rFonts w:ascii="Times New Roman" w:cs="Times New Roman" w:eastAsia="Times New Roman" w:hAnsi="Times New Roman"/>
          <w:sz w:val="16"/>
          <w:szCs w:val="16"/>
          <w:color w:val="auto"/>
        </w:rPr>
        <w:t>2021 and the year ended December 31, 2020 was $4.6 million, $5.1 million and $6.5 million, respectively, and is included in “Depreciation and amortization” in the statements of operations.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Estimated future amortization for definite-lived intangible assets as of December 31, 2021 is as follows (in thousands):</w:t>
      </w:r>
    </w:p>
    <w:p>
      <w:pPr>
        <w:spacing w:after="0" w:line="212" w:lineRule="exact"/>
        <w:rPr>
          <w:sz w:val="20"/>
          <w:szCs w:val="20"/>
          <w:color w:val="auto"/>
        </w:rPr>
      </w:pPr>
    </w:p>
    <w:tbl>
      <w:tblPr>
        <w:tblLayout w:type="fixed"/>
        <w:tblInd w:w="222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7"/>
        </w:trPr>
        <w:tc>
          <w:tcPr>
            <w:tcW w:w="2500" w:type="dxa"/>
            <w:vAlign w:val="bottom"/>
            <w:tcBorders>
              <w:bottom w:val="single" w:sz="8" w:color="CCEEFF"/>
            </w:tcBorders>
          </w:tcPr>
          <w:p>
            <w:pPr>
              <w:spacing w:after="0"/>
              <w:rPr>
                <w:sz w:val="13"/>
                <w:szCs w:val="13"/>
                <w:color w:val="auto"/>
              </w:rPr>
            </w:pPr>
          </w:p>
        </w:tc>
        <w:tc>
          <w:tcPr>
            <w:tcW w:w="35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Borders>
              <w:bottom w:val="single" w:sz="8" w:color="CCEEFF"/>
            </w:tcBorders>
          </w:tcPr>
          <w:p>
            <w:pPr>
              <w:spacing w:after="0"/>
              <w:rPr>
                <w:sz w:val="13"/>
                <w:szCs w:val="13"/>
                <w:color w:val="auto"/>
              </w:rPr>
            </w:pPr>
          </w:p>
        </w:tc>
      </w:tr>
      <w:tr>
        <w:trPr>
          <w:trHeight w:val="176"/>
        </w:trPr>
        <w:tc>
          <w:tcPr>
            <w:tcW w:w="25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Year ending December 31:</w:t>
            </w:r>
          </w:p>
        </w:tc>
        <w:tc>
          <w:tcPr>
            <w:tcW w:w="3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96"/>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21,811</w:t>
            </w:r>
          </w:p>
        </w:tc>
      </w:tr>
      <w:tr>
        <w:trPr>
          <w:trHeight w:val="19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3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21,811</w:t>
            </w:r>
          </w:p>
        </w:tc>
      </w:tr>
      <w:tr>
        <w:trPr>
          <w:trHeight w:val="196"/>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21,871</w:t>
            </w:r>
          </w:p>
        </w:tc>
      </w:tr>
      <w:tr>
        <w:trPr>
          <w:trHeight w:val="19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18,896</w:t>
            </w:r>
          </w:p>
        </w:tc>
      </w:tr>
      <w:tr>
        <w:trPr>
          <w:trHeight w:val="196"/>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7,628</w:t>
            </w:r>
          </w:p>
        </w:tc>
      </w:tr>
      <w:tr>
        <w:trPr>
          <w:trHeight w:val="19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Thereafter</w:t>
            </w:r>
          </w:p>
        </w:tc>
        <w:tc>
          <w:tcPr>
            <w:tcW w:w="3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15,662</w:t>
            </w:r>
          </w:p>
        </w:tc>
      </w:tr>
      <w:tr>
        <w:trPr>
          <w:trHeight w:val="201"/>
        </w:trPr>
        <w:tc>
          <w:tcPr>
            <w:tcW w:w="2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5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107,679</w:t>
            </w:r>
          </w:p>
        </w:tc>
        <w:tc>
          <w:tcPr>
            <w:tcW w:w="40" w:type="dxa"/>
            <w:vAlign w:val="bottom"/>
          </w:tcPr>
          <w:p>
            <w:pPr>
              <w:spacing w:after="0"/>
              <w:rPr>
                <w:sz w:val="17"/>
                <w:szCs w:val="17"/>
                <w:color w:val="auto"/>
              </w:rPr>
            </w:pPr>
          </w:p>
        </w:tc>
      </w:tr>
      <w:tr>
        <w:trPr>
          <w:trHeight w:val="20"/>
        </w:trPr>
        <w:tc>
          <w:tcPr>
            <w:tcW w:w="2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9"/>
        </w:trPr>
        <w:tc>
          <w:tcPr>
            <w:tcW w:w="2500" w:type="dxa"/>
            <w:vAlign w:val="bottom"/>
          </w:tcPr>
          <w:p>
            <w:pPr>
              <w:spacing w:after="0"/>
              <w:rPr>
                <w:sz w:val="24"/>
                <w:szCs w:val="24"/>
                <w:color w:val="auto"/>
              </w:rPr>
            </w:pPr>
          </w:p>
        </w:tc>
        <w:tc>
          <w:tcPr>
            <w:tcW w:w="3640" w:type="dxa"/>
            <w:vAlign w:val="bottom"/>
            <w:gridSpan w:val="2"/>
          </w:tcPr>
          <w:p>
            <w:pPr>
              <w:jc w:val="right"/>
              <w:ind w:right="2506"/>
              <w:spacing w:after="0"/>
              <w:rPr>
                <w:sz w:val="20"/>
                <w:szCs w:val="20"/>
                <w:color w:val="auto"/>
              </w:rPr>
            </w:pPr>
            <w:r>
              <w:rPr>
                <w:rFonts w:ascii="Times New Roman" w:cs="Times New Roman" w:eastAsia="Times New Roman" w:hAnsi="Times New Roman"/>
                <w:sz w:val="16"/>
                <w:szCs w:val="16"/>
                <w:color w:val="auto"/>
              </w:rPr>
              <w:t>F-31</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300"/>
          </w:cols>
          <w:pgMar w:left="320" w:top="453" w:right="1279" w:bottom="1440" w:gutter="0" w:footer="0" w:header="0"/>
        </w:sectPr>
      </w:pPr>
    </w:p>
    <w:bookmarkStart w:id="185" w:name="page186"/>
    <w:bookmarkEnd w:id="18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6. Consolidated Balance Sheet Components</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 Net</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Accounts receivable, net consisted of the following (in thousands):</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12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9"/>
            <w:vMerge w:val="restart"/>
          </w:tcPr>
          <w:p>
            <w:pPr>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560" w:type="dxa"/>
            <w:vAlign w:val="bottom"/>
          </w:tcPr>
          <w:p>
            <w:pPr>
              <w:spacing w:after="0" w:line="20" w:lineRule="exact"/>
              <w:rPr>
                <w:sz w:val="1"/>
                <w:szCs w:val="1"/>
                <w:color w:val="auto"/>
              </w:rPr>
            </w:pPr>
          </w:p>
        </w:tc>
        <w:tc>
          <w:tcPr>
            <w:tcW w:w="860" w:type="dxa"/>
            <w:vAlign w:val="bottom"/>
            <w:gridSpan w:val="5"/>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5"/>
        </w:trPr>
        <w:tc>
          <w:tcPr>
            <w:tcW w:w="12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9"/>
            <w:vMerge w:val="continue"/>
          </w:tcPr>
          <w:p>
            <w:pPr>
              <w:spacing w:after="0"/>
              <w:rPr>
                <w:sz w:val="11"/>
                <w:szCs w:val="11"/>
                <w:color w:val="auto"/>
              </w:rPr>
            </w:pPr>
          </w:p>
        </w:tc>
        <w:tc>
          <w:tcPr>
            <w:tcW w:w="560" w:type="dxa"/>
            <w:vAlign w:val="bottom"/>
            <w:tcBorders>
              <w:left w:val="single" w:sz="8" w:color="auto"/>
            </w:tcBorders>
          </w:tcPr>
          <w:p>
            <w:pPr>
              <w:spacing w:after="0"/>
              <w:rPr>
                <w:sz w:val="11"/>
                <w:szCs w:val="11"/>
                <w:color w:val="auto"/>
              </w:rPr>
            </w:pPr>
          </w:p>
        </w:tc>
        <w:tc>
          <w:tcPr>
            <w:tcW w:w="8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Borders>
              <w:top w:val="single" w:sz="8" w:color="auto"/>
            </w:tcBorders>
            <w:gridSpan w:val="5"/>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left w:val="single" w:sz="8" w:color="auto"/>
            </w:tcBorders>
          </w:tcPr>
          <w:p>
            <w:pPr>
              <w:spacing w:after="0"/>
              <w:rPr>
                <w:sz w:val="9"/>
                <w:szCs w:val="9"/>
                <w:color w:val="auto"/>
              </w:rPr>
            </w:pPr>
          </w:p>
        </w:tc>
        <w:tc>
          <w:tcPr>
            <w:tcW w:w="760" w:type="dxa"/>
            <w:vAlign w:val="bottom"/>
            <w:tcBorders>
              <w:top w:val="single" w:sz="8" w:color="auto"/>
            </w:tcBorders>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45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60" w:type="dxa"/>
            <w:vAlign w:val="bottom"/>
            <w:tcBorders>
              <w:left w:val="single" w:sz="8" w:color="auto"/>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accounts receivable</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tcBorders>
              <w:left w:val="single" w:sz="8" w:color="auto"/>
            </w:tcBorders>
            <w:shd w:val="clear" w:color="auto" w:fill="CCEEFF"/>
          </w:tcPr>
          <w:p>
            <w:pPr>
              <w:spacing w:after="0"/>
              <w:rPr>
                <w:sz w:val="16"/>
                <w:szCs w:val="16"/>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Unbilled receivables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5,448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receivables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Total accounts receivable</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18,352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allowance for doubtful accounts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4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18,142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left w:val="single" w:sz="8" w:color="auto"/>
            </w:tcBorders>
          </w:tcPr>
          <w:p>
            <w:pPr>
              <w:spacing w:after="0"/>
              <w:rPr>
                <w:sz w:val="17"/>
                <w:szCs w:val="17"/>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Current Assets</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7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current assets consisted of the following (in thousands):</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8"/>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0" w:type="dxa"/>
            <w:vAlign w:val="bottom"/>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8"/>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top w:val="single" w:sz="8" w:color="auto"/>
            </w:tcBorders>
            <w:gridSpan w:val="4"/>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top w:val="single" w:sz="8" w:color="auto"/>
            </w:tcBorders>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240" w:type="dxa"/>
            <w:vAlign w:val="bottom"/>
            <w:gridSpan w:val="5"/>
          </w:tcPr>
          <w:p>
            <w:pPr>
              <w:ind w:left="72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4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4,784</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left w:val="single" w:sz="8" w:color="CCEEFF"/>
            </w:tcBorders>
            <w:gridSpan w:val="2"/>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Customer consideration asset, current (Note 10)</w:t>
            </w:r>
          </w:p>
        </w:tc>
        <w:tc>
          <w:tcPr>
            <w:tcW w:w="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4"/>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4,784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tcBorders>
              <w:left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Equipment and Software, Net</w:t>
            </w: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7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equipment and software, net consisted of the following (in thousands):</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8"/>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5"/>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8"/>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top w:val="single" w:sz="8" w:color="auto"/>
            </w:tcBorders>
            <w:gridSpan w:val="4"/>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20" w:type="dxa"/>
            <w:vAlign w:val="bottom"/>
            <w:gridSpan w:val="5"/>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Borders>
              <w:top w:val="single" w:sz="8" w:color="auto"/>
            </w:tcBorders>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45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Internal-use software</w:t>
            </w:r>
          </w:p>
        </w:tc>
        <w:tc>
          <w:tcPr>
            <w:tcW w:w="620" w:type="dxa"/>
            <w:vAlign w:val="bottom"/>
            <w:gridSpan w:val="2"/>
            <w:shd w:val="clear" w:color="auto" w:fill="CCEEFF"/>
          </w:tcPr>
          <w:p>
            <w:pPr>
              <w:spacing w:after="0"/>
              <w:rPr>
                <w:sz w:val="16"/>
                <w:szCs w:val="16"/>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tcBorders>
              <w:left w:val="single" w:sz="8" w:color="CCEEFF"/>
            </w:tcBorders>
            <w:shd w:val="clear" w:color="auto" w:fill="CCEEFF"/>
          </w:tcPr>
          <w:p>
            <w:pPr>
              <w:spacing w:after="0"/>
              <w:rPr>
                <w:sz w:val="16"/>
                <w:szCs w:val="16"/>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Purchased software</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Other computer and network equipment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2,991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Property, equipment and software, gross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6,854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22,740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amortization and depreciation</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4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gridSpan w:val="2"/>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6,121</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20" w:right="460" w:firstLine="400"/>
        <w:spacing w:after="0" w:line="267" w:lineRule="auto"/>
        <w:rPr>
          <w:sz w:val="20"/>
          <w:szCs w:val="20"/>
          <w:color w:val="auto"/>
        </w:rPr>
      </w:pPr>
      <w:r>
        <w:rPr>
          <w:rFonts w:ascii="Times New Roman" w:cs="Times New Roman" w:eastAsia="Times New Roman" w:hAnsi="Times New Roman"/>
          <w:sz w:val="16"/>
          <w:szCs w:val="16"/>
          <w:color w:val="auto"/>
        </w:rPr>
        <w:t>For the periods from October 15, 2021 through December 31, 2021 and January 1, 2021 through October 14, 2021, and the year ended December 31, 2020, depreciation and amortization expense related to property, equipment and software amounted to approximately $0.8 million, $4.4 million and $2.7 million, respectively, of which $0.4 million, $3.6 million and $0.9 million, respectively, related to amortization expense of capitalized internal-use software placed in service.</w:t>
      </w:r>
    </w:p>
    <w:p>
      <w:pPr>
        <w:spacing w:after="0" w:line="162" w:lineRule="exact"/>
        <w:rPr>
          <w:sz w:val="20"/>
          <w:szCs w:val="20"/>
          <w:color w:val="auto"/>
        </w:rPr>
      </w:pPr>
    </w:p>
    <w:p>
      <w:pPr>
        <w:ind w:left="620" w:firstLine="400"/>
        <w:spacing w:after="0" w:line="291" w:lineRule="auto"/>
        <w:rPr>
          <w:sz w:val="20"/>
          <w:szCs w:val="20"/>
          <w:color w:val="auto"/>
        </w:rPr>
      </w:pPr>
      <w:r>
        <w:rPr>
          <w:rFonts w:ascii="Times New Roman" w:cs="Times New Roman" w:eastAsia="Times New Roman" w:hAnsi="Times New Roman"/>
          <w:sz w:val="16"/>
          <w:szCs w:val="16"/>
          <w:color w:val="auto"/>
        </w:rPr>
        <w:t>ICE contributed to the Opco software obtained for internal use (Note 10). In connection with the Business Combination, this internal-use software was measured at fair value on the acquisition date and is included in the</w:t>
      </w:r>
    </w:p>
    <w:p>
      <w:pPr>
        <w:spacing w:after="0" w:line="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F-32</w:t>
      </w:r>
    </w:p>
    <w:p>
      <w:pPr>
        <w:sectPr>
          <w:pgSz w:w="11900" w:h="16838" w:orient="portrait"/>
          <w:cols w:equalWidth="0" w:num="1">
            <w:col w:w="10580"/>
          </w:cols>
          <w:pgMar w:left="320" w:top="453" w:right="999" w:bottom="1440" w:gutter="0" w:footer="0" w:header="0"/>
        </w:sectPr>
      </w:pPr>
    </w:p>
    <w:bookmarkStart w:id="186" w:name="page187"/>
    <w:bookmarkEnd w:id="18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00"/>
        <w:spacing w:after="0" w:line="291" w:lineRule="auto"/>
        <w:rPr>
          <w:sz w:val="20"/>
          <w:szCs w:val="20"/>
          <w:color w:val="auto"/>
        </w:rPr>
      </w:pPr>
      <w:r>
        <w:rPr>
          <w:rFonts w:ascii="Times New Roman" w:cs="Times New Roman" w:eastAsia="Times New Roman" w:hAnsi="Times New Roman"/>
          <w:sz w:val="16"/>
          <w:szCs w:val="16"/>
          <w:color w:val="auto"/>
        </w:rPr>
        <w:t>fair value of technology acquired by the Company (Note 4). As of December 31, 2020, the total amount capitalized was $19.8 million, $17.4 million of which had been placed in service.</w:t>
      </w:r>
    </w:p>
    <w:p>
      <w:pPr>
        <w:spacing w:after="0" w:line="142" w:lineRule="exact"/>
        <w:rPr>
          <w:sz w:val="20"/>
          <w:szCs w:val="20"/>
          <w:color w:val="auto"/>
        </w:rPr>
      </w:pPr>
    </w:p>
    <w:p>
      <w:pPr>
        <w:ind w:left="620" w:firstLine="400"/>
        <w:spacing w:after="0" w:line="263" w:lineRule="auto"/>
        <w:rPr>
          <w:sz w:val="20"/>
          <w:szCs w:val="20"/>
          <w:color w:val="auto"/>
        </w:rPr>
      </w:pPr>
      <w:r>
        <w:rPr>
          <w:rFonts w:ascii="Times New Roman" w:cs="Times New Roman" w:eastAsia="Times New Roman" w:hAnsi="Times New Roman"/>
          <w:sz w:val="16"/>
          <w:szCs w:val="16"/>
          <w:color w:val="auto"/>
        </w:rPr>
        <w:t>We entered into a software license agreement that required a minimum usage fee of approximately $0.7 million annually for the contract term. The license was capitalized at the present value of minimum license payments over the contract term. We recognized a corresponding liability for the license payments. The software license was being amortized over the contract term. During the period from October 15, 2021 through December 31, 2021, we terminated the software license agreement. As a result of the termination, we recorded an impairment charge of approximately $1.2 million for the impairment of the related asset to a fair value of $0 and income of $1.3 million for the extinguishment of the related liability. The impairment charge and income are reflected as “Impairment of long-lived assets” and “Other income (expense), net”, respectively.</w:t>
      </w:r>
    </w:p>
    <w:p>
      <w:pPr>
        <w:spacing w:after="0" w:line="163" w:lineRule="exact"/>
        <w:rPr>
          <w:sz w:val="20"/>
          <w:szCs w:val="20"/>
          <w:color w:val="auto"/>
        </w:rPr>
      </w:pPr>
    </w:p>
    <w:p>
      <w:pPr>
        <w:ind w:left="620" w:right="80" w:firstLine="400"/>
        <w:spacing w:after="0" w:line="262" w:lineRule="auto"/>
        <w:rPr>
          <w:sz w:val="20"/>
          <w:szCs w:val="20"/>
          <w:color w:val="auto"/>
        </w:rPr>
      </w:pPr>
      <w:r>
        <w:rPr>
          <w:rFonts w:ascii="Times New Roman" w:cs="Times New Roman" w:eastAsia="Times New Roman" w:hAnsi="Times New Roman"/>
          <w:sz w:val="16"/>
          <w:szCs w:val="16"/>
          <w:color w:val="auto"/>
        </w:rPr>
        <w:t>During 2020, various customizations were made to an application being developed by a third party for Bakkt Marketplace to expand the application’s functionality to meet our business requirements. The application was customized to include necessary features, and its testing began in the second half of 2020. The testing indicated that the desired results would not be met, which was identified as a triggering event for impairment analysis that concluded that the application would not provide a viable solution for its business requirements. As a result, the carrying value of the capitalized internal-use software was impaired as of December 31, 2020. We recorded an impairment charge of approximately $11.5 million to reduce the carrying amount of internal-use software within property, equipment and software to a $0 fair value. The impairment charge is included in “Impairment of long-lived assets”.</w:t>
      </w:r>
    </w:p>
    <w:p>
      <w:pPr>
        <w:spacing w:after="0" w:line="364" w:lineRule="exact"/>
        <w:rPr>
          <w:sz w:val="20"/>
          <w:szCs w:val="20"/>
          <w:color w:val="auto"/>
        </w:rPr>
      </w:pPr>
    </w:p>
    <w:p>
      <w:pPr>
        <w:ind w:left="620" w:firstLine="400"/>
        <w:spacing w:after="0" w:line="273" w:lineRule="auto"/>
        <w:rPr>
          <w:sz w:val="20"/>
          <w:szCs w:val="20"/>
          <w:color w:val="auto"/>
        </w:rPr>
      </w:pPr>
      <w:r>
        <w:rPr>
          <w:rFonts w:ascii="Times New Roman" w:cs="Times New Roman" w:eastAsia="Times New Roman" w:hAnsi="Times New Roman"/>
          <w:sz w:val="16"/>
          <w:szCs w:val="16"/>
          <w:color w:val="auto"/>
        </w:rPr>
        <w:t>During 2020, we terminated a software license agreement in accordance with the terms of the agreement. The license was related to the underlying clearing software utilized by Bakkt Clearing and had a five-year term. As a result of the termination, we recorded an impairment charge of approximately $1.4 million to write-off the license to a $0 fair value. The impairment charge is included in “Impairment of long-lived assets”.</w:t>
      </w:r>
    </w:p>
    <w:p>
      <w:pPr>
        <w:spacing w:after="0" w:line="157" w:lineRule="exact"/>
        <w:rPr>
          <w:sz w:val="20"/>
          <w:szCs w:val="20"/>
          <w:color w:val="auto"/>
        </w:rPr>
      </w:pPr>
    </w:p>
    <w:p>
      <w:pPr>
        <w:ind w:left="620" w:right="340" w:firstLine="400"/>
        <w:spacing w:after="0" w:line="273" w:lineRule="auto"/>
        <w:rPr>
          <w:sz w:val="20"/>
          <w:szCs w:val="20"/>
          <w:color w:val="auto"/>
        </w:rPr>
      </w:pPr>
      <w:r>
        <w:rPr>
          <w:rFonts w:ascii="Times New Roman" w:cs="Times New Roman" w:eastAsia="Times New Roman" w:hAnsi="Times New Roman"/>
          <w:sz w:val="16"/>
          <w:szCs w:val="16"/>
          <w:color w:val="auto"/>
        </w:rPr>
        <w:t>During 2020, we purchased payment software to use in the roll-out of our alternative payment method. We ultimately built out our alternative payment method offering using API-based integrations instead of the acquired payment software. As such, we recorded an impairment charge of approximately $2.5 million to write-off the software to a $0 fair value that is included in “Impairment of long-lived assets”.</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Deposits with Clearinghouse</w:t>
      </w:r>
    </w:p>
    <w:p>
      <w:pPr>
        <w:spacing w:after="0" w:line="114" w:lineRule="exact"/>
        <w:rPr>
          <w:sz w:val="20"/>
          <w:szCs w:val="20"/>
          <w:color w:val="auto"/>
        </w:rPr>
      </w:pPr>
    </w:p>
    <w:p>
      <w:pPr>
        <w:ind w:left="620" w:right="280" w:firstLine="400"/>
        <w:spacing w:after="0" w:line="291" w:lineRule="auto"/>
        <w:rPr>
          <w:sz w:val="20"/>
          <w:szCs w:val="20"/>
          <w:color w:val="auto"/>
        </w:rPr>
      </w:pPr>
      <w:r>
        <w:rPr>
          <w:rFonts w:ascii="Times New Roman" w:cs="Times New Roman" w:eastAsia="Times New Roman" w:hAnsi="Times New Roman"/>
          <w:sz w:val="16"/>
          <w:szCs w:val="16"/>
          <w:color w:val="auto"/>
        </w:rPr>
        <w:t>Deposits with clearinghouse, current and noncurrent, consisted of the default resource contribution (Note 8). The default resource contribution amounted to approximately $15.2 million and $35.4 million as of December 31, 2021 and 2020, respectively.</w:t>
      </w:r>
    </w:p>
    <w:p>
      <w:pPr>
        <w:spacing w:after="0" w:line="142" w:lineRule="exact"/>
        <w:rPr>
          <w:sz w:val="20"/>
          <w:szCs w:val="20"/>
          <w:color w:val="auto"/>
        </w:rPr>
      </w:pPr>
    </w:p>
    <w:p>
      <w:pPr>
        <w:ind w:left="620" w:right="200" w:firstLine="400"/>
        <w:spacing w:after="0" w:line="267" w:lineRule="auto"/>
        <w:rPr>
          <w:sz w:val="20"/>
          <w:szCs w:val="20"/>
          <w:color w:val="auto"/>
        </w:rPr>
      </w:pPr>
      <w:r>
        <w:rPr>
          <w:rFonts w:ascii="Times New Roman" w:cs="Times New Roman" w:eastAsia="Times New Roman" w:hAnsi="Times New Roman"/>
          <w:sz w:val="16"/>
          <w:szCs w:val="16"/>
          <w:color w:val="auto"/>
        </w:rPr>
        <w:t>On January 19, 2021, ICUS self-certified a rule change with the CFTC, reducing Bakkt Trust’s “skin-in-the-game” contribution to the ICUS guaranty fund to approximately $15.2 million from $35.4 million. Following the two-week self-certification period, in which no comments were received from the CFTC, ICUS proceeded with the reduction. On February 3, 2021, ICUS returned $20.2 million to Bakkt Trust. The default resource contribution includes less than $0.1 million of cash margins held with ICUS.</w:t>
      </w:r>
    </w:p>
    <w:p>
      <w:pPr>
        <w:spacing w:after="0" w:line="1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F-33</w:t>
      </w:r>
    </w:p>
    <w:p>
      <w:pPr>
        <w:sectPr>
          <w:pgSz w:w="11900" w:h="16838" w:orient="portrait"/>
          <w:cols w:equalWidth="0" w:num="1">
            <w:col w:w="10620"/>
          </w:cols>
          <w:pgMar w:left="320" w:top="453" w:right="959" w:bottom="1440" w:gutter="0" w:footer="0" w:header="0"/>
        </w:sectPr>
      </w:pPr>
    </w:p>
    <w:bookmarkStart w:id="187" w:name="page188"/>
    <w:bookmarkEnd w:id="18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Other Assets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Other assets consisted of the following (in thousands):</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1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7"/>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40" w:type="dxa"/>
            <w:vAlign w:val="bottom"/>
          </w:tcPr>
          <w:p>
            <w:pPr>
              <w:spacing w:after="0" w:line="20" w:lineRule="exact"/>
              <w:rPr>
                <w:sz w:val="1"/>
                <w:szCs w:val="1"/>
                <w:color w:val="auto"/>
              </w:rPr>
            </w:pPr>
          </w:p>
        </w:tc>
        <w:tc>
          <w:tcPr>
            <w:tcW w:w="8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Predecessor</w:t>
            </w:r>
          </w:p>
        </w:tc>
        <w:tc>
          <w:tcPr>
            <w:tcW w:w="0" w:type="dxa"/>
            <w:vAlign w:val="bottom"/>
          </w:tcPr>
          <w:p>
            <w:pPr>
              <w:spacing w:after="0" w:line="20" w:lineRule="exact"/>
              <w:rPr>
                <w:sz w:val="1"/>
                <w:szCs w:val="1"/>
                <w:color w:val="auto"/>
              </w:rPr>
            </w:pPr>
          </w:p>
        </w:tc>
      </w:tr>
      <w:tr>
        <w:trPr>
          <w:trHeight w:val="135"/>
        </w:trPr>
        <w:tc>
          <w:tcPr>
            <w:tcW w:w="12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7"/>
            <w:vMerge w:val="continue"/>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top w:val="single" w:sz="8" w:color="auto"/>
            </w:tcBorders>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Borders>
              <w:top w:val="single" w:sz="8" w:color="auto"/>
            </w:tcBorders>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46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consideration asset, noncurrent (Note 10)</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4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 (Note 17)</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11,239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gridSpan w:val="6"/>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2,640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598</w:t>
            </w:r>
          </w:p>
        </w:tc>
        <w:tc>
          <w:tcPr>
            <w:tcW w:w="0" w:type="dxa"/>
            <w:vAlign w:val="bottom"/>
          </w:tcPr>
          <w:p>
            <w:pPr>
              <w:spacing w:after="0"/>
              <w:rPr>
                <w:sz w:val="1"/>
                <w:szCs w:val="1"/>
                <w:color w:val="auto"/>
              </w:rPr>
            </w:pPr>
          </w:p>
        </w:tc>
      </w:tr>
      <w:tr>
        <w:trPr>
          <w:trHeight w:val="25"/>
        </w:trPr>
        <w:tc>
          <w:tcPr>
            <w:tcW w:w="12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520" w:type="dxa"/>
            <w:vAlign w:val="bottom"/>
            <w:gridSpan w:val="2"/>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13,879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left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Payable and Accrued Liabilities</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8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Accounts payable and accrued liabilities consisted of the following (in thousands):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6"/>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40" w:type="dxa"/>
            <w:vAlign w:val="bottom"/>
          </w:tcPr>
          <w:p>
            <w:pPr>
              <w:spacing w:after="0"/>
              <w:rPr>
                <w:sz w:val="19"/>
                <w:szCs w:val="19"/>
                <w:color w:val="auto"/>
              </w:rPr>
            </w:pPr>
          </w:p>
        </w:tc>
        <w:tc>
          <w:tcPr>
            <w:tcW w:w="8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Predecessor</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6"/>
            <w:vMerge w:val="continue"/>
          </w:tcPr>
          <w:p>
            <w:pPr>
              <w:spacing w:after="0"/>
              <w:rPr>
                <w:sz w:val="11"/>
                <w:szCs w:val="11"/>
                <w:color w:val="auto"/>
              </w:rPr>
            </w:pPr>
          </w:p>
        </w:tc>
        <w:tc>
          <w:tcPr>
            <w:tcW w:w="640" w:type="dxa"/>
            <w:vAlign w:val="bottom"/>
            <w:tcBorders>
              <w:left w:val="single" w:sz="8" w:color="auto"/>
            </w:tcBorders>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top w:val="single" w:sz="8" w:color="auto"/>
            </w:tcBorders>
            <w:gridSpan w:val="4"/>
          </w:tcPr>
          <w:p>
            <w:pPr>
              <w:ind w:left="60"/>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left w:val="single" w:sz="8" w:color="auto"/>
            </w:tcBorders>
          </w:tcPr>
          <w:p>
            <w:pPr>
              <w:spacing w:after="0"/>
              <w:rPr>
                <w:sz w:val="9"/>
                <w:szCs w:val="9"/>
                <w:color w:val="auto"/>
              </w:rPr>
            </w:pPr>
          </w:p>
        </w:tc>
        <w:tc>
          <w:tcPr>
            <w:tcW w:w="760" w:type="dxa"/>
            <w:vAlign w:val="bottom"/>
            <w:tcBorders>
              <w:top w:val="single" w:sz="8" w:color="auto"/>
            </w:tcBorders>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46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left w:val="single" w:sz="8" w:color="auto"/>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40" w:type="dxa"/>
            <w:vAlign w:val="bottom"/>
            <w:tcBorders>
              <w:lef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20,130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14,808</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Purchasing card payable</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7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17,698</w:t>
            </w: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12,683</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Salaries and benefits payable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13,349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7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2,267</w:t>
            </w: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64,090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left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Current Liabilities</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8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current liabilities consisted of the following (in thousands):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6"/>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0" w:type="dxa"/>
            <w:vAlign w:val="bottom"/>
          </w:tcPr>
          <w:p>
            <w:pPr>
              <w:spacing w:after="0"/>
              <w:rPr>
                <w:sz w:val="19"/>
                <w:szCs w:val="19"/>
                <w:color w:val="auto"/>
              </w:rPr>
            </w:pPr>
          </w:p>
        </w:tc>
        <w:tc>
          <w:tcPr>
            <w:tcW w:w="100" w:type="dxa"/>
            <w:vAlign w:val="bottom"/>
            <w:vMerge w:val="restart"/>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Predecessor</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Borders>
              <w:top w:val="single" w:sz="8" w:color="auto"/>
            </w:tcBorders>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gridSpan w:val="3"/>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Borders>
              <w:top w:val="single" w:sz="8" w:color="auto"/>
            </w:tcBorders>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46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Participation units liability, current (Note 11)</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lef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4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Current maturities of operating lease liability</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953</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 license obligation, current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7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Current maturities of finance lease liability</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1,075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600" w:type="dxa"/>
            <w:vAlign w:val="bottom"/>
            <w:vMerge w:val="restart"/>
          </w:tcPr>
          <w:p>
            <w:pPr>
              <w:ind w:left="3640"/>
              <w:spacing w:after="0"/>
              <w:rPr>
                <w:sz w:val="20"/>
                <w:szCs w:val="20"/>
                <w:color w:val="auto"/>
              </w:rPr>
            </w:pPr>
            <w:r>
              <w:rPr>
                <w:rFonts w:ascii="Times New Roman" w:cs="Times New Roman" w:eastAsia="Times New Roman" w:hAnsi="Times New Roman"/>
                <w:sz w:val="16"/>
                <w:szCs w:val="16"/>
                <w:color w:val="auto"/>
              </w:rPr>
              <w:t>F-34</w:t>
            </w: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120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3" w:right="1440" w:bottom="1440" w:gutter="0" w:footer="0" w:header="0"/>
        </w:sectPr>
      </w:pPr>
    </w:p>
    <w:bookmarkStart w:id="188" w:name="page189"/>
    <w:bookmarkEnd w:id="18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Other Noncurrent Liabilities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Other noncurrent liabilities consisted of the following (in thousands):</w:t>
      </w:r>
    </w:p>
    <w:p>
      <w:pPr>
        <w:spacing w:after="0" w:line="227" w:lineRule="exact"/>
        <w:rPr>
          <w:sz w:val="20"/>
          <w:szCs w:val="20"/>
          <w:color w:val="auto"/>
        </w:rPr>
      </w:pPr>
    </w:p>
    <w:tbl>
      <w:tblPr>
        <w:tblLayout w:type="fixed"/>
        <w:tblInd w:w="1820" w:type="dxa"/>
        <w:tblCellMar>
          <w:top w:w="0" w:type="dxa"/>
          <w:left w:w="0" w:type="dxa"/>
          <w:bottom w:w="0" w:type="dxa"/>
          <w:right w:w="0" w:type="dxa"/>
        </w:tblCellMar>
      </w:tblPr>
      <w:tr>
        <w:trPr>
          <w:trHeight w:val="22"/>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700" w:type="dxa"/>
            <w:vAlign w:val="bottom"/>
          </w:tcPr>
          <w:p>
            <w:pPr>
              <w:spacing w:after="0" w:line="20" w:lineRule="exact"/>
              <w:rPr>
                <w:sz w:val="1"/>
                <w:szCs w:val="1"/>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5"/>
        </w:trPr>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700" w:type="dxa"/>
            <w:vAlign w:val="bottom"/>
            <w:tcBorders>
              <w:left w:val="single" w:sz="8" w:color="auto"/>
            </w:tcBorders>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760" w:type="dxa"/>
            <w:vAlign w:val="bottom"/>
            <w:tcBorders>
              <w:top w:val="single" w:sz="8" w:color="auto"/>
            </w:tcBorders>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20" w:type="dxa"/>
            <w:vAlign w:val="bottom"/>
          </w:tcPr>
          <w:p>
            <w:pPr>
              <w:spacing w:after="0"/>
              <w:rPr>
                <w:sz w:val="9"/>
                <w:szCs w:val="9"/>
                <w:color w:val="auto"/>
              </w:rPr>
            </w:pPr>
          </w:p>
        </w:tc>
        <w:tc>
          <w:tcPr>
            <w:tcW w:w="700" w:type="dxa"/>
            <w:vAlign w:val="bottom"/>
            <w:tcBorders>
              <w:left w:val="single" w:sz="8" w:color="auto"/>
            </w:tcBorders>
          </w:tcPr>
          <w:p>
            <w:pPr>
              <w:spacing w:after="0"/>
              <w:rPr>
                <w:sz w:val="9"/>
                <w:szCs w:val="9"/>
                <w:color w:val="auto"/>
              </w:rPr>
            </w:pPr>
          </w:p>
        </w:tc>
        <w:tc>
          <w:tcPr>
            <w:tcW w:w="760" w:type="dxa"/>
            <w:vAlign w:val="bottom"/>
            <w:tcBorders>
              <w:top w:val="single" w:sz="8" w:color="auto"/>
            </w:tcBorders>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5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2021</w:t>
            </w:r>
          </w:p>
        </w:tc>
        <w:tc>
          <w:tcPr>
            <w:tcW w:w="220" w:type="dxa"/>
            <w:vAlign w:val="bottom"/>
            <w:tcBorders>
              <w:bottom w:val="single" w:sz="8" w:color="CCEEFF"/>
            </w:tcBorders>
          </w:tcPr>
          <w:p>
            <w:pPr>
              <w:spacing w:after="0"/>
              <w:rPr>
                <w:sz w:val="13"/>
                <w:szCs w:val="13"/>
                <w:color w:val="auto"/>
              </w:rPr>
            </w:pPr>
          </w:p>
        </w:tc>
        <w:tc>
          <w:tcPr>
            <w:tcW w:w="700" w:type="dxa"/>
            <w:vAlign w:val="bottom"/>
            <w:tcBorders>
              <w:left w:val="single" w:sz="8" w:color="auto"/>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 license obligation, noncurrent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700" w:type="dxa"/>
            <w:vAlign w:val="bottom"/>
            <w:tcBorders>
              <w:lef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Participation units liability, non-current (Note 11)</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2,027</w:t>
            </w:r>
          </w:p>
        </w:tc>
        <w:tc>
          <w:tcPr>
            <w:tcW w:w="70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 noncurrent (Note 17)</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10,647</w:t>
            </w:r>
          </w:p>
        </w:tc>
        <w:tc>
          <w:tcPr>
            <w:tcW w:w="70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r>
        <w:trPr>
          <w:trHeight w:val="201"/>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liability, noncurrent</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Borders>
              <w:lef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12,674</w:t>
            </w:r>
          </w:p>
        </w:tc>
        <w:tc>
          <w:tcPr>
            <w:tcW w:w="860" w:type="dxa"/>
            <w:vAlign w:val="bottom"/>
            <w:tcBorders>
              <w:left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7. Tax Receivable Agreement</w:t>
      </w:r>
    </w:p>
    <w:p>
      <w:pPr>
        <w:spacing w:after="0" w:line="114" w:lineRule="exact"/>
        <w:rPr>
          <w:sz w:val="20"/>
          <w:szCs w:val="20"/>
          <w:color w:val="auto"/>
        </w:rPr>
      </w:pPr>
    </w:p>
    <w:p>
      <w:pPr>
        <w:ind w:left="620" w:right="40" w:firstLine="400"/>
        <w:spacing w:after="0" w:line="264" w:lineRule="auto"/>
        <w:rPr>
          <w:sz w:val="20"/>
          <w:szCs w:val="20"/>
          <w:color w:val="auto"/>
        </w:rPr>
      </w:pPr>
      <w:r>
        <w:rPr>
          <w:rFonts w:ascii="Times New Roman" w:cs="Times New Roman" w:eastAsia="Times New Roman" w:hAnsi="Times New Roman"/>
          <w:sz w:val="16"/>
          <w:szCs w:val="16"/>
          <w:color w:val="auto"/>
        </w:rPr>
        <w:t>On October 15, 2021, we entered into a Tax Receivable Agreement with certain Opco Equity Holders. Pursuant to the Tax Receivable Agreement, among other things, holders of Opco common units may, subject to certain conditions, from and after April 15,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65" w:lineRule="exact"/>
        <w:rPr>
          <w:sz w:val="20"/>
          <w:szCs w:val="20"/>
          <w:color w:val="auto"/>
        </w:rPr>
      </w:pPr>
    </w:p>
    <w:p>
      <w:pPr>
        <w:ind w:left="620" w:right="200" w:firstLine="400"/>
        <w:spacing w:after="0" w:line="273" w:lineRule="auto"/>
        <w:rPr>
          <w:sz w:val="20"/>
          <w:szCs w:val="20"/>
          <w:color w:val="auto"/>
        </w:rPr>
      </w:pPr>
      <w:r>
        <w:rPr>
          <w:rFonts w:ascii="Times New Roman" w:cs="Times New Roman" w:eastAsia="Times New Roman" w:hAnsi="Times New Roman"/>
          <w:sz w:val="16"/>
          <w:szCs w:val="16"/>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57" w:lineRule="exact"/>
        <w:rPr>
          <w:sz w:val="20"/>
          <w:szCs w:val="20"/>
          <w:color w:val="auto"/>
        </w:rPr>
      </w:pPr>
    </w:p>
    <w:p>
      <w:pPr>
        <w:ind w:left="620" w:right="60" w:firstLine="400"/>
        <w:spacing w:after="0" w:line="259" w:lineRule="auto"/>
        <w:rPr>
          <w:sz w:val="20"/>
          <w:szCs w:val="20"/>
          <w:color w:val="auto"/>
        </w:rPr>
      </w:pPr>
      <w:r>
        <w:rPr>
          <w:rFonts w:ascii="Times New Roman" w:cs="Times New Roman" w:eastAsia="Times New Roman" w:hAnsi="Times New Roman"/>
          <w:sz w:val="16"/>
          <w:szCs w:val="16"/>
          <w:color w:val="auto"/>
        </w:rPr>
        <w:t>The Tax Receivable Agreement provides for the payment by us to exchanging holders of Opco common units of 85% of certain net income tax benefits, if any, that we realize (or in certain cases is deemed to realize) as a result of these increases in tax basis and certain other tax attributes of Opco and tax benefits related to entering into the Tax Receivable Agreement, including tax benefits attributable to payments under the Tax Receivable Agreement. This payment obligation is an obligation of the Company and not of Opco. For purposes of the Tax Receivable Agreement, the cash tax savings in income tax will be computed by comparing our actual income tax liability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 As of December 31, 2021, no such exchanges have occurred, and as such, no value has been recorded under the Tax Receivable Agreement.</w:t>
      </w:r>
    </w:p>
    <w:p>
      <w:pPr>
        <w:spacing w:after="0" w:line="2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8. Related Parties</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ICE Management and Technical Support</w:t>
      </w:r>
    </w:p>
    <w:p>
      <w:pPr>
        <w:spacing w:after="0" w:line="112" w:lineRule="exact"/>
        <w:rPr>
          <w:sz w:val="20"/>
          <w:szCs w:val="20"/>
          <w:color w:val="auto"/>
        </w:rPr>
      </w:pPr>
    </w:p>
    <w:p>
      <w:pPr>
        <w:ind w:left="620" w:firstLine="400"/>
        <w:spacing w:after="0" w:line="264" w:lineRule="auto"/>
        <w:rPr>
          <w:sz w:val="20"/>
          <w:szCs w:val="20"/>
          <w:color w:val="auto"/>
        </w:rPr>
      </w:pPr>
      <w:r>
        <w:rPr>
          <w:rFonts w:ascii="Times New Roman" w:cs="Times New Roman" w:eastAsia="Times New Roman" w:hAnsi="Times New Roman"/>
          <w:sz w:val="16"/>
          <w:szCs w:val="16"/>
          <w:color w:val="auto"/>
        </w:rPr>
        <w:t>In December 2018, we entered into an intercompany services agreement with ICE to provide management and technical support services. For the period October 15, 2021 through December 31, 2021 and January 1, 2021 through October 14, 2021 and the year ended December 31, 2020, expenses of $0, $1.5 million and $3.1 million, respectively have been recorded in connection with this agreement and are reflected as “Related party expenses (affiliate in Predecessor periods)” in the statements of operations. Prior to the Business Combination, ICE also made various payroll distributions and payments to vendors on behalf of Opco and made unitary state income</w:t>
      </w:r>
    </w:p>
    <w:p>
      <w:pPr>
        <w:spacing w:after="0" w:line="1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F-35</w:t>
      </w:r>
    </w:p>
    <w:p>
      <w:pPr>
        <w:sectPr>
          <w:pgSz w:w="11900" w:h="16838" w:orient="portrait"/>
          <w:cols w:equalWidth="0" w:num="1">
            <w:col w:w="10620"/>
          </w:cols>
          <w:pgMar w:left="320" w:top="453" w:right="959" w:bottom="1440" w:gutter="0" w:footer="0" w:header="0"/>
        </w:sectPr>
      </w:pPr>
    </w:p>
    <w:bookmarkStart w:id="189" w:name="page190"/>
    <w:bookmarkEnd w:id="18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taxes on behalf of DACC Technologies, Inc., and Digital Asset Custody Company, Inc. (collectively with DACC Technologies, Inc., “DACC”).</w:t>
      </w:r>
    </w:p>
    <w:p>
      <w:pPr>
        <w:spacing w:after="0" w:line="208" w:lineRule="exact"/>
        <w:rPr>
          <w:sz w:val="20"/>
          <w:szCs w:val="20"/>
          <w:color w:val="auto"/>
        </w:rPr>
      </w:pPr>
    </w:p>
    <w:p>
      <w:pPr>
        <w:ind w:left="620" w:firstLine="400"/>
        <w:spacing w:after="0" w:line="264" w:lineRule="auto"/>
        <w:rPr>
          <w:sz w:val="20"/>
          <w:szCs w:val="20"/>
          <w:color w:val="auto"/>
        </w:rPr>
      </w:pPr>
      <w:r>
        <w:rPr>
          <w:rFonts w:ascii="Times New Roman" w:cs="Times New Roman" w:eastAsia="Times New Roman" w:hAnsi="Times New Roman"/>
          <w:sz w:val="16"/>
          <w:szCs w:val="16"/>
          <w:color w:val="auto"/>
        </w:rPr>
        <w:t>Upon consummation of the Business Combination, we entered into a Transition Services Agreement (“TSA”) with ICE in which ICE will provide insurance, digital warehouse, data center, technical support, and other transition-related services in exchange for quarterly service fees to be paid by us. We recognized $0.6 million of expense related to the TSA for the period from October 15, 2021 through December 31, 2021, which is reflected as “Related party expenses (affiliate in Predecessor periods)” in the statements of operations and “Due to related party (affiliate in Predecessor period)” in the balance sheets.</w:t>
      </w: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Purchase and Sale Agreement with Executive</w:t>
      </w:r>
    </w:p>
    <w:p>
      <w:pPr>
        <w:spacing w:after="0" w:line="112" w:lineRule="exact"/>
        <w:rPr>
          <w:sz w:val="20"/>
          <w:szCs w:val="20"/>
          <w:color w:val="auto"/>
        </w:rPr>
      </w:pPr>
    </w:p>
    <w:p>
      <w:pPr>
        <w:ind w:left="620" w:right="60" w:firstLine="400"/>
        <w:spacing w:after="0" w:line="267" w:lineRule="auto"/>
        <w:rPr>
          <w:sz w:val="20"/>
          <w:szCs w:val="20"/>
          <w:color w:val="auto"/>
        </w:rPr>
      </w:pPr>
      <w:r>
        <w:rPr>
          <w:rFonts w:ascii="Times New Roman" w:cs="Times New Roman" w:eastAsia="Times New Roman" w:hAnsi="Times New Roman"/>
          <w:sz w:val="16"/>
          <w:szCs w:val="16"/>
          <w:color w:val="auto"/>
        </w:rPr>
        <w:t>A Company executive was a party to the Purchase and Sale Agreement entered into during April 2019, by and among, DACC, the Company, and each of the sellers of DACC. The Company executive owned approximately three percent of DACC’s equity prior to the sale and was paid approximately $0.2 million as consideration for the shares owned at closing and additional amount of less than $0.1 million upon the release of the escrow amount during 2020.</w:t>
      </w:r>
    </w:p>
    <w:p>
      <w:pPr>
        <w:spacing w:after="0" w:line="2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Triparty Agreements</w:t>
      </w:r>
    </w:p>
    <w:p>
      <w:pPr>
        <w:spacing w:after="0" w:line="112" w:lineRule="exact"/>
        <w:rPr>
          <w:sz w:val="20"/>
          <w:szCs w:val="20"/>
          <w:color w:val="auto"/>
        </w:rPr>
      </w:pPr>
    </w:p>
    <w:p>
      <w:pPr>
        <w:ind w:left="620" w:right="60" w:firstLine="400"/>
        <w:spacing w:after="0" w:line="257" w:lineRule="auto"/>
        <w:rPr>
          <w:sz w:val="20"/>
          <w:szCs w:val="20"/>
          <w:color w:val="auto"/>
        </w:rPr>
      </w:pPr>
      <w:r>
        <w:rPr>
          <w:rFonts w:ascii="Times New Roman" w:cs="Times New Roman" w:eastAsia="Times New Roman" w:hAnsi="Times New Roman"/>
          <w:sz w:val="16"/>
          <w:szCs w:val="16"/>
          <w:color w:val="auto"/>
        </w:rPr>
        <w:t>The Triparty Agreement entered into in August 2019 provides for IFUS to list for trading one or more digital currency futures and/or options contracts, and for ICUS to serve as the clearing house to provide central counterparty and ancillary services for such contracts. The Triparty Agreement also governs our PDF Contracts (Note 2). The PDF Contracts generally have a duration of less than one month, and substantially all of the PDF Contracts are settled in the same month in which the trade execution is initiated. At the expiration of a PDF Contract, physical delivery will occur if the counterparties to the PDF Contract have not previously settled the PDF Contract. PDF Contract Traders are generally institutional investors and market makers that enter into agreements separately with each of IFUS, ICUS and us for trading, clearing and custody related services, respectively. With respect to our provision of custody services that are necessary to support the trading and clearing services provided by IFUS and ICUS for the PDF Contracts, our customers are IFUS and ICUS, who are related parties. In this regard, our obligation is to provide a stand-ready custody function that supports the trading and clearing services for the PDF Contracts. Our obligation to provide a stand-ready custody function includes related promises such as: (i) the initial onboarding of PDF Contract Traders to the custody warehouse, which represents the commencement of the custody services;</w:t>
      </w:r>
    </w:p>
    <w:p>
      <w:pPr>
        <w:spacing w:after="0" w:line="6" w:lineRule="exact"/>
        <w:rPr>
          <w:sz w:val="20"/>
          <w:szCs w:val="20"/>
          <w:color w:val="auto"/>
        </w:rPr>
      </w:pPr>
    </w:p>
    <w:p>
      <w:pPr>
        <w:jc w:val="both"/>
        <w:ind w:left="620" w:right="40" w:firstLine="3"/>
        <w:spacing w:after="0" w:line="255" w:lineRule="auto"/>
        <w:tabs>
          <w:tab w:leader="none" w:pos="86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execution and settlement of the PDF Contract;</w:t>
      </w:r>
    </w:p>
    <w:p>
      <w:pPr>
        <w:spacing w:after="0" w:line="1" w:lineRule="exact"/>
        <w:rPr>
          <w:rFonts w:ascii="Times New Roman" w:cs="Times New Roman" w:eastAsia="Times New Roman" w:hAnsi="Times New Roman"/>
          <w:sz w:val="16"/>
          <w:szCs w:val="16"/>
          <w:color w:val="auto"/>
        </w:rPr>
      </w:pPr>
    </w:p>
    <w:p>
      <w:pPr>
        <w:jc w:val="both"/>
        <w:ind w:left="620" w:right="460" w:firstLine="3"/>
        <w:spacing w:after="0" w:line="263" w:lineRule="auto"/>
        <w:tabs>
          <w:tab w:leader="none" w:pos="897"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verifying account balances of PDF Contract Traders as their PDF Contracts approach expiration; (v) making transfers between PDF Contract Traders as instructed by ICUS when the PDF Contracts reach expiration; and (vi) permitting withdrawals of bitcoin as directed by PDF Contract Traders.</w:t>
      </w:r>
    </w:p>
    <w:p>
      <w:pPr>
        <w:spacing w:after="0" w:line="164" w:lineRule="exact"/>
        <w:rPr>
          <w:sz w:val="20"/>
          <w:szCs w:val="20"/>
          <w:color w:val="auto"/>
        </w:rPr>
      </w:pPr>
    </w:p>
    <w:p>
      <w:pPr>
        <w:ind w:left="620" w:right="160" w:firstLine="400"/>
        <w:spacing w:after="0" w:line="261" w:lineRule="auto"/>
        <w:rPr>
          <w:sz w:val="20"/>
          <w:szCs w:val="20"/>
          <w:color w:val="auto"/>
        </w:rPr>
      </w:pPr>
      <w:r>
        <w:rPr>
          <w:rFonts w:ascii="Times New Roman" w:cs="Times New Roman" w:eastAsia="Times New Roman" w:hAnsi="Times New Roman"/>
          <w:sz w:val="16"/>
          <w:szCs w:val="16"/>
          <w:color w:val="auto"/>
        </w:rPr>
        <w:t>The maximum duration of our performance obligation extends from trade execution through the later of settlement of a PDF Contract or the ultimate withdrawal of physically-delivered bitcoin underlying the PDF Contract. However, in our experience, less than 1% of PDF Contracts go to physical settlement. In certain arrangements with PDF Contract Traders, IFUS offers rebates to support market liquidity and trading volume, which provides qualified PDF Contract Traders with a discount to the applicable transaction fee. Under the terms of the Triparty Agreement, these rebates reduce the amount of the trading and clearing revenue that IFUS and ICUS pay to us. To the extent the rebates issued to PDF Contract Traders exceed the transaction fees collected by IFUS and ICUS, we pay IFUS and ICUS for the difference between the rebate amounts and the collected transaction fees. We do not receive any goods or services from IFUS or ICUS in exchange for the payment. The</w:t>
      </w:r>
    </w:p>
    <w:p>
      <w:pPr>
        <w:spacing w:after="0" w:line="1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F-36</w:t>
      </w:r>
    </w:p>
    <w:p>
      <w:pPr>
        <w:sectPr>
          <w:pgSz w:w="11900" w:h="16838" w:orient="portrait"/>
          <w:cols w:equalWidth="0" w:num="1">
            <w:col w:w="10580"/>
          </w:cols>
          <w:pgMar w:left="320" w:top="453" w:right="999" w:bottom="1440" w:gutter="0" w:footer="0" w:header="0"/>
        </w:sectPr>
      </w:pPr>
    </w:p>
    <w:bookmarkStart w:id="190" w:name="page191"/>
    <w:bookmarkEnd w:id="19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80"/>
        <w:spacing w:after="0" w:line="263" w:lineRule="auto"/>
        <w:rPr>
          <w:sz w:val="20"/>
          <w:szCs w:val="20"/>
          <w:color w:val="auto"/>
        </w:rPr>
      </w:pPr>
      <w:r>
        <w:rPr>
          <w:rFonts w:ascii="Times New Roman" w:cs="Times New Roman" w:eastAsia="Times New Roman" w:hAnsi="Times New Roman"/>
          <w:sz w:val="16"/>
          <w:szCs w:val="16"/>
          <w:color w:val="auto"/>
        </w:rPr>
        <w:t>payment to IFUS and ICUS for such shortfall is required to be paid pursuant to the Triparty Agreement. We recognized revenues related to the Triparty Agreement of approximately $0.1 million, $0.1 million and $(2.0) million for the periods from October 15, 2021 through December 31, 2021 and January 1, 2021 through October 14, 2021 and the year ended December 31, 2020, respectively, net of less than $0.1 million for rebates and incentive payments (contra-revenue) for the period from October 15, 2021 through December 31, 2021 and approximately $0.2 million and $3.4 million for rebates and incentive payments (contra-revenue) for the period from January 1, 2021 through October 14, 2021 and the year ended December 31, 2020, respectively.</w:t>
      </w:r>
    </w:p>
    <w:p>
      <w:pPr>
        <w:spacing w:after="0" w:line="365" w:lineRule="exact"/>
        <w:rPr>
          <w:sz w:val="20"/>
          <w:szCs w:val="20"/>
          <w:color w:val="auto"/>
        </w:rPr>
      </w:pPr>
    </w:p>
    <w:p>
      <w:pPr>
        <w:ind w:left="620" w:right="20" w:firstLine="400"/>
        <w:spacing w:after="0" w:line="263" w:lineRule="auto"/>
        <w:rPr>
          <w:sz w:val="20"/>
          <w:szCs w:val="20"/>
          <w:color w:val="auto"/>
        </w:rPr>
      </w:pPr>
      <w:r>
        <w:rPr>
          <w:rFonts w:ascii="Times New Roman" w:cs="Times New Roman" w:eastAsia="Times New Roman" w:hAnsi="Times New Roman"/>
          <w:sz w:val="16"/>
          <w:szCs w:val="16"/>
          <w:color w:val="auto"/>
        </w:rPr>
        <w:t>The Triparty Agreement also required Bakkt Trust to make, and, subject to certain limits, to replenish as needed a $35.4 million default resource contribution to ICUS, to be used by ICUS in accordance with the ICUS rules. As described in Note 6, the contribution requirement was reduced to $15.0 million in 2021. The contribution is included in the “Deposits with clearinghouse (affiliate in Predecessor period)” current and noncurrent balances. Interest earned on the contribution, net of certain fees and costs, is paid to Bakkt Trust from ICUS. We did not earn any interest for the periods from October 15, 2021 through December 31, 2021 and January 1, 2021 through October 14, 2021. Total interest of $0.1 million was earned for the year ended December 31, 2020 and is included in “Interest income, net.” All interest earned was collected as of December 31, 2020.</w:t>
      </w:r>
    </w:p>
    <w:p>
      <w:pPr>
        <w:spacing w:after="0" w:line="163" w:lineRule="exact"/>
        <w:rPr>
          <w:sz w:val="20"/>
          <w:szCs w:val="20"/>
          <w:color w:val="auto"/>
        </w:rPr>
      </w:pPr>
    </w:p>
    <w:p>
      <w:pPr>
        <w:ind w:left="620" w:right="180" w:firstLine="400"/>
        <w:spacing w:after="0" w:line="267" w:lineRule="auto"/>
        <w:rPr>
          <w:sz w:val="20"/>
          <w:szCs w:val="20"/>
          <w:color w:val="auto"/>
        </w:rPr>
      </w:pPr>
      <w:r>
        <w:rPr>
          <w:rFonts w:ascii="Times New Roman" w:cs="Times New Roman" w:eastAsia="Times New Roman" w:hAnsi="Times New Roman"/>
          <w:sz w:val="16"/>
          <w:szCs w:val="16"/>
          <w:color w:val="auto"/>
        </w:rPr>
        <w:t>Prior to the Business Combination, we also recognized a capital contribution for the cost of the trading and clearing services provided by IFUS and ICUS pursuant to the Contribution Agreement, which reduced revenue attributable to the Triparty Agreement by $0.2 million and $0.7 million for the period from January 1, 2021 through October 14, 2021 and the year ended December 31, 2020, respectively (Note 10). We did not recognize a material reduction in revenue related to this capital contribution for the period from October 15, 2021 through December 31, 2021.</w:t>
      </w:r>
    </w:p>
    <w:p>
      <w:pPr>
        <w:spacing w:after="0" w:line="162" w:lineRule="exact"/>
        <w:rPr>
          <w:sz w:val="20"/>
          <w:szCs w:val="20"/>
          <w:color w:val="auto"/>
        </w:rPr>
      </w:pPr>
    </w:p>
    <w:p>
      <w:pPr>
        <w:ind w:left="620" w:firstLine="400"/>
        <w:spacing w:after="0" w:line="264" w:lineRule="auto"/>
        <w:rPr>
          <w:sz w:val="20"/>
          <w:szCs w:val="20"/>
          <w:color w:val="auto"/>
        </w:rPr>
      </w:pPr>
      <w:r>
        <w:rPr>
          <w:rFonts w:ascii="Times New Roman" w:cs="Times New Roman" w:eastAsia="Times New Roman" w:hAnsi="Times New Roman"/>
          <w:sz w:val="16"/>
          <w:szCs w:val="16"/>
          <w:color w:val="auto"/>
        </w:rPr>
        <w:t>Pursuant to a separate triparty agreement among ICE Futures Singapore (“IFS”), ICE Clear Singapore (“ICS”) and Opco, IFS and ICS provide trade execution and clearing services to customers that trade the cash-settled futures. We provide to IFS and ICS pricing data from its PDF Contracts and also licenses its name to IFS and ICS for use in marketing the cash-settled futures. ICS and IFS pay to us 35% of the net trading and clearing revenue that they earn with respect to these contracts. We are not a party to the contracts with customers that trade the cash-settled futures. To date, the cash-settled contracts have resulted in no net revenue payable to us.</w:t>
      </w:r>
    </w:p>
    <w:p>
      <w:pPr>
        <w:spacing w:after="0" w:line="165" w:lineRule="exact"/>
        <w:rPr>
          <w:sz w:val="20"/>
          <w:szCs w:val="20"/>
          <w:color w:val="auto"/>
        </w:rPr>
      </w:pPr>
    </w:p>
    <w:p>
      <w:pPr>
        <w:ind w:left="620" w:right="60" w:firstLine="400"/>
        <w:spacing w:after="0" w:line="267" w:lineRule="auto"/>
        <w:rPr>
          <w:sz w:val="20"/>
          <w:szCs w:val="20"/>
          <w:color w:val="auto"/>
        </w:rPr>
      </w:pPr>
      <w:r>
        <w:rPr>
          <w:rFonts w:ascii="Times New Roman" w:cs="Times New Roman" w:eastAsia="Times New Roman" w:hAnsi="Times New Roman"/>
          <w:sz w:val="16"/>
          <w:szCs w:val="16"/>
          <w:color w:val="auto"/>
        </w:rPr>
        <w:t>As of December 31, 2021 and 2020, we had $0 and approximately $1.9 million, respectively, reflected as “Due to related party (affiliate in Predecessor period)” in the balance sheets related to the intercompany services agreement and Triparty Agreement. As of December 31, 2021 and 2020, we had approximately $0.1 million and $0, respectively, as recorded within “Accounts receivable, net” in the balance sheets related to the intercompany services agreement and Triparty Agreement.</w:t>
      </w:r>
    </w:p>
    <w:p>
      <w:pPr>
        <w:spacing w:after="0" w:line="2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Other Contractual Relationships with ICE</w:t>
      </w:r>
    </w:p>
    <w:p>
      <w:pPr>
        <w:spacing w:after="0" w:line="112" w:lineRule="exact"/>
        <w:rPr>
          <w:sz w:val="20"/>
          <w:szCs w:val="20"/>
          <w:color w:val="auto"/>
        </w:rPr>
      </w:pPr>
    </w:p>
    <w:p>
      <w:pPr>
        <w:ind w:left="620" w:right="200" w:firstLine="400"/>
        <w:spacing w:after="0" w:line="263" w:lineRule="auto"/>
        <w:rPr>
          <w:sz w:val="20"/>
          <w:szCs w:val="20"/>
          <w:color w:val="auto"/>
        </w:rPr>
      </w:pPr>
      <w:r>
        <w:rPr>
          <w:rFonts w:ascii="Times New Roman" w:cs="Times New Roman" w:eastAsia="Times New Roman" w:hAnsi="Times New Roman"/>
          <w:sz w:val="16"/>
          <w:szCs w:val="16"/>
          <w:color w:val="auto"/>
        </w:rPr>
        <w:t>Prior to the withdrawal of Bakkt Clearing’s ICUS membership on May 20, 2020, Bakkt Clearing was required to hold shares of ICE stock for ICUS membership privileges. These shares were carried at cost basis and evaluated periodically for impairment. In connection with the withdrawal of Bakkt Clearing’s ICUS membership, these shares were remeasured at fair value, with unrealized gains and losses being reflected as “Other income (expense), net” in the statements of operations. In June 2021, we sold all of its shares of ICE stock. For the period from January 1, 2021 through October 14, 2021, we recorded a realized loss on the sale of shares of affiliate stock of approximately $0.1 million. For the year ended December 31, 2020, we recorded an unrealized gain of $0.6 million which is included in “Other income (expense), net”.</w:t>
      </w:r>
    </w:p>
    <w:p>
      <w:pPr>
        <w:spacing w:after="0" w:line="163" w:lineRule="exact"/>
        <w:rPr>
          <w:sz w:val="20"/>
          <w:szCs w:val="20"/>
          <w:color w:val="auto"/>
        </w:rPr>
      </w:pPr>
    </w:p>
    <w:p>
      <w:pPr>
        <w:ind w:left="620" w:right="140" w:firstLine="400"/>
        <w:spacing w:after="0" w:line="273" w:lineRule="auto"/>
        <w:rPr>
          <w:sz w:val="20"/>
          <w:szCs w:val="20"/>
          <w:color w:val="auto"/>
        </w:rPr>
      </w:pPr>
      <w:r>
        <w:rPr>
          <w:rFonts w:ascii="Times New Roman" w:cs="Times New Roman" w:eastAsia="Times New Roman" w:hAnsi="Times New Roman"/>
          <w:sz w:val="16"/>
          <w:szCs w:val="16"/>
          <w:color w:val="auto"/>
        </w:rPr>
        <w:t>On February 21, 2020, ICE acquired 100% of the issued and outstanding ownership interests in Bridge2 Solutions (Note 4). On March 12, 2020, we completed Series C round of funding in the amount of $299.7 million and issued 270,000,000 Class C voting units to ICE and certain minority investors (Note 10). As part of this</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F-37</w:t>
      </w:r>
    </w:p>
    <w:p>
      <w:pPr>
        <w:sectPr>
          <w:pgSz w:w="11900" w:h="16838" w:orient="portrait"/>
          <w:cols w:equalWidth="0" w:num="1">
            <w:col w:w="10620"/>
          </w:cols>
          <w:pgMar w:left="320" w:top="453" w:right="959" w:bottom="1440" w:gutter="0" w:footer="0" w:header="0"/>
        </w:sectPr>
      </w:pPr>
    </w:p>
    <w:bookmarkStart w:id="191" w:name="page192"/>
    <w:bookmarkEnd w:id="19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jc w:val="both"/>
        <w:ind w:left="620" w:right="300"/>
        <w:spacing w:after="0" w:line="273" w:lineRule="auto"/>
        <w:rPr>
          <w:sz w:val="20"/>
          <w:szCs w:val="20"/>
          <w:color w:val="auto"/>
        </w:rPr>
      </w:pPr>
      <w:r>
        <w:rPr>
          <w:rFonts w:ascii="Times New Roman" w:cs="Times New Roman" w:eastAsia="Times New Roman" w:hAnsi="Times New Roman"/>
          <w:sz w:val="16"/>
          <w:szCs w:val="16"/>
          <w:color w:val="auto"/>
        </w:rPr>
        <w:t>funding, ICE contributed the Bridge2 Solutions business to us at an enterprise value of $261.4 million with $10.1 million of additional goodwill, as discussed in Note 4, and made a $2.6 million cash contribution, approximately $1.4 million of which was used to pay acquisition-related expenses incurred by the Company. Additionally, we received approximately $36.6 million of cash contributions from ICE and certain minority investors.</w:t>
      </w:r>
    </w:p>
    <w:p>
      <w:pPr>
        <w:spacing w:after="0" w:line="2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Minority Investor Transactions</w:t>
      </w:r>
    </w:p>
    <w:p>
      <w:pPr>
        <w:spacing w:after="0" w:line="112" w:lineRule="exact"/>
        <w:rPr>
          <w:sz w:val="20"/>
          <w:szCs w:val="20"/>
          <w:color w:val="auto"/>
        </w:rPr>
      </w:pPr>
    </w:p>
    <w:p>
      <w:pPr>
        <w:ind w:left="620" w:right="80" w:firstLine="400"/>
        <w:spacing w:after="0" w:line="273" w:lineRule="auto"/>
        <w:rPr>
          <w:sz w:val="20"/>
          <w:szCs w:val="20"/>
          <w:color w:val="auto"/>
        </w:rPr>
      </w:pPr>
      <w:r>
        <w:rPr>
          <w:rFonts w:ascii="Times New Roman" w:cs="Times New Roman" w:eastAsia="Times New Roman" w:hAnsi="Times New Roman"/>
          <w:sz w:val="16"/>
          <w:szCs w:val="16"/>
          <w:color w:val="auto"/>
        </w:rPr>
        <w:t>On May 19, 2020, we entered into an agreement to issue a warrant for our Class C voting units to a minority investor in exchange for certain management consulting services rendered by minority investor to us. The fair value of the warrant on the grant date was estimated to be approximately $1.6 million. See Note 10 for additional disclosures.</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9. Warrants</w:t>
      </w:r>
    </w:p>
    <w:p>
      <w:pPr>
        <w:spacing w:after="0" w:line="114" w:lineRule="exact"/>
        <w:rPr>
          <w:sz w:val="20"/>
          <w:szCs w:val="20"/>
          <w:color w:val="auto"/>
        </w:rPr>
      </w:pPr>
    </w:p>
    <w:p>
      <w:pPr>
        <w:ind w:left="620" w:firstLine="400"/>
        <w:spacing w:after="0" w:line="263" w:lineRule="auto"/>
        <w:rPr>
          <w:sz w:val="20"/>
          <w:szCs w:val="20"/>
          <w:color w:val="auto"/>
        </w:rPr>
      </w:pPr>
      <w:r>
        <w:rPr>
          <w:rFonts w:ascii="Times New Roman" w:cs="Times New Roman" w:eastAsia="Times New Roman" w:hAnsi="Times New Roman"/>
          <w:sz w:val="16"/>
          <w:szCs w:val="16"/>
          <w:color w:val="auto"/>
        </w:rPr>
        <w:t>As of December 31, 2021, there were 7,141,035 public warrants and 0 private placement warrants outstanding. public warrants may only be exercised for a whole number of shares. No fractional shares will be issued upon exercise of the public warrant. Each warrant entitles its holders to purchase one share of Class A common stock at an exercise price of $11.50 per share. The public warrants and private placement warrants became exercisable on November 15, 2021. The public warrants will expire five years after the Closing Date, or earlier upon redemption or liquidation. We may redeem the outstanding warrants when various conditions are met, such as specific stock prices, as detailed in the specific warrant agreements. The warrants are recorded as a liability and reflected as “Warrant liability” in the balance sheets.</w:t>
      </w:r>
    </w:p>
    <w:p>
      <w:pPr>
        <w:spacing w:after="0" w:line="163" w:lineRule="exact"/>
        <w:rPr>
          <w:sz w:val="20"/>
          <w:szCs w:val="20"/>
          <w:color w:val="auto"/>
        </w:rPr>
      </w:pPr>
    </w:p>
    <w:p>
      <w:pPr>
        <w:ind w:left="620" w:right="80" w:firstLine="400"/>
        <w:spacing w:after="0" w:line="267" w:lineRule="auto"/>
        <w:rPr>
          <w:sz w:val="20"/>
          <w:szCs w:val="20"/>
          <w:color w:val="auto"/>
        </w:rPr>
      </w:pPr>
      <w:r>
        <w:rPr>
          <w:rFonts w:ascii="Times New Roman" w:cs="Times New Roman" w:eastAsia="Times New Roman" w:hAnsi="Times New Roman"/>
          <w:sz w:val="16"/>
          <w:szCs w:val="16"/>
          <w:color w:val="auto"/>
        </w:rPr>
        <w:t>During the period from October 15, 2021 through December 31, 2021, we issued 7,194,928 shares of Class A common stock in exchange for the exercise of 3,227,566 public warrants and the cashless exercise of 6,147,440 private placement warrants. We received $37.1 million in proceeds from the exercise of the public warrants. We recognized a loss from the change in fair value of the warrant liability during the period from October 15, 2021 through December 31, 2021 of $79.4 million.</w:t>
      </w:r>
    </w:p>
    <w:p>
      <w:pPr>
        <w:spacing w:after="0" w:line="256" w:lineRule="exact"/>
        <w:rPr>
          <w:sz w:val="20"/>
          <w:szCs w:val="20"/>
          <w:color w:val="auto"/>
        </w:rPr>
      </w:pPr>
    </w:p>
    <w:p>
      <w:pPr>
        <w:ind w:left="620" w:right="8220" w:firstLine="3"/>
        <w:spacing w:after="0" w:line="386" w:lineRule="auto"/>
        <w:tabs>
          <w:tab w:leader="none" w:pos="865"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Stockholders’ Equity Preferred Stock</w:t>
      </w:r>
    </w:p>
    <w:p>
      <w:pPr>
        <w:spacing w:after="0" w:line="1" w:lineRule="exact"/>
        <w:rPr>
          <w:sz w:val="20"/>
          <w:szCs w:val="20"/>
          <w:color w:val="auto"/>
        </w:rPr>
      </w:pPr>
    </w:p>
    <w:p>
      <w:pPr>
        <w:ind w:left="620" w:right="240" w:firstLine="400"/>
        <w:spacing w:after="0" w:line="273" w:lineRule="auto"/>
        <w:rPr>
          <w:sz w:val="20"/>
          <w:szCs w:val="20"/>
          <w:color w:val="auto"/>
        </w:rPr>
      </w:pPr>
      <w:r>
        <w:rPr>
          <w:rFonts w:ascii="Times New Roman" w:cs="Times New Roman" w:eastAsia="Times New Roman" w:hAnsi="Times New Roman"/>
          <w:sz w:val="16"/>
          <w:szCs w:val="16"/>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December 31, 2021, no shares of preferred stock have been issued.</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Class A Common Stock</w:t>
      </w:r>
    </w:p>
    <w:p>
      <w:pPr>
        <w:spacing w:after="0" w:line="114" w:lineRule="exact"/>
        <w:rPr>
          <w:sz w:val="20"/>
          <w:szCs w:val="20"/>
          <w:color w:val="auto"/>
        </w:rPr>
      </w:pPr>
    </w:p>
    <w:p>
      <w:pPr>
        <w:ind w:left="620" w:firstLine="400"/>
        <w:spacing w:after="0" w:line="267" w:lineRule="auto"/>
        <w:rPr>
          <w:sz w:val="20"/>
          <w:szCs w:val="20"/>
          <w:color w:val="auto"/>
        </w:rPr>
      </w:pPr>
      <w:r>
        <w:rPr>
          <w:rFonts w:ascii="Times New Roman" w:cs="Times New Roman" w:eastAsia="Times New Roman" w:hAnsi="Times New Roman"/>
          <w:sz w:val="16"/>
          <w:szCs w:val="16"/>
          <w:color w:val="auto"/>
        </w:rPr>
        <w:t>We are authorized to issue 750,000,000 shares with a par value of $0.0001 per share. Each holder of Class A common stock is entitled to one vote for each share of Class A common stock held of record by such holder on all matters on which stockholders generally or holders of Class A common stock as a separate class are entitled to vote, including the election or removal of directors (whether voting separately as a class or together with one or more classes of our capital stock). As of December 31, 2021, there were 57,164,388 shares of Class A common stock issued and outstanding.</w:t>
      </w:r>
    </w:p>
    <w:p>
      <w:pPr>
        <w:spacing w:after="0" w:line="1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F-38</w:t>
      </w:r>
    </w:p>
    <w:p>
      <w:pPr>
        <w:sectPr>
          <w:pgSz w:w="11900" w:h="16838" w:orient="portrait"/>
          <w:cols w:equalWidth="0" w:num="1">
            <w:col w:w="10560"/>
          </w:cols>
          <w:pgMar w:left="320" w:top="453" w:right="1019" w:bottom="1440" w:gutter="0" w:footer="0" w:header="0"/>
        </w:sectPr>
      </w:pPr>
    </w:p>
    <w:bookmarkStart w:id="192" w:name="page193"/>
    <w:bookmarkEnd w:id="19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12" w:lineRule="exact"/>
        <w:rPr>
          <w:sz w:val="20"/>
          <w:szCs w:val="20"/>
          <w:color w:val="auto"/>
        </w:rPr>
      </w:pPr>
    </w:p>
    <w:p>
      <w:pPr>
        <w:ind w:left="620" w:right="260" w:firstLine="400"/>
        <w:spacing w:after="0" w:line="291" w:lineRule="auto"/>
        <w:rPr>
          <w:sz w:val="20"/>
          <w:szCs w:val="20"/>
          <w:color w:val="auto"/>
        </w:rPr>
      </w:pPr>
      <w:r>
        <w:rPr>
          <w:rFonts w:ascii="Times New Roman" w:cs="Times New Roman" w:eastAsia="Times New Roman" w:hAnsi="Times New Roman"/>
          <w:sz w:val="16"/>
          <w:szCs w:val="16"/>
          <w:color w:val="auto"/>
        </w:rPr>
        <w:t>Subject to preferences that may be applicable to any outstanding preferred stock, the holders of shares of Class A common stock are entitled to receive ratably such dividends, if any, as may be declared from time to time by our Board out of funds legally available therefor.</w:t>
      </w:r>
    </w:p>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112" w:lineRule="exact"/>
        <w:rPr>
          <w:sz w:val="20"/>
          <w:szCs w:val="20"/>
          <w:color w:val="auto"/>
        </w:rPr>
      </w:pPr>
    </w:p>
    <w:p>
      <w:pPr>
        <w:ind w:left="620" w:right="40" w:firstLine="400"/>
        <w:spacing w:after="0" w:line="273" w:lineRule="auto"/>
        <w:rPr>
          <w:sz w:val="20"/>
          <w:szCs w:val="20"/>
          <w:color w:val="auto"/>
        </w:rPr>
      </w:pPr>
      <w:r>
        <w:rPr>
          <w:rFonts w:ascii="Times New Roman" w:cs="Times New Roman" w:eastAsia="Times New Roman" w:hAnsi="Times New Roman"/>
          <w:sz w:val="16"/>
          <w:szCs w:val="16"/>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Class V Common Stock</w:t>
      </w:r>
    </w:p>
    <w:p>
      <w:pPr>
        <w:spacing w:after="0" w:line="114" w:lineRule="exact"/>
        <w:rPr>
          <w:sz w:val="20"/>
          <w:szCs w:val="20"/>
          <w:color w:val="auto"/>
        </w:rPr>
      </w:pPr>
    </w:p>
    <w:p>
      <w:pPr>
        <w:ind w:left="620" w:firstLine="400"/>
        <w:spacing w:after="0" w:line="264" w:lineRule="auto"/>
        <w:rPr>
          <w:sz w:val="20"/>
          <w:szCs w:val="20"/>
          <w:color w:val="auto"/>
        </w:rPr>
      </w:pPr>
      <w:r>
        <w:rPr>
          <w:rFonts w:ascii="Times New Roman" w:cs="Times New Roman" w:eastAsia="Times New Roman" w:hAnsi="Times New Roman"/>
          <w:sz w:val="16"/>
          <w:szCs w:val="16"/>
          <w:color w:val="auto"/>
        </w:rPr>
        <w:t>We are authorized to issue 250,000,000 shares with par value $0.0001 per share. These shares have no economic value but entitle the holder to one vote per share.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Exchange Agreement. As of December 31, 2021, there were 206,271,792 shares of Class V common stock issued and outstanding.</w:t>
      </w: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Dividends shall not be declared or paid on the Class V common stock.</w:t>
      </w:r>
    </w:p>
    <w:p>
      <w:pPr>
        <w:spacing w:after="0" w:line="3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112" w:lineRule="exact"/>
        <w:rPr>
          <w:sz w:val="20"/>
          <w:szCs w:val="20"/>
          <w:color w:val="auto"/>
        </w:rPr>
      </w:pPr>
    </w:p>
    <w:p>
      <w:pPr>
        <w:ind w:left="620" w:right="20" w:firstLine="400"/>
        <w:spacing w:after="0" w:line="291" w:lineRule="auto"/>
        <w:rPr>
          <w:sz w:val="20"/>
          <w:szCs w:val="20"/>
          <w:color w:val="auto"/>
        </w:rPr>
      </w:pPr>
      <w:r>
        <w:rPr>
          <w:rFonts w:ascii="Times New Roman" w:cs="Times New Roman" w:eastAsia="Times New Roman" w:hAnsi="Times New Roman"/>
          <w:sz w:val="16"/>
          <w:szCs w:val="16"/>
          <w:color w:val="auto"/>
        </w:rPr>
        <w:t>In the event of any voluntary or involuntary liquidation, dissolution or winding up of our affairs, the holders of Class V common stock shall not be entitled to receive any of our assets.</w:t>
      </w:r>
    </w:p>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auto"/>
        </w:rPr>
        <w:t>Restrictions</w:t>
      </w:r>
    </w:p>
    <w:p>
      <w:pPr>
        <w:spacing w:after="0" w:line="112" w:lineRule="exact"/>
        <w:rPr>
          <w:sz w:val="20"/>
          <w:szCs w:val="20"/>
          <w:color w:val="auto"/>
        </w:rPr>
      </w:pPr>
    </w:p>
    <w:p>
      <w:pPr>
        <w:ind w:left="620" w:firstLine="400"/>
        <w:spacing w:after="0" w:line="267" w:lineRule="auto"/>
        <w:rPr>
          <w:sz w:val="20"/>
          <w:szCs w:val="20"/>
          <w:color w:val="auto"/>
        </w:rPr>
      </w:pPr>
      <w:r>
        <w:rPr>
          <w:rFonts w:ascii="Times New Roman" w:cs="Times New Roman" w:eastAsia="Times New Roman" w:hAnsi="Times New Roman"/>
          <w:sz w:val="16"/>
          <w:szCs w:val="16"/>
          <w:color w:val="auto"/>
        </w:rPr>
        <w:t>In the event that any outstanding share of Class V common stock ceases to be held directly or indirectly by a holder of a Opco common units, such share will automatically be transferred to us and cancelled for no consideration. We will not issue additional shares of Class V common stock after the effectiveness of the Certificate of Incorporation other than in connection with the valid issuance or transfer of Opco common units in accordance with Opco’s Third Amended and Restated Limited Liability Company Agreement (the “LLC Agreement”).</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Members’ Equity</w:t>
      </w:r>
    </w:p>
    <w:p>
      <w:pPr>
        <w:spacing w:after="0" w:line="114" w:lineRule="exact"/>
        <w:rPr>
          <w:sz w:val="20"/>
          <w:szCs w:val="20"/>
          <w:color w:val="auto"/>
        </w:rPr>
      </w:pPr>
    </w:p>
    <w:p>
      <w:pPr>
        <w:ind w:left="620" w:right="480" w:firstLine="400"/>
        <w:spacing w:after="0" w:line="291" w:lineRule="auto"/>
        <w:rPr>
          <w:sz w:val="20"/>
          <w:szCs w:val="20"/>
          <w:color w:val="auto"/>
        </w:rPr>
      </w:pPr>
      <w:r>
        <w:rPr>
          <w:rFonts w:ascii="Times New Roman" w:cs="Times New Roman" w:eastAsia="Times New Roman" w:hAnsi="Times New Roman"/>
          <w:sz w:val="16"/>
          <w:szCs w:val="16"/>
          <w:color w:val="auto"/>
        </w:rPr>
        <w:t>Prior to the Business Combination, Opco had three classes of voting units – Class A, Class B and Class C voting units – and incentive units granted under the Opco Incentive Equity Plan (the “Opco Plan”) (Note 11).</w:t>
      </w:r>
    </w:p>
    <w:p>
      <w:pPr>
        <w:spacing w:after="0" w:line="142" w:lineRule="exact"/>
        <w:rPr>
          <w:sz w:val="20"/>
          <w:szCs w:val="20"/>
          <w:color w:val="auto"/>
        </w:rPr>
      </w:pPr>
    </w:p>
    <w:p>
      <w:pPr>
        <w:ind w:left="620" w:right="40" w:firstLine="400"/>
        <w:spacing w:after="0" w:line="263" w:lineRule="auto"/>
        <w:rPr>
          <w:sz w:val="20"/>
          <w:szCs w:val="20"/>
          <w:color w:val="auto"/>
        </w:rPr>
      </w:pPr>
      <w:r>
        <w:rPr>
          <w:rFonts w:ascii="Times New Roman" w:cs="Times New Roman" w:eastAsia="Times New Roman" w:hAnsi="Times New Roman"/>
          <w:sz w:val="16"/>
          <w:szCs w:val="16"/>
          <w:color w:val="auto"/>
        </w:rPr>
        <w:t>In December 2018, pursuant to the contribution agreement between Opco and ICE in connection with ICE’s formation of Opco (the “Contribution Agreement”), ICE committed to contribute developed assets and licenses in exchange for 400,000,000 Class A voting units. The primary value contributed by ICE was the access to the trading and clearing services to be provided for the duration of the Triparty Agreement. Prior to 2020, ICE had contributed developed technology assets of $1.7 million, which is included in “Property, equipment and software, net” (Note 6). The contribution from ICE and associated increase in “Members’ equity” for the Class A voting units issued was recognized over time as the services were provided. During the period from January 1, 2021</w:t>
      </w:r>
    </w:p>
    <w:p>
      <w:pPr>
        <w:spacing w:after="0" w:line="10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F-39</w:t>
      </w:r>
    </w:p>
    <w:p>
      <w:pPr>
        <w:sectPr>
          <w:pgSz w:w="11900" w:h="16838" w:orient="portrait"/>
          <w:cols w:equalWidth="0" w:num="1">
            <w:col w:w="10620"/>
          </w:cols>
          <w:pgMar w:left="320" w:top="453" w:right="959" w:bottom="1440" w:gutter="0" w:footer="0" w:header="0"/>
        </w:sectPr>
      </w:pPr>
    </w:p>
    <w:bookmarkStart w:id="193" w:name="page194"/>
    <w:bookmarkEnd w:id="19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through October 14, 2021 and the year ended December 31, 2020, ICE contributed approximately $0.2 million and $0.7 million, respectively, of exchange and clearing license value based on costs incurred by IFUS and ICUS for executing and clearing bitcoin futures under the Triparty Agreement. This is shown as a reduction to “Net revenues” in the statements of operations and an increase to “Members’ equity” in the balance sheets. The reduction to revenue for the period from October 15, 2021 through December 31, 2021 was immaterial.</w:t>
      </w:r>
    </w:p>
    <w:p>
      <w:pPr>
        <w:spacing w:after="0" w:line="162" w:lineRule="exact"/>
        <w:rPr>
          <w:sz w:val="20"/>
          <w:szCs w:val="20"/>
          <w:color w:val="auto"/>
        </w:rPr>
      </w:pPr>
    </w:p>
    <w:p>
      <w:pPr>
        <w:ind w:left="620" w:right="320" w:firstLine="400"/>
        <w:spacing w:after="0" w:line="291" w:lineRule="auto"/>
        <w:rPr>
          <w:sz w:val="20"/>
          <w:szCs w:val="20"/>
          <w:color w:val="auto"/>
        </w:rPr>
      </w:pPr>
      <w:r>
        <w:rPr>
          <w:rFonts w:ascii="Times New Roman" w:cs="Times New Roman" w:eastAsia="Times New Roman" w:hAnsi="Times New Roman"/>
          <w:sz w:val="16"/>
          <w:szCs w:val="16"/>
          <w:color w:val="auto"/>
        </w:rPr>
        <w:t>Also, in December, 2018, ICE and minority investors contributed $182.5 million in exchange for Class B voting units. This was comprised of $111.5 million and $71.0 million contributed by ICE and other Class B voting unit holders (“Minority Investors”), respectively.</w:t>
      </w:r>
    </w:p>
    <w:p>
      <w:pPr>
        <w:spacing w:after="0" w:line="142" w:lineRule="exact"/>
        <w:rPr>
          <w:sz w:val="20"/>
          <w:szCs w:val="20"/>
          <w:color w:val="auto"/>
        </w:rPr>
      </w:pPr>
    </w:p>
    <w:p>
      <w:pPr>
        <w:ind w:left="620" w:right="340" w:firstLine="400"/>
        <w:spacing w:after="0" w:line="291" w:lineRule="auto"/>
        <w:rPr>
          <w:sz w:val="20"/>
          <w:szCs w:val="20"/>
          <w:color w:val="auto"/>
        </w:rPr>
      </w:pPr>
      <w:r>
        <w:rPr>
          <w:rFonts w:ascii="Times New Roman" w:cs="Times New Roman" w:eastAsia="Times New Roman" w:hAnsi="Times New Roman"/>
          <w:sz w:val="16"/>
          <w:szCs w:val="16"/>
          <w:color w:val="auto"/>
        </w:rPr>
        <w:t>Each Class B voting unit was convertible at the option of the voting unit holder any time into Class A voting units using a defined conversion price formula. All Class B voting units were to convert automatically to Class A voting units in the event of an initial public offering.</w:t>
      </w:r>
    </w:p>
    <w:p>
      <w:pPr>
        <w:spacing w:after="0" w:line="142" w:lineRule="exact"/>
        <w:rPr>
          <w:sz w:val="20"/>
          <w:szCs w:val="20"/>
          <w:color w:val="auto"/>
        </w:rPr>
      </w:pPr>
    </w:p>
    <w:p>
      <w:pPr>
        <w:ind w:left="620" w:right="180" w:firstLine="400"/>
        <w:spacing w:after="0" w:line="264" w:lineRule="auto"/>
        <w:rPr>
          <w:sz w:val="20"/>
          <w:szCs w:val="20"/>
          <w:color w:val="auto"/>
        </w:rPr>
      </w:pPr>
      <w:r>
        <w:rPr>
          <w:rFonts w:ascii="Times New Roman" w:cs="Times New Roman" w:eastAsia="Times New Roman" w:hAnsi="Times New Roman"/>
          <w:sz w:val="16"/>
          <w:szCs w:val="16"/>
          <w:color w:val="auto"/>
        </w:rPr>
        <w:t>ICE had a call option on voting units held by Minority Investors that had a trigger date on the fifth anniversary of the launch of certain services, which occurred on September 23, 2019, and ending on the second anniversary after the trigger date. The Minority Investors had a put option on the voting units held requiring ICE to purchase the voting units, based on a trigger date on the third anniversary of the launch of certain services, which occurred on September 23, 2019, and ending on the second anniversary after the trigger date. The price on both the call and put was based on a fair market value calculation, as defined in the LLC Agreement.</w:t>
      </w:r>
    </w:p>
    <w:p>
      <w:pPr>
        <w:spacing w:after="0" w:line="165" w:lineRule="exact"/>
        <w:rPr>
          <w:sz w:val="20"/>
          <w:szCs w:val="20"/>
          <w:color w:val="auto"/>
        </w:rPr>
      </w:pPr>
    </w:p>
    <w:p>
      <w:pPr>
        <w:ind w:left="620" w:right="240" w:firstLine="400"/>
        <w:spacing w:after="0" w:line="273" w:lineRule="auto"/>
        <w:rPr>
          <w:sz w:val="20"/>
          <w:szCs w:val="20"/>
          <w:color w:val="auto"/>
        </w:rPr>
      </w:pPr>
      <w:r>
        <w:rPr>
          <w:rFonts w:ascii="Times New Roman" w:cs="Times New Roman" w:eastAsia="Times New Roman" w:hAnsi="Times New Roman"/>
          <w:sz w:val="16"/>
          <w:szCs w:val="16"/>
          <w:color w:val="auto"/>
        </w:rPr>
        <w:t>In February 2020, Opco entered into a second amended and restated limited liability company agreement. In March 2020, Opco issued approximately 270,000,000 Class C voting units at a price of $1.11 per share for total consideration of $299.7 million. The issuance resulted in Opco recognizing approximately $9.6 million of compensation cost associated with its equity incentive plan (Note 11).</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In connection with the Business Combination (Note 4), the Opco equity holders converted 400,000,000 Opco Class A voting units, 192,453,454</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Opco Class B voting units, and 270,270,270 Opco Class C voting units to 189,933,286 shares of Class V common stock on a pro rata basis.</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Additionally, we issued 17,473,362 shares of Class V common stock related to the outstanding Opco incentive units.</w:t>
      </w:r>
    </w:p>
    <w:p>
      <w:pPr>
        <w:spacing w:after="0" w:line="2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Issuance of Class B Warrant</w:t>
      </w:r>
    </w:p>
    <w:p>
      <w:pPr>
        <w:spacing w:after="0" w:line="114" w:lineRule="exact"/>
        <w:rPr>
          <w:sz w:val="20"/>
          <w:szCs w:val="20"/>
          <w:color w:val="auto"/>
        </w:rPr>
      </w:pPr>
    </w:p>
    <w:p>
      <w:pPr>
        <w:ind w:left="620" w:right="40" w:firstLine="400"/>
        <w:spacing w:after="0" w:line="291" w:lineRule="auto"/>
        <w:rPr>
          <w:sz w:val="20"/>
          <w:szCs w:val="20"/>
          <w:color w:val="auto"/>
        </w:rPr>
      </w:pPr>
      <w:r>
        <w:rPr>
          <w:rFonts w:ascii="Times New Roman" w:cs="Times New Roman" w:eastAsia="Times New Roman" w:hAnsi="Times New Roman"/>
          <w:sz w:val="16"/>
          <w:szCs w:val="16"/>
          <w:color w:val="auto"/>
        </w:rPr>
        <w:t>On February 19, 2020, Opco issued a warrant to a strategic partner to purchase 15,000,000 of Opco’s Class B voting units (“Class B Warrant”), at an exercise price of $1.00 per unit, exercisable upon issuance, that expires 3 years from issuance.</w:t>
      </w:r>
    </w:p>
    <w:p>
      <w:pPr>
        <w:spacing w:after="0" w:line="142" w:lineRule="exact"/>
        <w:rPr>
          <w:sz w:val="20"/>
          <w:szCs w:val="20"/>
          <w:color w:val="auto"/>
        </w:rPr>
      </w:pPr>
    </w:p>
    <w:p>
      <w:pPr>
        <w:ind w:left="620" w:right="100" w:firstLine="400"/>
        <w:spacing w:after="0" w:line="267" w:lineRule="auto"/>
        <w:rPr>
          <w:sz w:val="20"/>
          <w:szCs w:val="20"/>
          <w:color w:val="auto"/>
        </w:rPr>
      </w:pPr>
      <w:r>
        <w:rPr>
          <w:rFonts w:ascii="Times New Roman" w:cs="Times New Roman" w:eastAsia="Times New Roman" w:hAnsi="Times New Roman"/>
          <w:sz w:val="16"/>
          <w:szCs w:val="16"/>
          <w:color w:val="auto"/>
        </w:rPr>
        <w:t>Since the strategic partner is also a customer of Opco, the issuance of the warrant was determined to be consideration payable to a customer and was recognized as a unit-based sales incentive at fair value on the warrant’s issuance date of $5.4 million, with a corresponding asset recognized and amortized over the term of the customer contract as a reduction to revenue (Note 3). The current and noncurrent portions of the corresponding asset are included in “Other current assets” and “Other assets,” respectively.</w:t>
      </w:r>
    </w:p>
    <w:p>
      <w:pPr>
        <w:spacing w:after="0" w:line="162" w:lineRule="exact"/>
        <w:rPr>
          <w:sz w:val="20"/>
          <w:szCs w:val="20"/>
          <w:color w:val="auto"/>
        </w:rPr>
      </w:pPr>
    </w:p>
    <w:p>
      <w:pPr>
        <w:ind w:left="620" w:firstLine="400"/>
        <w:spacing w:after="0" w:line="291" w:lineRule="auto"/>
        <w:rPr>
          <w:sz w:val="20"/>
          <w:szCs w:val="20"/>
          <w:color w:val="auto"/>
        </w:rPr>
      </w:pPr>
      <w:r>
        <w:rPr>
          <w:rFonts w:ascii="Times New Roman" w:cs="Times New Roman" w:eastAsia="Times New Roman" w:hAnsi="Times New Roman"/>
          <w:sz w:val="16"/>
          <w:szCs w:val="16"/>
          <w:color w:val="auto"/>
        </w:rPr>
        <w:t>The fair value of the Class B Warrant at the issuance date was measured using the Black-Scholes model. The key inputs used in the valuation were as follows:</w:t>
      </w:r>
    </w:p>
    <w:p>
      <w:pPr>
        <w:spacing w:after="0" w:line="146" w:lineRule="exact"/>
        <w:rPr>
          <w:sz w:val="20"/>
          <w:szCs w:val="20"/>
          <w:color w:val="auto"/>
        </w:rPr>
      </w:pPr>
    </w:p>
    <w:tbl>
      <w:tblPr>
        <w:tblLayout w:type="fixed"/>
        <w:tblInd w:w="2220" w:type="dxa"/>
        <w:tblCellMar>
          <w:top w:w="0" w:type="dxa"/>
          <w:left w:w="0" w:type="dxa"/>
          <w:bottom w:w="0" w:type="dxa"/>
          <w:right w:w="0" w:type="dxa"/>
        </w:tblCellMar>
      </w:tblPr>
      <w:tr>
        <w:trPr>
          <w:trHeight w:val="149"/>
        </w:trPr>
        <w:tc>
          <w:tcPr>
            <w:tcW w:w="2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gridSpan w:val="2"/>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rPr>
              <w:t>As of</w:t>
            </w:r>
          </w:p>
        </w:tc>
      </w:tr>
      <w:tr>
        <w:trPr>
          <w:trHeight w:val="135"/>
        </w:trPr>
        <w:tc>
          <w:tcPr>
            <w:tcW w:w="23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920" w:type="dxa"/>
            <w:vAlign w:val="bottom"/>
            <w:gridSpan w:val="2"/>
          </w:tcPr>
          <w:p>
            <w:pPr>
              <w:jc w:val="center"/>
              <w:ind w:right="98"/>
              <w:spacing w:after="0" w:line="135" w:lineRule="exact"/>
              <w:rPr>
                <w:sz w:val="20"/>
                <w:szCs w:val="20"/>
                <w:color w:val="auto"/>
              </w:rPr>
            </w:pPr>
            <w:r>
              <w:rPr>
                <w:rFonts w:ascii="Times New Roman" w:cs="Times New Roman" w:eastAsia="Times New Roman" w:hAnsi="Times New Roman"/>
                <w:sz w:val="13"/>
                <w:szCs w:val="13"/>
                <w:b w:val="1"/>
                <w:bCs w:val="1"/>
                <w:color w:val="auto"/>
              </w:rPr>
              <w:t>February 19,</w:t>
            </w:r>
          </w:p>
        </w:tc>
      </w:tr>
      <w:tr>
        <w:trPr>
          <w:trHeight w:val="157"/>
        </w:trPr>
        <w:tc>
          <w:tcPr>
            <w:tcW w:w="2360" w:type="dxa"/>
            <w:vAlign w:val="bottom"/>
          </w:tcPr>
          <w:p>
            <w:pPr>
              <w:spacing w:after="0"/>
              <w:rPr>
                <w:sz w:val="13"/>
                <w:szCs w:val="13"/>
                <w:color w:val="auto"/>
              </w:rPr>
            </w:pPr>
          </w:p>
        </w:tc>
        <w:tc>
          <w:tcPr>
            <w:tcW w:w="4260" w:type="dxa"/>
            <w:vAlign w:val="bottom"/>
            <w:gridSpan w:val="2"/>
          </w:tcPr>
          <w:p>
            <w:pPr>
              <w:jc w:val="center"/>
              <w:ind w:left="3442"/>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80" w:type="dxa"/>
            <w:vAlign w:val="bottom"/>
          </w:tcPr>
          <w:p>
            <w:pPr>
              <w:spacing w:after="0"/>
              <w:rPr>
                <w:sz w:val="13"/>
                <w:szCs w:val="13"/>
                <w:color w:val="auto"/>
              </w:rPr>
            </w:pPr>
          </w:p>
        </w:tc>
      </w:tr>
      <w:tr>
        <w:trPr>
          <w:trHeight w:val="188"/>
        </w:trPr>
        <w:tc>
          <w:tcPr>
            <w:tcW w:w="2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35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19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4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19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4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12"/>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4440" w:type="dxa"/>
            <w:vAlign w:val="bottom"/>
            <w:gridSpan w:val="3"/>
          </w:tcPr>
          <w:p>
            <w:pPr>
              <w:jc w:val="right"/>
              <w:ind w:right="98"/>
              <w:spacing w:after="0"/>
              <w:rPr>
                <w:sz w:val="20"/>
                <w:szCs w:val="20"/>
                <w:color w:val="auto"/>
              </w:rPr>
            </w:pPr>
            <w:r>
              <w:rPr>
                <w:rFonts w:ascii="Times New Roman" w:cs="Times New Roman" w:eastAsia="Times New Roman" w:hAnsi="Times New Roman"/>
                <w:sz w:val="16"/>
                <w:szCs w:val="16"/>
                <w:color w:val="auto"/>
              </w:rPr>
              <w:t>3.00</w:t>
            </w:r>
          </w:p>
        </w:tc>
      </w:tr>
      <w:tr>
        <w:trPr>
          <w:trHeight w:val="314"/>
        </w:trPr>
        <w:tc>
          <w:tcPr>
            <w:tcW w:w="2360" w:type="dxa"/>
            <w:vAlign w:val="bottom"/>
          </w:tcPr>
          <w:p>
            <w:pPr>
              <w:spacing w:after="0"/>
              <w:rPr>
                <w:sz w:val="24"/>
                <w:szCs w:val="24"/>
                <w:color w:val="auto"/>
              </w:rPr>
            </w:pPr>
          </w:p>
        </w:tc>
        <w:tc>
          <w:tcPr>
            <w:tcW w:w="4440" w:type="dxa"/>
            <w:vAlign w:val="bottom"/>
            <w:gridSpan w:val="3"/>
          </w:tcPr>
          <w:p>
            <w:pPr>
              <w:jc w:val="right"/>
              <w:ind w:right="3158"/>
              <w:spacing w:after="0"/>
              <w:rPr>
                <w:sz w:val="20"/>
                <w:szCs w:val="20"/>
                <w:color w:val="auto"/>
              </w:rPr>
            </w:pPr>
            <w:r>
              <w:rPr>
                <w:rFonts w:ascii="Times New Roman" w:cs="Times New Roman" w:eastAsia="Times New Roman" w:hAnsi="Times New Roman"/>
                <w:sz w:val="16"/>
                <w:szCs w:val="16"/>
                <w:color w:val="auto"/>
              </w:rPr>
              <w:t>F-40</w:t>
            </w:r>
          </w:p>
        </w:tc>
      </w:tr>
    </w:tbl>
    <w:p>
      <w:pPr>
        <w:sectPr>
          <w:pgSz w:w="11900" w:h="16838" w:orient="portrait"/>
          <w:cols w:equalWidth="0" w:num="1">
            <w:col w:w="10600"/>
          </w:cols>
          <w:pgMar w:left="320" w:top="453" w:right="979" w:bottom="1440" w:gutter="0" w:footer="0" w:header="0"/>
        </w:sectPr>
      </w:pPr>
    </w:p>
    <w:bookmarkStart w:id="194" w:name="page195"/>
    <w:bookmarkEnd w:id="19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60" w:firstLine="400"/>
        <w:spacing w:after="0" w:line="273" w:lineRule="auto"/>
        <w:rPr>
          <w:sz w:val="20"/>
          <w:szCs w:val="20"/>
          <w:color w:val="auto"/>
        </w:rPr>
      </w:pPr>
      <w:r>
        <w:rPr>
          <w:rFonts w:ascii="Times New Roman" w:cs="Times New Roman" w:eastAsia="Times New Roman" w:hAnsi="Times New Roman"/>
          <w:sz w:val="16"/>
          <w:szCs w:val="16"/>
          <w:color w:val="auto"/>
        </w:rPr>
        <w:t>Estimates were determined as follows (i) expected term based on the warrant’s contractual period, (ii) based on the blended volatilities of comparable public companies, (iii) risk-free interest rates based on the U.S. Treasury yield for the expected term, and (iv) an expected dividend yield of zero percent was used since we did not yet and do not yet presently expect to pay dividends.</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On April 6, 2021, the strategic partner elected to net exercise its Class B Warrant in exchange for 9,953,454 of Class B voting units.</w:t>
      </w:r>
    </w:p>
    <w:p>
      <w:pPr>
        <w:spacing w:after="0" w:line="208" w:lineRule="exact"/>
        <w:rPr>
          <w:sz w:val="20"/>
          <w:szCs w:val="20"/>
          <w:color w:val="auto"/>
        </w:rPr>
      </w:pPr>
    </w:p>
    <w:p>
      <w:pPr>
        <w:ind w:left="620" w:right="20" w:firstLine="400"/>
        <w:spacing w:after="0" w:line="264" w:lineRule="auto"/>
        <w:rPr>
          <w:sz w:val="20"/>
          <w:szCs w:val="20"/>
          <w:color w:val="auto"/>
        </w:rPr>
      </w:pPr>
      <w:r>
        <w:rPr>
          <w:rFonts w:ascii="Times New Roman" w:cs="Times New Roman" w:eastAsia="Times New Roman" w:hAnsi="Times New Roman"/>
          <w:sz w:val="16"/>
          <w:szCs w:val="16"/>
          <w:color w:val="auto"/>
        </w:rPr>
        <w:t>In October 2021, Opco updated its assessment of future revenue from its relationship with the strategic partner and determined that the carrying value of the customer consideration asset exceeded the revenue less cost to provide service expected to be recognized from this relationship. As a result, Opco recorded an impairment charge of approximately $3.6 million to measure the fair value of the customer consideration asset at $0. The impairment charge is reflected as “Impairment of long-lived assets”. Refer to Note 3 for additional disclosures of the revenue reductions related to the customer consideration asset.</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Issuance of Class C Warrant</w:t>
      </w:r>
    </w:p>
    <w:p>
      <w:pPr>
        <w:spacing w:after="0" w:line="114" w:lineRule="exact"/>
        <w:rPr>
          <w:sz w:val="20"/>
          <w:szCs w:val="20"/>
          <w:color w:val="auto"/>
        </w:rPr>
      </w:pPr>
    </w:p>
    <w:p>
      <w:pPr>
        <w:ind w:left="620" w:right="20" w:firstLine="400"/>
        <w:spacing w:after="0" w:line="273" w:lineRule="auto"/>
        <w:rPr>
          <w:sz w:val="20"/>
          <w:szCs w:val="20"/>
          <w:color w:val="auto"/>
        </w:rPr>
      </w:pPr>
      <w:r>
        <w:rPr>
          <w:rFonts w:ascii="Times New Roman" w:cs="Times New Roman" w:eastAsia="Times New Roman" w:hAnsi="Times New Roman"/>
          <w:sz w:val="16"/>
          <w:szCs w:val="16"/>
          <w:color w:val="auto"/>
        </w:rPr>
        <w:t>In May, 2020, Opco issued a warrant to a minority investor to purchase 3,603,600 of Opco’s Class C voting units (“Class C Warrant”), at an exercise price of $1.11 per unit. The warrant vests upon the fulfillment of certain service conditions, with an expiration date of September 23, 2024. The fair value of the warrant on the grant date was estimated to be approximately $1.6 million.</w:t>
      </w:r>
    </w:p>
    <w:p>
      <w:pPr>
        <w:spacing w:after="0" w:line="157" w:lineRule="exact"/>
        <w:rPr>
          <w:sz w:val="20"/>
          <w:szCs w:val="20"/>
          <w:color w:val="auto"/>
        </w:rPr>
      </w:pPr>
    </w:p>
    <w:p>
      <w:pPr>
        <w:ind w:left="620" w:right="100" w:firstLine="400"/>
        <w:spacing w:after="0" w:line="291" w:lineRule="auto"/>
        <w:rPr>
          <w:sz w:val="20"/>
          <w:szCs w:val="20"/>
          <w:color w:val="auto"/>
        </w:rPr>
      </w:pPr>
      <w:r>
        <w:rPr>
          <w:rFonts w:ascii="Times New Roman" w:cs="Times New Roman" w:eastAsia="Times New Roman" w:hAnsi="Times New Roman"/>
          <w:sz w:val="16"/>
          <w:szCs w:val="16"/>
          <w:color w:val="auto"/>
        </w:rPr>
        <w:t>Opco measured the fair value of the warrant at issuance using the Black-Scholes option pricing model. The key inputs used in the valuation were as follows:</w:t>
      </w:r>
    </w:p>
    <w:p>
      <w:pPr>
        <w:spacing w:after="0" w:line="183" w:lineRule="exact"/>
        <w:rPr>
          <w:sz w:val="20"/>
          <w:szCs w:val="20"/>
          <w:color w:val="auto"/>
        </w:rPr>
      </w:pPr>
    </w:p>
    <w:tbl>
      <w:tblPr>
        <w:tblLayout w:type="fixed"/>
        <w:tblInd w:w="2220" w:type="dxa"/>
        <w:tblCellMar>
          <w:top w:w="0" w:type="dxa"/>
          <w:left w:w="0" w:type="dxa"/>
          <w:bottom w:w="0" w:type="dxa"/>
          <w:right w:w="0" w:type="dxa"/>
        </w:tblCellMar>
      </w:tblP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19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2"/>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29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4.35</w:t>
            </w:r>
          </w:p>
        </w:tc>
      </w:tr>
    </w:tbl>
    <w:p>
      <w:pPr>
        <w:spacing w:after="0" w:line="164" w:lineRule="exact"/>
        <w:rPr>
          <w:sz w:val="20"/>
          <w:szCs w:val="20"/>
          <w:color w:val="auto"/>
        </w:rPr>
      </w:pPr>
    </w:p>
    <w:p>
      <w:pPr>
        <w:ind w:left="620" w:right="120" w:firstLine="400"/>
        <w:spacing w:after="0" w:line="267" w:lineRule="auto"/>
        <w:rPr>
          <w:sz w:val="20"/>
          <w:szCs w:val="20"/>
          <w:color w:val="auto"/>
        </w:rPr>
      </w:pPr>
      <w:r>
        <w:rPr>
          <w:rFonts w:ascii="Times New Roman" w:cs="Times New Roman" w:eastAsia="Times New Roman" w:hAnsi="Times New Roman"/>
          <w:sz w:val="16"/>
          <w:szCs w:val="16"/>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Opco had neither declared or paid any cash dividends and did not plan to pay cash dividends in the foreseeable future as of the issuance date. As a result, an expected dividend yield of zero percent was used.</w:t>
      </w:r>
    </w:p>
    <w:p>
      <w:pPr>
        <w:spacing w:after="0" w:line="162" w:lineRule="exact"/>
        <w:rPr>
          <w:sz w:val="20"/>
          <w:szCs w:val="20"/>
          <w:color w:val="auto"/>
        </w:rPr>
      </w:pPr>
    </w:p>
    <w:p>
      <w:pPr>
        <w:ind w:left="620" w:right="280" w:firstLine="400"/>
        <w:spacing w:after="0" w:line="291" w:lineRule="auto"/>
        <w:rPr>
          <w:sz w:val="20"/>
          <w:szCs w:val="20"/>
          <w:color w:val="auto"/>
        </w:rPr>
      </w:pPr>
      <w:r>
        <w:rPr>
          <w:rFonts w:ascii="Times New Roman" w:cs="Times New Roman" w:eastAsia="Times New Roman" w:hAnsi="Times New Roman"/>
          <w:sz w:val="16"/>
          <w:szCs w:val="16"/>
          <w:color w:val="auto"/>
        </w:rPr>
        <w:t>In August 2021, Opco amended the Class C Warrant to change the service conditions for 781,515 warrant units. The service conditions for the remaining 2,822,085 units were unchanged.</w:t>
      </w:r>
    </w:p>
    <w:p>
      <w:pPr>
        <w:spacing w:after="0" w:line="142" w:lineRule="exact"/>
        <w:rPr>
          <w:sz w:val="20"/>
          <w:szCs w:val="20"/>
          <w:color w:val="auto"/>
        </w:rPr>
      </w:pPr>
    </w:p>
    <w:p>
      <w:pPr>
        <w:ind w:left="620" w:right="140" w:firstLine="400"/>
        <w:spacing w:after="0" w:line="273" w:lineRule="auto"/>
        <w:rPr>
          <w:sz w:val="20"/>
          <w:szCs w:val="20"/>
          <w:color w:val="auto"/>
        </w:rPr>
      </w:pPr>
      <w:r>
        <w:rPr>
          <w:rFonts w:ascii="Times New Roman" w:cs="Times New Roman" w:eastAsia="Times New Roman" w:hAnsi="Times New Roman"/>
          <w:sz w:val="16"/>
          <w:szCs w:val="16"/>
          <w:color w:val="auto"/>
        </w:rPr>
        <w:t>Opco accounted for the amendment as a modification and remeasured the fair value of the modified warrant units on the modification date using the Black-Scholes model. The fair value of the modified warrant units on modification date was estimated to be approximately $1.0 million. The key inputs used in the valuation were as follows:</w:t>
      </w:r>
    </w:p>
    <w:p>
      <w:pPr>
        <w:spacing w:after="0" w:line="198" w:lineRule="exact"/>
        <w:rPr>
          <w:sz w:val="20"/>
          <w:szCs w:val="20"/>
          <w:color w:val="auto"/>
        </w:rPr>
      </w:pPr>
    </w:p>
    <w:tbl>
      <w:tblPr>
        <w:tblLayout w:type="fixed"/>
        <w:tblInd w:w="2220" w:type="dxa"/>
        <w:tblCellMar>
          <w:top w:w="0" w:type="dxa"/>
          <w:left w:w="0" w:type="dxa"/>
          <w:bottom w:w="0" w:type="dxa"/>
          <w:right w:w="0" w:type="dxa"/>
        </w:tblCellMar>
      </w:tblP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19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r>
      <w:tr>
        <w:trPr>
          <w:trHeight w:val="212"/>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29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3.06</w:t>
            </w:r>
          </w:p>
        </w:tc>
      </w:tr>
    </w:tbl>
    <w:p>
      <w:pPr>
        <w:spacing w:after="0" w:line="164" w:lineRule="exact"/>
        <w:rPr>
          <w:sz w:val="20"/>
          <w:szCs w:val="20"/>
          <w:color w:val="auto"/>
        </w:rPr>
      </w:pPr>
    </w:p>
    <w:p>
      <w:pPr>
        <w:ind w:left="620" w:firstLine="400"/>
        <w:spacing w:after="0" w:line="267" w:lineRule="auto"/>
        <w:rPr>
          <w:sz w:val="20"/>
          <w:szCs w:val="20"/>
          <w:color w:val="auto"/>
        </w:rPr>
      </w:pPr>
      <w:r>
        <w:rPr>
          <w:rFonts w:ascii="Times New Roman" w:cs="Times New Roman" w:eastAsia="Times New Roman" w:hAnsi="Times New Roman"/>
          <w:sz w:val="16"/>
          <w:szCs w:val="16"/>
          <w:color w:val="auto"/>
        </w:rPr>
        <w:t>Estimates of expected term were based on the contractual period of the warrants. Estimates of the volatility for the Black-Scholes model were based on the blended volatilities of comparable public companies. The risk-free interest rates were based on the U.S. Treasury yield for a term consistent with the expected term. Opco had neither declared or paid any cash dividends and did not plan to pay cash dividends in the foreseeable future as of the issuance date. As a result, an expected dividend yield of zero percent was used.</w:t>
      </w:r>
    </w:p>
    <w:p>
      <w:pPr>
        <w:spacing w:after="0" w:line="1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F-41</w:t>
      </w:r>
    </w:p>
    <w:p>
      <w:pPr>
        <w:sectPr>
          <w:pgSz w:w="11900" w:h="16838" w:orient="portrait"/>
          <w:cols w:equalWidth="0" w:num="1">
            <w:col w:w="10600"/>
          </w:cols>
          <w:pgMar w:left="320" w:top="453" w:right="979" w:bottom="1440" w:gutter="0" w:footer="0" w:header="0"/>
        </w:sectPr>
      </w:pPr>
    </w:p>
    <w:bookmarkStart w:id="195" w:name="page196"/>
    <w:bookmarkEnd w:id="19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60" w:firstLine="400"/>
        <w:spacing w:after="0" w:line="261" w:lineRule="auto"/>
        <w:rPr>
          <w:sz w:val="20"/>
          <w:szCs w:val="20"/>
          <w:color w:val="auto"/>
        </w:rPr>
      </w:pPr>
      <w:r>
        <w:rPr>
          <w:rFonts w:ascii="Times New Roman" w:cs="Times New Roman" w:eastAsia="Times New Roman" w:hAnsi="Times New Roman"/>
          <w:sz w:val="16"/>
          <w:szCs w:val="16"/>
          <w:color w:val="auto"/>
        </w:rPr>
        <w:t>In connection with the Business Combination, the modified warrant units automatically converted into the right to purchase 793,352 Paired Interests in Opco at an exercise price of $1.11 per Paired Interest. As of December 31, 2021, 172,055 modified warrant units have vested but have not been exercised, and the remaining 621,297 warrant units have not vested or been exercised. As of December 31, 2020, no warrant units had vested or been exercised. We recorded approximately $1.0 million of expense during the period from January 1, 2021 through October 14, 2021 upon the vesting of the modified warrant units which is reflected in “Selling, general and administrative” in the statements of operations. No expenses were recorded in the period from October 15, 2021 through December 31, 2021 or the year ended December 31, 2020 since the service conditions were not probable of being met in those periods.</w:t>
      </w:r>
    </w:p>
    <w:p>
      <w:pPr>
        <w:spacing w:after="0" w:line="262" w:lineRule="exact"/>
        <w:rPr>
          <w:sz w:val="20"/>
          <w:szCs w:val="20"/>
          <w:color w:val="auto"/>
        </w:rPr>
      </w:pPr>
    </w:p>
    <w:p>
      <w:pPr>
        <w:ind w:left="620" w:right="6660" w:firstLine="3"/>
        <w:spacing w:after="0" w:line="386" w:lineRule="auto"/>
        <w:tabs>
          <w:tab w:leader="none" w:pos="856" w:val="left"/>
        </w:tabs>
        <w:numPr>
          <w:ilvl w:val="0"/>
          <w:numId w:val="1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Share-Based and Unit-Based Compensation 2021 Incentive Plan</w:t>
      </w:r>
    </w:p>
    <w:p>
      <w:pPr>
        <w:spacing w:after="0" w:line="1" w:lineRule="exact"/>
        <w:rPr>
          <w:sz w:val="20"/>
          <w:szCs w:val="20"/>
          <w:color w:val="auto"/>
        </w:rPr>
      </w:pPr>
    </w:p>
    <w:p>
      <w:pPr>
        <w:ind w:left="620" w:right="40" w:firstLine="400"/>
        <w:spacing w:after="0" w:line="264" w:lineRule="auto"/>
        <w:rPr>
          <w:sz w:val="20"/>
          <w:szCs w:val="20"/>
          <w:color w:val="auto"/>
        </w:rPr>
      </w:pPr>
      <w:r>
        <w:rPr>
          <w:rFonts w:ascii="Times New Roman" w:cs="Times New Roman" w:eastAsia="Times New Roman" w:hAnsi="Times New Roman"/>
          <w:sz w:val="16"/>
          <w:szCs w:val="16"/>
          <w:color w:val="auto"/>
        </w:rPr>
        <w:t>Our 2021 Omnibus Incentive Plan (the “2021 Incentive Plan”) became effective on the Closing Date with the approval of VIH’s shareholders and the Board of Directors. The 2021 Incentive Plan allows us to make equity and equity-based incentive awards to employees, non-employee directors and consultants. There are 25,816,946 shares of Class A common stock reserved for issuance under the 2021 Incentive Plan which can be granted as stock options, stock appreciation rights, restricted shares, restricted stock units (RSUs), performance stock units (PSUs), dividend equivalent rights and other share-based awards. No award may vest earlier than the first anniversary of the date of grant, expect under limited conditions.</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Share-Based Compensation Expense</w:t>
      </w:r>
    </w:p>
    <w:p>
      <w:pPr>
        <w:spacing w:after="0" w:line="114" w:lineRule="exact"/>
        <w:rPr>
          <w:sz w:val="20"/>
          <w:szCs w:val="20"/>
          <w:color w:val="auto"/>
        </w:rPr>
      </w:pPr>
    </w:p>
    <w:p>
      <w:pPr>
        <w:ind w:left="620" w:firstLine="400"/>
        <w:spacing w:after="0" w:line="273" w:lineRule="auto"/>
        <w:rPr>
          <w:sz w:val="20"/>
          <w:szCs w:val="20"/>
          <w:color w:val="auto"/>
        </w:rPr>
      </w:pPr>
      <w:r>
        <w:rPr>
          <w:rFonts w:ascii="Times New Roman" w:cs="Times New Roman" w:eastAsia="Times New Roman" w:hAnsi="Times New Roman"/>
          <w:sz w:val="16"/>
          <w:szCs w:val="16"/>
          <w:color w:val="auto"/>
        </w:rPr>
        <w:t>During the period from October 15, 2021 through December 31, 2021, we granted 2,141,778 RSUs to employees and directors of Bakkt and Bakkt Trust. We recorded $1.0 million of share-based compensation expense for the period from October 15, 2021 through December 31, 2021 which is included in “Compensation and benefits” in the statements of operations.</w:t>
      </w:r>
    </w:p>
    <w:p>
      <w:pPr>
        <w:spacing w:after="0" w:line="157" w:lineRule="exact"/>
        <w:rPr>
          <w:sz w:val="20"/>
          <w:szCs w:val="20"/>
          <w:color w:val="auto"/>
        </w:rPr>
      </w:pPr>
    </w:p>
    <w:p>
      <w:pPr>
        <w:ind w:left="620" w:right="80" w:firstLine="400"/>
        <w:spacing w:after="0" w:line="291" w:lineRule="auto"/>
        <w:rPr>
          <w:sz w:val="20"/>
          <w:szCs w:val="20"/>
          <w:color w:val="auto"/>
        </w:rPr>
      </w:pPr>
      <w:r>
        <w:rPr>
          <w:rFonts w:ascii="Times New Roman" w:cs="Times New Roman" w:eastAsia="Times New Roman" w:hAnsi="Times New Roman"/>
          <w:sz w:val="16"/>
          <w:szCs w:val="16"/>
          <w:color w:val="auto"/>
        </w:rPr>
        <w:t>Unrecognized compensation expense as of December 31, 2021 was $18.6 million for the RSUs. The unrecognized compensation expense will be recognized over a weighted-average period of 1.51 years.</w:t>
      </w:r>
    </w:p>
    <w:p>
      <w:pPr>
        <w:spacing w:after="0" w:line="142" w:lineRule="exact"/>
        <w:rPr>
          <w:sz w:val="20"/>
          <w:szCs w:val="20"/>
          <w:color w:val="auto"/>
        </w:rPr>
      </w:pPr>
    </w:p>
    <w:p>
      <w:pPr>
        <w:ind w:left="620" w:right="280" w:firstLine="400"/>
        <w:spacing w:after="0" w:line="273" w:lineRule="auto"/>
        <w:rPr>
          <w:sz w:val="20"/>
          <w:szCs w:val="20"/>
          <w:color w:val="auto"/>
        </w:rPr>
      </w:pPr>
      <w:r>
        <w:rPr>
          <w:rFonts w:ascii="Times New Roman" w:cs="Times New Roman" w:eastAsia="Times New Roman" w:hAnsi="Times New Roman"/>
          <w:sz w:val="16"/>
          <w:szCs w:val="16"/>
          <w:color w:val="auto"/>
        </w:rPr>
        <w:t>In January and February, 2022, we granted 6,869,070 RSUs and 4,765,378 PSUs to employees and directors of Bakkt and Bakkt Trust. The majority of these grants were related to initial employment agreements for executives, which were approved by the Compensation Committee of the Board of Directors.</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RSU Activity</w:t>
      </w:r>
    </w:p>
    <w:p>
      <w:pPr>
        <w:spacing w:after="0" w:line="114" w:lineRule="exact"/>
        <w:rPr>
          <w:sz w:val="20"/>
          <w:szCs w:val="20"/>
          <w:color w:val="auto"/>
        </w:rPr>
      </w:pPr>
    </w:p>
    <w:p>
      <w:pPr>
        <w:ind w:left="620" w:firstLine="400"/>
        <w:spacing w:after="0" w:line="291" w:lineRule="auto"/>
        <w:rPr>
          <w:sz w:val="20"/>
          <w:szCs w:val="20"/>
          <w:color w:val="auto"/>
        </w:rPr>
      </w:pPr>
      <w:r>
        <w:rPr>
          <w:rFonts w:ascii="Times New Roman" w:cs="Times New Roman" w:eastAsia="Times New Roman" w:hAnsi="Times New Roman"/>
          <w:sz w:val="16"/>
          <w:szCs w:val="16"/>
          <w:color w:val="auto"/>
        </w:rPr>
        <w:t>The following tables summarize RSU activity under the 2021 Incentive Plan for the period from October 15, 2021 through December 31, 2021 (in thousands, except per unit data):</w:t>
      </w:r>
    </w:p>
    <w:p>
      <w:pPr>
        <w:spacing w:after="0" w:line="16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b w:val="1"/>
          <w:bCs w:val="1"/>
          <w:color w:val="auto"/>
        </w:rPr>
        <w:t>Successor</w:t>
      </w:r>
    </w:p>
    <w:p>
      <w:pPr>
        <w:spacing w:after="0" w:line="20" w:lineRule="exact"/>
        <w:rPr>
          <w:sz w:val="20"/>
          <w:szCs w:val="20"/>
          <w:color w:val="auto"/>
        </w:rPr>
      </w:pPr>
    </w:p>
    <w:tbl>
      <w:tblPr>
        <w:tblLayout w:type="fixed"/>
        <w:tblInd w:w="1020" w:type="dxa"/>
        <w:tblCellMar>
          <w:top w:w="0" w:type="dxa"/>
          <w:left w:w="0" w:type="dxa"/>
          <w:bottom w:w="0" w:type="dxa"/>
          <w:right w:w="0" w:type="dxa"/>
        </w:tblCellMar>
      </w:tblPr>
      <w:tr>
        <w:trPr>
          <w:trHeight w:val="105"/>
        </w:trPr>
        <w:tc>
          <w:tcPr>
            <w:tcW w:w="2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7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gridSpan w:val="2"/>
          </w:tcPr>
          <w:p>
            <w:pPr>
              <w:jc w:val="center"/>
              <w:ind w:right="540"/>
              <w:spacing w:after="0" w:line="105"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820" w:type="dxa"/>
            <w:vAlign w:val="bottom"/>
            <w:tcBorders>
              <w:top w:val="single" w:sz="8" w:color="auto"/>
            </w:tcBorders>
            <w:gridSpan w:val="3"/>
          </w:tcPr>
          <w:p>
            <w:pPr>
              <w:jc w:val="center"/>
              <w:ind w:right="280"/>
              <w:spacing w:after="0" w:line="105"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2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82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280" w:type="dxa"/>
            <w:vAlign w:val="bottom"/>
          </w:tcPr>
          <w:p>
            <w:pPr>
              <w:spacing w:after="0"/>
              <w:rPr>
                <w:sz w:val="11"/>
                <w:szCs w:val="11"/>
                <w:color w:val="auto"/>
              </w:rPr>
            </w:pP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28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00" w:type="dxa"/>
            <w:vAlign w:val="bottom"/>
          </w:tcPr>
          <w:p>
            <w:pPr>
              <w:spacing w:after="0"/>
              <w:rPr>
                <w:sz w:val="11"/>
                <w:szCs w:val="11"/>
                <w:color w:val="auto"/>
              </w:rPr>
            </w:pPr>
          </w:p>
        </w:tc>
        <w:tc>
          <w:tcPr>
            <w:tcW w:w="7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2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89"/>
              </w:rPr>
              <w:t>RSUs</w:t>
            </w:r>
          </w:p>
        </w:tc>
        <w:tc>
          <w:tcPr>
            <w:tcW w:w="27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8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82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Date Fair</w:t>
            </w:r>
          </w:p>
        </w:tc>
        <w:tc>
          <w:tcPr>
            <w:tcW w:w="280" w:type="dxa"/>
            <w:vAlign w:val="bottom"/>
          </w:tcPr>
          <w:p>
            <w:pPr>
              <w:spacing w:after="0"/>
              <w:rPr>
                <w:sz w:val="11"/>
                <w:szCs w:val="11"/>
                <w:color w:val="auto"/>
              </w:rPr>
            </w:pPr>
          </w:p>
        </w:tc>
        <w:tc>
          <w:tcPr>
            <w:tcW w:w="6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57"/>
        </w:trPr>
        <w:tc>
          <w:tcPr>
            <w:tcW w:w="2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27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of RSUs</w:t>
            </w:r>
          </w:p>
        </w:tc>
        <w:tc>
          <w:tcPr>
            <w:tcW w:w="5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Term (years)</w:t>
            </w:r>
          </w:p>
        </w:tc>
        <w:tc>
          <w:tcPr>
            <w:tcW w:w="5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October 15, 2021</w:t>
            </w:r>
          </w:p>
        </w:tc>
        <w:tc>
          <w:tcPr>
            <w:tcW w:w="27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370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2,142</w:t>
            </w: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9.18</w:t>
            </w:r>
          </w:p>
        </w:tc>
        <w:tc>
          <w:tcPr>
            <w:tcW w:w="900" w:type="dxa"/>
            <w:vAlign w:val="bottom"/>
            <w:gridSpan w:val="3"/>
          </w:tcPr>
          <w:p>
            <w:pPr>
              <w:jc w:val="center"/>
              <w:ind w:left="158"/>
              <w:spacing w:after="0"/>
              <w:rPr>
                <w:sz w:val="20"/>
                <w:szCs w:val="20"/>
                <w:color w:val="auto"/>
              </w:rPr>
            </w:pPr>
            <w:r>
              <w:rPr>
                <w:rFonts w:ascii="Times New Roman" w:cs="Times New Roman" w:eastAsia="Times New Roman" w:hAnsi="Times New Roman"/>
                <w:sz w:val="16"/>
                <w:szCs w:val="16"/>
                <w:color w:val="auto"/>
              </w:rPr>
              <w:t>$ 19,669</w:t>
            </w:r>
          </w:p>
        </w:tc>
        <w:tc>
          <w:tcPr>
            <w:tcW w:w="0" w:type="dxa"/>
            <w:vAlign w:val="bottom"/>
          </w:tcPr>
          <w:p>
            <w:pPr>
              <w:spacing w:after="0"/>
              <w:rPr>
                <w:sz w:val="1"/>
                <w:szCs w:val="1"/>
                <w:color w:val="auto"/>
              </w:rPr>
            </w:pPr>
          </w:p>
        </w:tc>
      </w:tr>
      <w:tr>
        <w:trPr>
          <w:trHeight w:val="19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27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as of December 31, 2021</w:t>
            </w:r>
          </w:p>
        </w:tc>
        <w:tc>
          <w:tcPr>
            <w:tcW w:w="370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2,142</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9.18</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as of December 31, 2021</w:t>
            </w:r>
          </w:p>
        </w:tc>
        <w:tc>
          <w:tcPr>
            <w:tcW w:w="27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00" w:type="dxa"/>
            <w:vAlign w:val="bottom"/>
            <w:gridSpan w:val="3"/>
          </w:tcPr>
          <w:p>
            <w:pPr>
              <w:ind w:left="1940"/>
              <w:spacing w:after="0"/>
              <w:rPr>
                <w:sz w:val="20"/>
                <w:szCs w:val="20"/>
                <w:color w:val="auto"/>
              </w:rPr>
            </w:pPr>
            <w:r>
              <w:rPr>
                <w:rFonts w:ascii="Times New Roman" w:cs="Times New Roman" w:eastAsia="Times New Roman" w:hAnsi="Times New Roman"/>
                <w:sz w:val="16"/>
                <w:szCs w:val="16"/>
                <w:color w:val="auto"/>
              </w:rPr>
              <w:t>F-42</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320" w:top="453" w:right="999" w:bottom="1440" w:gutter="0" w:footer="0" w:header="0"/>
        </w:sectPr>
      </w:pPr>
    </w:p>
    <w:bookmarkStart w:id="196" w:name="page197"/>
    <w:bookmarkEnd w:id="19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Opco Plan</w:t>
      </w:r>
    </w:p>
    <w:p>
      <w:pPr>
        <w:spacing w:after="0" w:line="114" w:lineRule="exact"/>
        <w:rPr>
          <w:sz w:val="20"/>
          <w:szCs w:val="20"/>
          <w:color w:val="auto"/>
        </w:rPr>
      </w:pPr>
    </w:p>
    <w:p>
      <w:pPr>
        <w:ind w:left="620" w:right="20" w:firstLine="400"/>
        <w:spacing w:after="0" w:line="267" w:lineRule="auto"/>
        <w:rPr>
          <w:sz w:val="20"/>
          <w:szCs w:val="20"/>
          <w:color w:val="auto"/>
        </w:rPr>
      </w:pPr>
      <w:r>
        <w:rPr>
          <w:rFonts w:ascii="Times New Roman" w:cs="Times New Roman" w:eastAsia="Times New Roman" w:hAnsi="Times New Roman"/>
          <w:sz w:val="16"/>
          <w:szCs w:val="16"/>
          <w:color w:val="auto"/>
        </w:rPr>
        <w:t>In December 2018, Opco established the Opco Plan. The purpose of the Opco Plan was to provide incentives to selected employees, directors, and service providers to promote long-term growth and profitability. Three types of awards may be granted under the Opco Plan: (1) preferred incentive units, (2) common incentive units, and (3) participation units. The total number of units that Opco was authorized to issue under the Opco Plan was 156,000,000, which were granted at the discretion of the Compensation Committee of the Board of Directors of the Company.</w:t>
      </w:r>
    </w:p>
    <w:p>
      <w:pPr>
        <w:spacing w:after="0" w:line="162" w:lineRule="exact"/>
        <w:rPr>
          <w:sz w:val="20"/>
          <w:szCs w:val="20"/>
          <w:color w:val="auto"/>
        </w:rPr>
      </w:pPr>
    </w:p>
    <w:p>
      <w:pPr>
        <w:ind w:left="620" w:right="160" w:firstLine="400"/>
        <w:spacing w:after="0" w:line="285" w:lineRule="auto"/>
        <w:rPr>
          <w:sz w:val="20"/>
          <w:szCs w:val="20"/>
          <w:color w:val="auto"/>
        </w:rPr>
      </w:pPr>
      <w:r>
        <w:rPr>
          <w:rFonts w:ascii="Times New Roman" w:cs="Times New Roman" w:eastAsia="Times New Roman" w:hAnsi="Times New Roman"/>
          <w:sz w:val="16"/>
          <w:szCs w:val="16"/>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w:t>
      </w:r>
    </w:p>
    <w:p>
      <w:pPr>
        <w:spacing w:after="0" w:line="347" w:lineRule="exact"/>
        <w:rPr>
          <w:sz w:val="20"/>
          <w:szCs w:val="20"/>
          <w:color w:val="auto"/>
        </w:rPr>
      </w:pPr>
    </w:p>
    <w:p>
      <w:pPr>
        <w:ind w:left="620" w:firstLine="400"/>
        <w:spacing w:after="0" w:line="267" w:lineRule="auto"/>
        <w:rPr>
          <w:sz w:val="20"/>
          <w:szCs w:val="20"/>
          <w:color w:val="auto"/>
        </w:rPr>
      </w:pPr>
      <w:r>
        <w:rPr>
          <w:rFonts w:ascii="Times New Roman" w:cs="Times New Roman" w:eastAsia="Times New Roman" w:hAnsi="Times New Roman"/>
          <w:sz w:val="16"/>
          <w:szCs w:val="16"/>
          <w:color w:val="auto"/>
        </w:rPr>
        <w:t>Participation units, issued directly by Opco to Opco Plan participants, do not represent an ownership interest in Opco but rather provide Opco Plan participants the contractual right to participate in the value of Opco, if any through a cash payment upon the occurrence of certain events following vesting of the participation units. Because participation units are settled in cash, Opco classifies participation units as liability awards on its consolidated balance sheets.</w:t>
      </w:r>
    </w:p>
    <w:p>
      <w:pPr>
        <w:spacing w:after="0" w:line="162" w:lineRule="exact"/>
        <w:rPr>
          <w:sz w:val="20"/>
          <w:szCs w:val="20"/>
          <w:color w:val="auto"/>
        </w:rPr>
      </w:pPr>
    </w:p>
    <w:p>
      <w:pPr>
        <w:ind w:left="620" w:right="100" w:firstLine="400"/>
        <w:spacing w:after="0" w:line="262" w:lineRule="auto"/>
        <w:rPr>
          <w:sz w:val="20"/>
          <w:szCs w:val="20"/>
          <w:color w:val="auto"/>
        </w:rPr>
      </w:pPr>
      <w:r>
        <w:rPr>
          <w:rFonts w:ascii="Times New Roman" w:cs="Times New Roman" w:eastAsia="Times New Roman" w:hAnsi="Times New Roman"/>
          <w:sz w:val="16"/>
          <w:szCs w:val="16"/>
          <w:color w:val="auto"/>
        </w:rPr>
        <w:t>The units are unvested on the grant date and are subject to the vesting terms in the award agreement. They do not receive distributions until such units are vested. The units vest subject to continuous employment through the vesting date (subject to limited exceptions), and the achievement of certain performance and market conditions. A portion of the units may be subject to vesting upon a liquidity event, initial public offering, or partial exit event, or to the extent any incentive units and participation units remain outstanding and unvested on the date that is the eight-year anniversary of the launch of one of Opco’s services in a production environment, which occurred on September 23, 2019, these remaining units will vest based on the calculated fair market value of Opco as of such date. The Business Combination was an initial public offering vesting event contemplated in the Opco Plan.</w:t>
      </w:r>
    </w:p>
    <w:p>
      <w:pPr>
        <w:spacing w:after="0" w:line="364" w:lineRule="exact"/>
        <w:rPr>
          <w:sz w:val="20"/>
          <w:szCs w:val="20"/>
          <w:color w:val="auto"/>
        </w:rPr>
      </w:pPr>
    </w:p>
    <w:p>
      <w:pPr>
        <w:ind w:left="620" w:firstLine="400"/>
        <w:spacing w:after="0" w:line="258" w:lineRule="auto"/>
        <w:rPr>
          <w:sz w:val="20"/>
          <w:szCs w:val="20"/>
          <w:color w:val="auto"/>
        </w:rPr>
      </w:pPr>
      <w:r>
        <w:rPr>
          <w:rFonts w:ascii="Times New Roman" w:cs="Times New Roman" w:eastAsia="Times New Roman" w:hAnsi="Times New Roman"/>
          <w:sz w:val="16"/>
          <w:szCs w:val="16"/>
          <w:color w:val="auto"/>
        </w:rPr>
        <w:t>On December 19, 2018, Opco and Bakkt Management, LLC (the “Management Vehicle”), a wholly-owned subsidiary of Opco, entered into the Back-to-Back Agreement. The Management Vehicle has no substantive operations, and its sole purpose is to own incentive units in Opco. Under the Back-to-Back Agreement, Opco grants incentive units to the Management Vehicle, which is a member of Opco, and the Management Vehicle issues economically identical membership interests in the Management Vehicle (“Management incentive units”) to employees. Any employees who receive Management incentive units have an ownership interest in the Management Vehicle, which corresponds to an indirect ownership interest in Opco. Beginning on the 4th anniversary of the date that an incentive unit vests and assuming that Opco has not consummated an IPO or Liquidity Event, the Management Vehicle has the right, but not the obligation, to require Opco to purchase all of the incentive units then held by the Management Vehicle, for a period of four years. As such, Opco classified the incentive units as “Mezzanine equity” in the balance sheets due to this put option which represents a redemption feature. Since the incentive units reached a vesting event due to the Business Combination, the Management Vehicle no longer has the right to require Opco to purchase all of the incentive units held by the Management Vehicle. Accordingly, since the Closing Date, the Company classifies the incentive units as “Noncontrolling interest” in the balance sheets. Prior to the Business Combination, the incentive units were not subject to remeasurement until exercise of the put option became probable. As of December 31, 2020, Opco did not believe it was probable that the put option would be exercised and had not remeasured these incentive units.</w:t>
      </w:r>
    </w:p>
    <w:p>
      <w:pPr>
        <w:spacing w:after="0" w:line="174" w:lineRule="exact"/>
        <w:rPr>
          <w:sz w:val="20"/>
          <w:szCs w:val="20"/>
          <w:color w:val="auto"/>
        </w:rPr>
      </w:pPr>
    </w:p>
    <w:p>
      <w:pPr>
        <w:ind w:left="620" w:right="300" w:firstLine="400"/>
        <w:spacing w:after="0" w:line="264" w:lineRule="auto"/>
        <w:rPr>
          <w:sz w:val="20"/>
          <w:szCs w:val="20"/>
          <w:color w:val="auto"/>
        </w:rPr>
      </w:pPr>
      <w:r>
        <w:rPr>
          <w:rFonts w:ascii="Times New Roman" w:cs="Times New Roman" w:eastAsia="Times New Roman" w:hAnsi="Times New Roman"/>
          <w:sz w:val="16"/>
          <w:szCs w:val="16"/>
          <w:color w:val="auto"/>
        </w:rPr>
        <w:t>In February 2020, the Compensation Committee of the Board of Directors of ICE (the previous administrators of the Opco Plan) approved the exchange of certain participation units into common incentive units (the “Unit Exchange”). The Unit Exchange was communicated to eligible participants in April 2020, all of whom elected to participate in the exchange. Under the Unit Exchange, each participation unit was exchanged for common incentive units at a 1.00:1.11 ratio. The Unit Exchange did not result in additional compensation expense because the fair value of the units immediately before and after the modification was the same.</w:t>
      </w:r>
    </w:p>
    <w:p>
      <w:pPr>
        <w:spacing w:after="0" w:line="1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F-43</w:t>
      </w:r>
    </w:p>
    <w:p>
      <w:pPr>
        <w:sectPr>
          <w:pgSz w:w="11900" w:h="16838" w:orient="portrait"/>
          <w:cols w:equalWidth="0" w:num="1">
            <w:col w:w="10620"/>
          </w:cols>
          <w:pgMar w:left="320" w:top="453" w:right="959" w:bottom="1440" w:gutter="0" w:footer="0" w:header="0"/>
        </w:sectPr>
      </w:pPr>
    </w:p>
    <w:bookmarkStart w:id="197" w:name="page198"/>
    <w:bookmarkEnd w:id="19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0" w:firstLine="400"/>
        <w:spacing w:after="0" w:line="264" w:lineRule="auto"/>
        <w:rPr>
          <w:sz w:val="20"/>
          <w:szCs w:val="20"/>
          <w:color w:val="auto"/>
        </w:rPr>
      </w:pPr>
      <w:r>
        <w:rPr>
          <w:rFonts w:ascii="Times New Roman" w:cs="Times New Roman" w:eastAsia="Times New Roman" w:hAnsi="Times New Roman"/>
          <w:sz w:val="16"/>
          <w:szCs w:val="16"/>
          <w:color w:val="auto"/>
        </w:rPr>
        <w:t>In May 2020, Opco amended the Opco Plan. Under the modified Opco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 occurrence of a vesting event, as defined in the Opco Plan, subject to time restrictions. The modification to the Opco Plan did not result in additional compensation expense being recognized because the fair value of the units immediately before and after the modification was the same.</w:t>
      </w:r>
    </w:p>
    <w:p>
      <w:pPr>
        <w:spacing w:after="0" w:line="165" w:lineRule="exact"/>
        <w:rPr>
          <w:sz w:val="20"/>
          <w:szCs w:val="20"/>
          <w:color w:val="auto"/>
        </w:rPr>
      </w:pPr>
    </w:p>
    <w:p>
      <w:pPr>
        <w:ind w:left="620" w:right="80" w:firstLine="400"/>
        <w:spacing w:after="0" w:line="262" w:lineRule="auto"/>
        <w:rPr>
          <w:sz w:val="20"/>
          <w:szCs w:val="20"/>
          <w:color w:val="auto"/>
        </w:rPr>
      </w:pPr>
      <w:r>
        <w:rPr>
          <w:rFonts w:ascii="Times New Roman" w:cs="Times New Roman" w:eastAsia="Times New Roman" w:hAnsi="Times New Roman"/>
          <w:sz w:val="16"/>
          <w:szCs w:val="16"/>
          <w:color w:val="auto"/>
        </w:rPr>
        <w:t>In anticipation of the Business Combination, certain incentive unit awards granted under the Opco Plan in late 2020 were modified. The modification was approved in April 2021. The modification required Opco to redeem 40% of the first one-third of certain employee awards which were scheduled to vest upon consummation of the Business Combination. Upon consummation of the Business Combination, we paid approximately</w:t>
      </w:r>
    </w:p>
    <w:p>
      <w:pPr>
        <w:spacing w:after="0" w:line="1" w:lineRule="exact"/>
        <w:rPr>
          <w:sz w:val="20"/>
          <w:szCs w:val="20"/>
          <w:color w:val="auto"/>
        </w:rPr>
      </w:pPr>
    </w:p>
    <w:p>
      <w:pPr>
        <w:ind w:left="620" w:right="20"/>
        <w:spacing w:after="0" w:line="263" w:lineRule="auto"/>
        <w:rPr>
          <w:sz w:val="20"/>
          <w:szCs w:val="20"/>
          <w:color w:val="auto"/>
        </w:rPr>
      </w:pPr>
      <w:r>
        <w:rPr>
          <w:rFonts w:ascii="Times New Roman" w:cs="Times New Roman" w:eastAsia="Times New Roman" w:hAnsi="Times New Roman"/>
          <w:sz w:val="16"/>
          <w:szCs w:val="16"/>
          <w:color w:val="auto"/>
        </w:rPr>
        <w:t>$1.5 million to award holders for the redemption. This amount is included in the purchase consideration paid to Opco Equity Holders (Note 4). As this obligation was contingent upon consummation of the Business Combination, Opco did not recognize any additional unit-based compensation expense as a result of the modification for the period from January 1, 2021 through October 14, 2021.</w:t>
      </w:r>
    </w:p>
    <w:p>
      <w:pPr>
        <w:spacing w:after="0" w:line="164"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color w:val="auto"/>
        </w:rPr>
        <w:t>Upon consummation of the Business Combination, the 76,475,000 outstanding preferred incentive units and 23,219,745 outstanding common incentive units were converted into 17,473,362 Successor common incentive units, and the 10,811,502 outstanding participation units were converted into 1,197,250 Successor participation units. Contemporaneously with the conversion, approximately one-third of the awards in the Opco Plan vested. In November 2021, we made total payments of $5.2 million to settle the vested participation units. These payments are included in “Other assets and liabilities” in the statements of cash flows. The second and third one-third tranches will generally vest on the one-year and two-year anniversary date of the closing, respectively, although under the terms of the Opco Plan, employees who are terminated without cause after the Closing Date will vest in the unvested portion of their awards immediately upon their termination date.</w:t>
      </w: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Unit-Based Compensation Expense</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Unit-based compensation expense for the period from October 15, 2021 through December 31, 2021, was as follows (in thousands):</w:t>
      </w:r>
    </w:p>
    <w:p>
      <w:pPr>
        <w:spacing w:after="0" w:line="2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b w:val="1"/>
          <w:bCs w:val="1"/>
          <w:color w:val="auto"/>
        </w:rPr>
        <w:t>Successor</w:t>
      </w:r>
    </w:p>
    <w:p>
      <w:pPr>
        <w:spacing w:after="0" w:line="20" w:lineRule="exact"/>
        <w:rPr>
          <w:sz w:val="20"/>
          <w:szCs w:val="20"/>
          <w:color w:val="auto"/>
        </w:rPr>
      </w:pPr>
    </w:p>
    <w:tbl>
      <w:tblPr>
        <w:tblLayout w:type="fixed"/>
        <w:tblInd w:w="1420" w:type="dxa"/>
        <w:tblCellMar>
          <w:top w:w="0" w:type="dxa"/>
          <w:left w:w="0" w:type="dxa"/>
          <w:bottom w:w="0" w:type="dxa"/>
          <w:right w:w="0" w:type="dxa"/>
        </w:tblCellMar>
      </w:tblPr>
      <w:tr>
        <w:trPr>
          <w:trHeight w:val="105"/>
        </w:trPr>
        <w:tc>
          <w:tcPr>
            <w:tcW w:w="20" w:type="dxa"/>
            <w:vAlign w:val="bottom"/>
          </w:tcPr>
          <w:p>
            <w:pPr>
              <w:spacing w:after="0"/>
              <w:rPr>
                <w:sz w:val="9"/>
                <w:szCs w:val="9"/>
                <w:color w:val="auto"/>
              </w:rPr>
            </w:pPr>
          </w:p>
        </w:tc>
        <w:tc>
          <w:tcPr>
            <w:tcW w:w="15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9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560" w:type="dxa"/>
            <w:vAlign w:val="bottom"/>
            <w:tcBorders>
              <w:top w:val="single" w:sz="8" w:color="auto"/>
            </w:tcBorders>
            <w:gridSpan w:val="2"/>
          </w:tcPr>
          <w:p>
            <w:pPr>
              <w:jc w:val="center"/>
              <w:ind w:right="480"/>
              <w:spacing w:after="0" w:line="105" w:lineRule="exact"/>
              <w:rPr>
                <w:sz w:val="20"/>
                <w:szCs w:val="20"/>
                <w:color w:val="auto"/>
              </w:rPr>
            </w:pPr>
            <w:r>
              <w:rPr>
                <w:rFonts w:ascii="Times New Roman" w:cs="Times New Roman" w:eastAsia="Times New Roman" w:hAnsi="Times New Roman"/>
                <w:sz w:val="12"/>
                <w:szCs w:val="12"/>
                <w:b w:val="1"/>
                <w:bCs w:val="1"/>
                <w:color w:val="auto"/>
              </w:rPr>
              <w:t>Statement of</w:t>
            </w:r>
          </w:p>
        </w:tc>
        <w:tc>
          <w:tcPr>
            <w:tcW w:w="12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6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Operations and</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460" w:type="dxa"/>
            <w:vAlign w:val="bottom"/>
          </w:tcPr>
          <w:p>
            <w:pPr>
              <w:spacing w:after="0"/>
              <w:rPr>
                <w:sz w:val="11"/>
                <w:szCs w:val="11"/>
                <w:color w:val="auto"/>
              </w:rPr>
            </w:pPr>
          </w:p>
        </w:tc>
        <w:tc>
          <w:tcPr>
            <w:tcW w:w="156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560" w:type="dxa"/>
            <w:vAlign w:val="bottom"/>
            <w:gridSpan w:val="2"/>
          </w:tcPr>
          <w:p>
            <w:pPr>
              <w:jc w:val="center"/>
              <w:ind w:right="480"/>
              <w:spacing w:after="0" w:line="133"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20" w:type="dxa"/>
            <w:vAlign w:val="bottom"/>
            <w:gridSpan w:val="3"/>
          </w:tcPr>
          <w:p>
            <w:pPr>
              <w:jc w:val="right"/>
              <w:ind w:right="2095"/>
              <w:spacing w:after="0"/>
              <w:rPr>
                <w:sz w:val="20"/>
                <w:szCs w:val="20"/>
                <w:color w:val="auto"/>
              </w:rPr>
            </w:pPr>
            <w:r>
              <w:rPr>
                <w:rFonts w:ascii="Times New Roman" w:cs="Times New Roman" w:eastAsia="Times New Roman" w:hAnsi="Times New Roman"/>
                <w:sz w:val="13"/>
                <w:szCs w:val="13"/>
                <w:b w:val="1"/>
                <w:bCs w:val="1"/>
                <w:color w:val="auto"/>
                <w:w w:val="94"/>
              </w:rPr>
              <w:t>Type of unit</w:t>
            </w:r>
          </w:p>
        </w:tc>
        <w:tc>
          <w:tcPr>
            <w:tcW w:w="68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w w:val="99"/>
              </w:rPr>
              <w:t>Expense</w:t>
            </w:r>
          </w:p>
        </w:tc>
        <w:tc>
          <w:tcPr>
            <w:tcW w:w="460" w:type="dxa"/>
            <w:vAlign w:val="bottom"/>
          </w:tcPr>
          <w:p>
            <w:pPr>
              <w:spacing w:after="0"/>
              <w:rPr>
                <w:sz w:val="13"/>
                <w:szCs w:val="13"/>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4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Common incentive unit</w:t>
            </w:r>
          </w:p>
        </w:tc>
        <w:tc>
          <w:tcPr>
            <w:tcW w:w="680" w:type="dxa"/>
            <w:vAlign w:val="bottom"/>
            <w:tcBorders>
              <w:top w:val="single" w:sz="8" w:color="auto"/>
            </w:tcBorders>
            <w:shd w:val="clear" w:color="auto" w:fill="CCEEFF"/>
          </w:tcPr>
          <w:p>
            <w:pPr>
              <w:spacing w:after="0"/>
              <w:rPr>
                <w:sz w:val="14"/>
                <w:szCs w:val="14"/>
                <w:color w:val="auto"/>
              </w:rPr>
            </w:pPr>
          </w:p>
        </w:tc>
        <w:tc>
          <w:tcPr>
            <w:tcW w:w="19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rPr>
              <w:t>Compensation</w:t>
            </w:r>
          </w:p>
        </w:tc>
        <w:tc>
          <w:tcPr>
            <w:tcW w:w="4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ind w:left="40"/>
              <w:spacing w:after="0" w:line="172" w:lineRule="exact"/>
              <w:rPr>
                <w:sz w:val="20"/>
                <w:szCs w:val="20"/>
                <w:color w:val="auto"/>
              </w:rPr>
            </w:pPr>
            <w:r>
              <w:rPr>
                <w:rFonts w:ascii="Times New Roman" w:cs="Times New Roman" w:eastAsia="Times New Roman" w:hAnsi="Times New Roman"/>
                <w:sz w:val="16"/>
                <w:szCs w:val="16"/>
                <w:color w:val="auto"/>
              </w:rPr>
              <w:t>Noncontrolling</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42,376</w:t>
            </w: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and benefits</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Participation unit</w:t>
            </w:r>
          </w:p>
        </w:tc>
        <w:tc>
          <w:tcPr>
            <w:tcW w:w="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2,516</w:t>
            </w:r>
          </w:p>
        </w:tc>
        <w:tc>
          <w:tcPr>
            <w:tcW w:w="460" w:type="dxa"/>
            <w:vAlign w:val="bottom"/>
          </w:tcPr>
          <w:p>
            <w:pPr>
              <w:spacing w:after="0"/>
              <w:rPr>
                <w:sz w:val="15"/>
                <w:szCs w:val="15"/>
                <w:color w:val="auto"/>
              </w:rPr>
            </w:pPr>
          </w:p>
        </w:tc>
        <w:tc>
          <w:tcPr>
            <w:tcW w:w="1560" w:type="dxa"/>
            <w:vAlign w:val="bottom"/>
            <w:gridSpan w:val="2"/>
          </w:tcPr>
          <w:p>
            <w:pPr>
              <w:jc w:val="center"/>
              <w:ind w:right="500"/>
              <w:spacing w:after="0" w:line="180" w:lineRule="exact"/>
              <w:rPr>
                <w:sz w:val="20"/>
                <w:szCs w:val="20"/>
                <w:color w:val="auto"/>
              </w:rPr>
            </w:pPr>
            <w:r>
              <w:rPr>
                <w:rFonts w:ascii="Times New Roman" w:cs="Times New Roman" w:eastAsia="Times New Roman" w:hAnsi="Times New Roman"/>
                <w:sz w:val="16"/>
                <w:szCs w:val="16"/>
                <w:color w:val="auto"/>
              </w:rPr>
              <w:t>Compensation</w:t>
            </w:r>
          </w:p>
        </w:tc>
        <w:tc>
          <w:tcPr>
            <w:tcW w:w="132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Other noncurrent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and benefits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82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44,892</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F-44</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453" w:right="959" w:bottom="1440" w:gutter="0" w:footer="0" w:header="0"/>
        </w:sectPr>
      </w:pPr>
    </w:p>
    <w:bookmarkStart w:id="198" w:name="page199"/>
    <w:bookmarkEnd w:id="19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Unit-based compensation expense for the period from January 1, 2021 through October 14, 2021, was as follows (in thousands):</w:t>
      </w:r>
    </w:p>
    <w:p>
      <w:pPr>
        <w:spacing w:after="0" w:line="2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b w:val="1"/>
          <w:bCs w:val="1"/>
          <w:color w:val="auto"/>
        </w:rPr>
        <w:t>Predecessor</w:t>
      </w:r>
    </w:p>
    <w:p>
      <w:pPr>
        <w:spacing w:after="0" w:line="20" w:lineRule="exact"/>
        <w:rPr>
          <w:sz w:val="20"/>
          <w:szCs w:val="20"/>
          <w:color w:val="auto"/>
        </w:rPr>
      </w:pPr>
    </w:p>
    <w:tbl>
      <w:tblPr>
        <w:tblLayout w:type="fixed"/>
        <w:tblInd w:w="1420" w:type="dxa"/>
        <w:tblCellMar>
          <w:top w:w="0" w:type="dxa"/>
          <w:left w:w="0" w:type="dxa"/>
          <w:bottom w:w="0" w:type="dxa"/>
          <w:right w:w="0" w:type="dxa"/>
        </w:tblCellMar>
      </w:tblPr>
      <w:tr>
        <w:trPr>
          <w:trHeight w:val="105"/>
        </w:trPr>
        <w:tc>
          <w:tcPr>
            <w:tcW w:w="20" w:type="dxa"/>
            <w:vAlign w:val="bottom"/>
          </w:tcPr>
          <w:p>
            <w:pPr>
              <w:spacing w:after="0"/>
              <w:rPr>
                <w:sz w:val="9"/>
                <w:szCs w:val="9"/>
                <w:color w:val="auto"/>
              </w:rPr>
            </w:pPr>
          </w:p>
        </w:tc>
        <w:tc>
          <w:tcPr>
            <w:tcW w:w="15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9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560" w:type="dxa"/>
            <w:vAlign w:val="bottom"/>
            <w:tcBorders>
              <w:top w:val="single" w:sz="8" w:color="auto"/>
            </w:tcBorders>
            <w:gridSpan w:val="2"/>
          </w:tcPr>
          <w:p>
            <w:pPr>
              <w:jc w:val="center"/>
              <w:ind w:right="480"/>
              <w:spacing w:after="0" w:line="105" w:lineRule="exact"/>
              <w:rPr>
                <w:sz w:val="20"/>
                <w:szCs w:val="20"/>
                <w:color w:val="auto"/>
              </w:rPr>
            </w:pPr>
            <w:r>
              <w:rPr>
                <w:rFonts w:ascii="Times New Roman" w:cs="Times New Roman" w:eastAsia="Times New Roman" w:hAnsi="Times New Roman"/>
                <w:sz w:val="12"/>
                <w:szCs w:val="12"/>
                <w:b w:val="1"/>
                <w:bCs w:val="1"/>
                <w:color w:val="auto"/>
              </w:rPr>
              <w:t>Statement of</w:t>
            </w:r>
          </w:p>
        </w:tc>
        <w:tc>
          <w:tcPr>
            <w:tcW w:w="12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6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Operations and</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460" w:type="dxa"/>
            <w:vAlign w:val="bottom"/>
          </w:tcPr>
          <w:p>
            <w:pPr>
              <w:spacing w:after="0"/>
              <w:rPr>
                <w:sz w:val="11"/>
                <w:szCs w:val="11"/>
                <w:color w:val="auto"/>
              </w:rPr>
            </w:pPr>
          </w:p>
        </w:tc>
        <w:tc>
          <w:tcPr>
            <w:tcW w:w="156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Type of unit</w:t>
            </w:r>
          </w:p>
        </w:tc>
        <w:tc>
          <w:tcPr>
            <w:tcW w:w="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56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460" w:type="dxa"/>
            <w:vAlign w:val="bottom"/>
          </w:tcPr>
          <w:p>
            <w:pPr>
              <w:spacing w:after="0"/>
              <w:rPr>
                <w:sz w:val="13"/>
                <w:szCs w:val="13"/>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4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Preferred incentive unit</w:t>
            </w:r>
          </w:p>
        </w:tc>
        <w:tc>
          <w:tcPr>
            <w:tcW w:w="680" w:type="dxa"/>
            <w:vAlign w:val="bottom"/>
            <w:tcBorders>
              <w:top w:val="single" w:sz="8" w:color="auto"/>
            </w:tcBorders>
            <w:shd w:val="clear" w:color="auto" w:fill="CCEEFF"/>
          </w:tcPr>
          <w:p>
            <w:pPr>
              <w:spacing w:after="0"/>
              <w:rPr>
                <w:sz w:val="14"/>
                <w:szCs w:val="14"/>
                <w:color w:val="auto"/>
              </w:rPr>
            </w:pPr>
          </w:p>
        </w:tc>
        <w:tc>
          <w:tcPr>
            <w:tcW w:w="19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14,091</w:t>
            </w:r>
          </w:p>
        </w:tc>
        <w:tc>
          <w:tcPr>
            <w:tcW w:w="4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rPr>
              <w:t>Compensation</w:t>
            </w:r>
          </w:p>
        </w:tc>
        <w:tc>
          <w:tcPr>
            <w:tcW w:w="4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ind w:left="40"/>
              <w:spacing w:after="0" w:line="172" w:lineRule="exact"/>
              <w:rPr>
                <w:sz w:val="20"/>
                <w:szCs w:val="20"/>
                <w:color w:val="auto"/>
              </w:rPr>
            </w:pPr>
            <w:r>
              <w:rPr>
                <w:rFonts w:ascii="Times New Roman" w:cs="Times New Roman" w:eastAsia="Times New Roman" w:hAnsi="Times New Roman"/>
                <w:sz w:val="16"/>
                <w:szCs w:val="16"/>
                <w:color w:val="auto"/>
              </w:rPr>
              <w:t>Mezzanine</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and benefits</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Common incentive unit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12,447</w:t>
            </w:r>
          </w:p>
        </w:tc>
        <w:tc>
          <w:tcPr>
            <w:tcW w:w="460" w:type="dxa"/>
            <w:vAlign w:val="bottom"/>
          </w:tcPr>
          <w:p>
            <w:pPr>
              <w:spacing w:after="0"/>
              <w:rPr>
                <w:sz w:val="15"/>
                <w:szCs w:val="15"/>
                <w:color w:val="auto"/>
              </w:rPr>
            </w:pPr>
          </w:p>
        </w:tc>
        <w:tc>
          <w:tcPr>
            <w:tcW w:w="1560" w:type="dxa"/>
            <w:vAlign w:val="bottom"/>
            <w:gridSpan w:val="2"/>
          </w:tcPr>
          <w:p>
            <w:pPr>
              <w:jc w:val="center"/>
              <w:ind w:right="500"/>
              <w:spacing w:after="0" w:line="180" w:lineRule="exact"/>
              <w:rPr>
                <w:sz w:val="20"/>
                <w:szCs w:val="20"/>
                <w:color w:val="auto"/>
              </w:rPr>
            </w:pPr>
            <w:r>
              <w:rPr>
                <w:rFonts w:ascii="Times New Roman" w:cs="Times New Roman" w:eastAsia="Times New Roman" w:hAnsi="Times New Roman"/>
                <w:sz w:val="16"/>
                <w:szCs w:val="16"/>
                <w:color w:val="auto"/>
              </w:rPr>
              <w:t>Compensation</w:t>
            </w:r>
          </w:p>
        </w:tc>
        <w:tc>
          <w:tcPr>
            <w:tcW w:w="132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color w:val="auto"/>
              </w:rPr>
              <w:t>Mezzanine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and benefits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8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Participation unit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7,339</w:t>
            </w:r>
          </w:p>
        </w:tc>
        <w:tc>
          <w:tcPr>
            <w:tcW w:w="4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500"/>
              <w:spacing w:after="0" w:line="181" w:lineRule="exact"/>
              <w:rPr>
                <w:sz w:val="20"/>
                <w:szCs w:val="20"/>
                <w:color w:val="auto"/>
              </w:rPr>
            </w:pPr>
            <w:r>
              <w:rPr>
                <w:rFonts w:ascii="Times New Roman" w:cs="Times New Roman" w:eastAsia="Times New Roman" w:hAnsi="Times New Roman"/>
                <w:sz w:val="16"/>
                <w:szCs w:val="16"/>
                <w:color w:val="auto"/>
              </w:rPr>
              <w:t>Compensation</w:t>
            </w:r>
          </w:p>
        </w:tc>
        <w:tc>
          <w:tcPr>
            <w:tcW w:w="132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6"/>
                <w:szCs w:val="16"/>
                <w:color w:val="auto"/>
              </w:rPr>
              <w:t>Other noncurrent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and benefits</w:t>
            </w: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0" w:type="dxa"/>
            <w:vAlign w:val="bottom"/>
          </w:tcPr>
          <w:p>
            <w:pPr>
              <w:spacing w:after="0"/>
              <w:rPr>
                <w:sz w:val="1"/>
                <w:szCs w:val="1"/>
                <w:color w:val="auto"/>
              </w:rPr>
            </w:pPr>
          </w:p>
        </w:tc>
      </w:tr>
      <w:tr>
        <w:trPr>
          <w:trHeight w:val="201"/>
        </w:trPr>
        <w:tc>
          <w:tcPr>
            <w:tcW w:w="4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33,877</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Unit-based compensation expense for the year ended December 31, 2020 was as follows (in thousands):</w:t>
      </w:r>
    </w:p>
    <w:p>
      <w:pPr>
        <w:spacing w:after="0" w:line="2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b w:val="1"/>
          <w:bCs w:val="1"/>
          <w:color w:val="auto"/>
        </w:rPr>
        <w:t>Predecessor</w:t>
      </w:r>
    </w:p>
    <w:p>
      <w:pPr>
        <w:spacing w:after="0" w:line="20" w:lineRule="exact"/>
        <w:rPr>
          <w:sz w:val="20"/>
          <w:szCs w:val="20"/>
          <w:color w:val="auto"/>
        </w:rPr>
      </w:pPr>
    </w:p>
    <w:tbl>
      <w:tblPr>
        <w:tblLayout w:type="fixed"/>
        <w:tblInd w:w="1420" w:type="dxa"/>
        <w:tblCellMar>
          <w:top w:w="0" w:type="dxa"/>
          <w:left w:w="0" w:type="dxa"/>
          <w:bottom w:w="0" w:type="dxa"/>
          <w:right w:w="0" w:type="dxa"/>
        </w:tblCellMar>
      </w:tblPr>
      <w:tr>
        <w:trPr>
          <w:trHeight w:val="105"/>
        </w:trPr>
        <w:tc>
          <w:tcPr>
            <w:tcW w:w="20" w:type="dxa"/>
            <w:vAlign w:val="bottom"/>
          </w:tcPr>
          <w:p>
            <w:pPr>
              <w:spacing w:after="0"/>
              <w:rPr>
                <w:sz w:val="9"/>
                <w:szCs w:val="9"/>
                <w:color w:val="auto"/>
              </w:rPr>
            </w:pPr>
          </w:p>
        </w:tc>
        <w:tc>
          <w:tcPr>
            <w:tcW w:w="15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9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Statement of</w:t>
            </w:r>
          </w:p>
        </w:tc>
        <w:tc>
          <w:tcPr>
            <w:tcW w:w="42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Operations and</w:t>
            </w:r>
          </w:p>
        </w:tc>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4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420" w:type="dxa"/>
            <w:vAlign w:val="bottom"/>
          </w:tcPr>
          <w:p>
            <w:pPr>
              <w:spacing w:after="0"/>
              <w:rPr>
                <w:sz w:val="11"/>
                <w:szCs w:val="11"/>
                <w:color w:val="auto"/>
              </w:rPr>
            </w:pPr>
          </w:p>
        </w:tc>
        <w:tc>
          <w:tcPr>
            <w:tcW w:w="13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Type of unit</w:t>
            </w:r>
          </w:p>
        </w:tc>
        <w:tc>
          <w:tcPr>
            <w:tcW w:w="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Loss</w:t>
            </w:r>
          </w:p>
        </w:tc>
        <w:tc>
          <w:tcPr>
            <w:tcW w:w="4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4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Classification</w:t>
            </w:r>
          </w:p>
        </w:tc>
        <w:tc>
          <w:tcPr>
            <w:tcW w:w="420" w:type="dxa"/>
            <w:vAlign w:val="bottom"/>
          </w:tcPr>
          <w:p>
            <w:pPr>
              <w:spacing w:after="0"/>
              <w:rPr>
                <w:sz w:val="13"/>
                <w:szCs w:val="13"/>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4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Preferred incentive unit</w:t>
            </w:r>
          </w:p>
        </w:tc>
        <w:tc>
          <w:tcPr>
            <w:tcW w:w="680" w:type="dxa"/>
            <w:vAlign w:val="bottom"/>
            <w:tcBorders>
              <w:top w:val="single" w:sz="8" w:color="auto"/>
            </w:tcBorders>
            <w:shd w:val="clear" w:color="auto" w:fill="CCEEFF"/>
          </w:tcPr>
          <w:p>
            <w:pPr>
              <w:spacing w:after="0"/>
              <w:rPr>
                <w:sz w:val="14"/>
                <w:szCs w:val="14"/>
                <w:color w:val="auto"/>
              </w:rPr>
            </w:pPr>
          </w:p>
        </w:tc>
        <w:tc>
          <w:tcPr>
            <w:tcW w:w="19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9,210</w:t>
            </w:r>
          </w:p>
        </w:tc>
        <w:tc>
          <w:tcPr>
            <w:tcW w:w="4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Compensation</w:t>
            </w:r>
          </w:p>
        </w:tc>
        <w:tc>
          <w:tcPr>
            <w:tcW w:w="4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Mezzanine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and benefits</w:t>
            </w:r>
          </w:p>
        </w:tc>
        <w:tc>
          <w:tcPr>
            <w:tcW w:w="1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Common incentive unit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1,727</w:t>
            </w:r>
          </w:p>
        </w:tc>
        <w:tc>
          <w:tcPr>
            <w:tcW w:w="1560" w:type="dxa"/>
            <w:vAlign w:val="bottom"/>
            <w:gridSpan w:val="2"/>
          </w:tcPr>
          <w:p>
            <w:pPr>
              <w:ind w:left="460"/>
              <w:spacing w:after="0" w:line="180" w:lineRule="exact"/>
              <w:rPr>
                <w:sz w:val="20"/>
                <w:szCs w:val="20"/>
                <w:color w:val="auto"/>
              </w:rPr>
            </w:pPr>
            <w:r>
              <w:rPr>
                <w:rFonts w:ascii="Times New Roman" w:cs="Times New Roman" w:eastAsia="Times New Roman" w:hAnsi="Times New Roman"/>
                <w:sz w:val="16"/>
                <w:szCs w:val="16"/>
                <w:color w:val="auto"/>
              </w:rPr>
              <w:t>Compensation</w:t>
            </w:r>
          </w:p>
        </w:tc>
        <w:tc>
          <w:tcPr>
            <w:tcW w:w="1720" w:type="dxa"/>
            <w:vAlign w:val="bottom"/>
            <w:gridSpan w:val="2"/>
          </w:tcPr>
          <w:p>
            <w:pPr>
              <w:ind w:left="420"/>
              <w:spacing w:after="0" w:line="180" w:lineRule="exact"/>
              <w:rPr>
                <w:sz w:val="20"/>
                <w:szCs w:val="20"/>
                <w:color w:val="auto"/>
              </w:rPr>
            </w:pPr>
            <w:r>
              <w:rPr>
                <w:rFonts w:ascii="Times New Roman" w:cs="Times New Roman" w:eastAsia="Times New Roman" w:hAnsi="Times New Roman"/>
                <w:sz w:val="16"/>
                <w:szCs w:val="16"/>
                <w:color w:val="auto"/>
              </w:rPr>
              <w:t>Mezzanine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and benefits</w:t>
            </w:r>
          </w:p>
        </w:tc>
        <w:tc>
          <w:tcPr>
            <w:tcW w:w="1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8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Participation unit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712</w:t>
            </w:r>
          </w:p>
        </w:tc>
        <w:tc>
          <w:tcPr>
            <w:tcW w:w="1560" w:type="dxa"/>
            <w:vAlign w:val="bottom"/>
            <w:gridSpan w:val="2"/>
            <w:shd w:val="clear" w:color="auto" w:fill="CCEEFF"/>
          </w:tcPr>
          <w:p>
            <w:pPr>
              <w:ind w:left="460"/>
              <w:spacing w:after="0" w:line="181" w:lineRule="exact"/>
              <w:rPr>
                <w:sz w:val="20"/>
                <w:szCs w:val="20"/>
                <w:color w:val="auto"/>
              </w:rPr>
            </w:pPr>
            <w:r>
              <w:rPr>
                <w:rFonts w:ascii="Times New Roman" w:cs="Times New Roman" w:eastAsia="Times New Roman" w:hAnsi="Times New Roman"/>
                <w:sz w:val="16"/>
                <w:szCs w:val="16"/>
                <w:color w:val="auto"/>
              </w:rPr>
              <w:t>Compensation</w:t>
            </w:r>
          </w:p>
        </w:tc>
        <w:tc>
          <w:tcPr>
            <w:tcW w:w="1720" w:type="dxa"/>
            <w:vAlign w:val="bottom"/>
            <w:gridSpan w:val="2"/>
            <w:shd w:val="clear" w:color="auto" w:fill="CCEEFF"/>
          </w:tcPr>
          <w:p>
            <w:pPr>
              <w:ind w:left="420"/>
              <w:spacing w:after="0" w:line="181" w:lineRule="exact"/>
              <w:rPr>
                <w:sz w:val="20"/>
                <w:szCs w:val="20"/>
                <w:color w:val="auto"/>
              </w:rPr>
            </w:pPr>
            <w:r>
              <w:rPr>
                <w:rFonts w:ascii="Times New Roman" w:cs="Times New Roman" w:eastAsia="Times New Roman" w:hAnsi="Times New Roman"/>
                <w:sz w:val="16"/>
                <w:szCs w:val="16"/>
                <w:color w:val="auto"/>
              </w:rPr>
              <w:t>Other noncurrent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and benefits</w:t>
            </w:r>
          </w:p>
        </w:tc>
        <w:tc>
          <w:tcPr>
            <w:tcW w:w="1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liabilities</w:t>
            </w:r>
          </w:p>
        </w:tc>
        <w:tc>
          <w:tcPr>
            <w:tcW w:w="0" w:type="dxa"/>
            <w:vAlign w:val="bottom"/>
          </w:tcPr>
          <w:p>
            <w:pPr>
              <w:spacing w:after="0"/>
              <w:rPr>
                <w:sz w:val="1"/>
                <w:szCs w:val="1"/>
                <w:color w:val="auto"/>
              </w:rPr>
            </w:pPr>
          </w:p>
        </w:tc>
      </w:tr>
      <w:tr>
        <w:trPr>
          <w:trHeight w:val="201"/>
        </w:trPr>
        <w:tc>
          <w:tcPr>
            <w:tcW w:w="4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11,649</w:t>
            </w: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620" w:firstLine="400"/>
        <w:spacing w:after="0" w:line="264" w:lineRule="auto"/>
        <w:rPr>
          <w:sz w:val="20"/>
          <w:szCs w:val="20"/>
          <w:color w:val="auto"/>
        </w:rPr>
      </w:pPr>
      <w:r>
        <w:rPr>
          <w:rFonts w:ascii="Times New Roman" w:cs="Times New Roman" w:eastAsia="Times New Roman" w:hAnsi="Times New Roman"/>
          <w:sz w:val="16"/>
          <w:szCs w:val="16"/>
          <w:color w:val="auto"/>
        </w:rPr>
        <w:t>Included in the unit-based compensation expense for the period from October 15, 2021 through December 31, 2021 is $47.2 million of accelerated expense related to the incremental fair value of Successor common incentive and participation units based on remeasurement of the fair value of common incentive units and participation units in the Opco Plan on the Closing Date, as well as acceleration of expense for non-substantive service. This increase in expense was partially offset by the reversal of expense previously recorded for forfeitures of preferred and common incentive units made by certain former employees.</w:t>
      </w:r>
    </w:p>
    <w:p>
      <w:pPr>
        <w:spacing w:after="0" w:line="165" w:lineRule="exact"/>
        <w:rPr>
          <w:sz w:val="20"/>
          <w:szCs w:val="20"/>
          <w:color w:val="auto"/>
        </w:rPr>
      </w:pPr>
    </w:p>
    <w:p>
      <w:pPr>
        <w:jc w:val="both"/>
        <w:ind w:left="620" w:right="380" w:firstLine="400"/>
        <w:spacing w:after="0" w:line="273" w:lineRule="auto"/>
        <w:rPr>
          <w:sz w:val="20"/>
          <w:szCs w:val="20"/>
          <w:color w:val="auto"/>
        </w:rPr>
      </w:pPr>
      <w:r>
        <w:rPr>
          <w:rFonts w:ascii="Times New Roman" w:cs="Times New Roman" w:eastAsia="Times New Roman" w:hAnsi="Times New Roman"/>
          <w:sz w:val="16"/>
          <w:szCs w:val="16"/>
          <w:color w:val="auto"/>
        </w:rPr>
        <w:t>Included in the unit-based compensation expense for the period January 1, 2021 through October 14, 2021 is approximately $30.6 million of accelerated expense related to the one-third of the incentive units and participation units in the Opco Plan which vested upon consummation of the Business Combination.</w:t>
      </w:r>
    </w:p>
    <w:p>
      <w:pPr>
        <w:spacing w:after="0" w:line="157" w:lineRule="exact"/>
        <w:rPr>
          <w:sz w:val="20"/>
          <w:szCs w:val="20"/>
          <w:color w:val="auto"/>
        </w:rPr>
      </w:pPr>
    </w:p>
    <w:p>
      <w:pPr>
        <w:ind w:left="620" w:right="120" w:firstLine="400"/>
        <w:spacing w:after="0" w:line="264" w:lineRule="auto"/>
        <w:rPr>
          <w:sz w:val="20"/>
          <w:szCs w:val="20"/>
          <w:color w:val="auto"/>
        </w:rPr>
      </w:pPr>
      <w:r>
        <w:rPr>
          <w:rFonts w:ascii="Times New Roman" w:cs="Times New Roman" w:eastAsia="Times New Roman" w:hAnsi="Times New Roman"/>
          <w:sz w:val="16"/>
          <w:szCs w:val="16"/>
          <w:color w:val="auto"/>
        </w:rPr>
        <w:t>Included in the unit-based compensation expense for the year ended December 31, 2020 is approximately $9.6 million of accelerated expense related to Opco’s incentive and participation units resulting from the issuance of Class C voting units (Note 10). The additional compensation cost was recognized because the issuance of additional units changed the scenario in the Monte Carlo simulation that was used to calculate the fair value of incentive units and participation units. The new scenario resulted in an acceleration of the compensation cost recognized for Opco’s incentive and participation units. This compensation cost is included in “Acquisition-related expenses”.</w:t>
      </w:r>
    </w:p>
    <w:p>
      <w:pPr>
        <w:spacing w:after="0" w:line="1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F-45</w:t>
      </w:r>
    </w:p>
    <w:p>
      <w:pPr>
        <w:sectPr>
          <w:pgSz w:w="11900" w:h="16838" w:orient="portrait"/>
          <w:cols w:equalWidth="0" w:num="1">
            <w:col w:w="10600"/>
          </w:cols>
          <w:pgMar w:left="320" w:top="453" w:right="979" w:bottom="1440" w:gutter="0" w:footer="0" w:header="0"/>
        </w:sectPr>
      </w:pPr>
    </w:p>
    <w:bookmarkStart w:id="199" w:name="page200"/>
    <w:bookmarkEnd w:id="19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00" w:firstLine="400"/>
        <w:spacing w:after="0" w:line="291" w:lineRule="auto"/>
        <w:rPr>
          <w:sz w:val="20"/>
          <w:szCs w:val="20"/>
          <w:color w:val="auto"/>
        </w:rPr>
      </w:pPr>
      <w:r>
        <w:rPr>
          <w:rFonts w:ascii="Times New Roman" w:cs="Times New Roman" w:eastAsia="Times New Roman" w:hAnsi="Times New Roman"/>
          <w:sz w:val="16"/>
          <w:szCs w:val="16"/>
          <w:color w:val="auto"/>
        </w:rPr>
        <w:t>Unrecognized compensation expense as of December 31, 2021 was approximately $5.7 million and $1.9 million for common incentive units and participation units, respectively. The unrecognized compensation expense will be recognized over a weighted-average period of 1.79 years.</w:t>
      </w:r>
    </w:p>
    <w:p>
      <w:pPr>
        <w:spacing w:after="0" w:line="142" w:lineRule="exact"/>
        <w:rPr>
          <w:sz w:val="20"/>
          <w:szCs w:val="20"/>
          <w:color w:val="auto"/>
        </w:rPr>
      </w:pPr>
    </w:p>
    <w:p>
      <w:pPr>
        <w:ind w:left="620" w:firstLine="400"/>
        <w:spacing w:after="0" w:line="273" w:lineRule="auto"/>
        <w:rPr>
          <w:sz w:val="20"/>
          <w:szCs w:val="20"/>
          <w:color w:val="auto"/>
        </w:rPr>
      </w:pPr>
      <w:r>
        <w:rPr>
          <w:rFonts w:ascii="Times New Roman" w:cs="Times New Roman" w:eastAsia="Times New Roman" w:hAnsi="Times New Roman"/>
          <w:sz w:val="16"/>
          <w:szCs w:val="16"/>
          <w:color w:val="auto"/>
        </w:rPr>
        <w:t>Unrecognized compensation expense as of December 31, 2020 was approximately $13.7 million, $9.8 million, and $10.4 million for preferred incentive units, common incentive units, and participation units, respectively. At the time, the unrecognized compensation expense was to be recognized over a weighted-average period of 6.75 years.</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Unit Activity</w:t>
      </w:r>
    </w:p>
    <w:p>
      <w:pPr>
        <w:spacing w:after="0" w:line="114" w:lineRule="exact"/>
        <w:rPr>
          <w:sz w:val="20"/>
          <w:szCs w:val="20"/>
          <w:color w:val="auto"/>
        </w:rPr>
      </w:pPr>
    </w:p>
    <w:p>
      <w:pPr>
        <w:ind w:left="620" w:firstLine="400"/>
        <w:spacing w:after="0" w:line="291" w:lineRule="auto"/>
        <w:rPr>
          <w:sz w:val="20"/>
          <w:szCs w:val="20"/>
          <w:color w:val="auto"/>
        </w:rPr>
      </w:pPr>
      <w:r>
        <w:rPr>
          <w:rFonts w:ascii="Times New Roman" w:cs="Times New Roman" w:eastAsia="Times New Roman" w:hAnsi="Times New Roman"/>
          <w:sz w:val="16"/>
          <w:szCs w:val="16"/>
          <w:color w:val="auto"/>
        </w:rPr>
        <w:t>The following tables summarize common incentive unit activity under the Opco Plan for the period October 15, 2021 through December 31, 2021 (in thousands, except per unit data):</w:t>
      </w:r>
    </w:p>
    <w:p>
      <w:pPr>
        <w:spacing w:after="0" w:line="16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b w:val="1"/>
          <w:bCs w:val="1"/>
          <w:color w:val="auto"/>
        </w:rPr>
        <w:t>Successor</w:t>
      </w:r>
    </w:p>
    <w:p>
      <w:pPr>
        <w:spacing w:after="0" w:line="20" w:lineRule="exact"/>
        <w:rPr>
          <w:sz w:val="20"/>
          <w:szCs w:val="20"/>
          <w:color w:val="auto"/>
        </w:rPr>
      </w:pPr>
    </w:p>
    <w:tbl>
      <w:tblPr>
        <w:tblLayout w:type="fixed"/>
        <w:tblInd w:w="1020" w:type="dxa"/>
        <w:tblCellMar>
          <w:top w:w="0" w:type="dxa"/>
          <w:left w:w="0" w:type="dxa"/>
          <w:bottom w:w="0" w:type="dxa"/>
          <w:right w:w="0" w:type="dxa"/>
        </w:tblCellMar>
      </w:tblPr>
      <w:tr>
        <w:trPr>
          <w:trHeight w:val="105"/>
        </w:trPr>
        <w:tc>
          <w:tcPr>
            <w:tcW w:w="15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198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gridSpan w:val="2"/>
            <w:vMerge w:val="restart"/>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260" w:type="dxa"/>
            <w:vAlign w:val="bottom"/>
            <w:tcBorders>
              <w:top w:val="single" w:sz="8" w:color="auto"/>
            </w:tcBorders>
            <w:gridSpan w:val="2"/>
          </w:tcPr>
          <w:p>
            <w:pPr>
              <w:jc w:val="center"/>
              <w:ind w:right="520"/>
              <w:spacing w:after="0" w:line="105"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92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6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9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00" w:type="dxa"/>
            <w:vAlign w:val="bottom"/>
            <w:gridSpan w:val="2"/>
          </w:tcPr>
          <w:p>
            <w:pPr>
              <w:jc w:val="center"/>
              <w:ind w:right="56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6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00" w:type="dxa"/>
            <w:vAlign w:val="bottom"/>
          </w:tcPr>
          <w:p>
            <w:pPr>
              <w:spacing w:after="0"/>
              <w:rPr>
                <w:sz w:val="11"/>
                <w:szCs w:val="11"/>
                <w:color w:val="auto"/>
              </w:rPr>
            </w:pPr>
          </w:p>
        </w:tc>
        <w:tc>
          <w:tcPr>
            <w:tcW w:w="8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2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9"/>
              </w:rPr>
              <w:t>Common Incentive Units</w:t>
            </w:r>
          </w:p>
        </w:tc>
        <w:tc>
          <w:tcPr>
            <w:tcW w:w="1980" w:type="dxa"/>
            <w:vAlign w:val="bottom"/>
            <w:vMerge w:val="restart"/>
          </w:tcPr>
          <w:p>
            <w:pPr>
              <w:spacing w:after="0"/>
              <w:rPr>
                <w:sz w:val="11"/>
                <w:szCs w:val="11"/>
                <w:color w:val="auto"/>
              </w:rPr>
            </w:pPr>
          </w:p>
        </w:tc>
        <w:tc>
          <w:tcPr>
            <w:tcW w:w="1200" w:type="dxa"/>
            <w:vAlign w:val="bottom"/>
            <w:gridSpan w:val="2"/>
          </w:tcPr>
          <w:p>
            <w:pPr>
              <w:jc w:val="center"/>
              <w:ind w:right="560"/>
              <w:spacing w:after="0" w:line="135"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126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9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Grant Date</w:t>
            </w:r>
          </w:p>
        </w:tc>
        <w:tc>
          <w:tcPr>
            <w:tcW w:w="260" w:type="dxa"/>
            <w:vAlign w:val="bottom"/>
          </w:tcPr>
          <w:p>
            <w:pPr>
              <w:spacing w:after="0"/>
              <w:rPr>
                <w:sz w:val="11"/>
                <w:szCs w:val="11"/>
                <w:color w:val="auto"/>
              </w:rPr>
            </w:pPr>
          </w:p>
        </w:tc>
        <w:tc>
          <w:tcPr>
            <w:tcW w:w="68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57"/>
        </w:trPr>
        <w:tc>
          <w:tcPr>
            <w:tcW w:w="150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1980" w:type="dxa"/>
            <w:vAlign w:val="bottom"/>
            <w:tcBorders>
              <w:bottom w:val="single" w:sz="8" w:color="CCEEFF"/>
            </w:tcBorders>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Term (years)</w:t>
            </w:r>
          </w:p>
        </w:tc>
        <w:tc>
          <w:tcPr>
            <w:tcW w:w="5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2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October 15, 2021</w:t>
            </w:r>
          </w:p>
        </w:tc>
        <w:tc>
          <w:tcPr>
            <w:tcW w:w="19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17,473</w:t>
            </w: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2"/>
              </w:rPr>
              <w:t>6.30</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109,998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Granted</w:t>
            </w: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(1,134)</w:t>
            </w: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6.30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Outstanding as of December 31, 2021</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16,339</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6.30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133,240</w:t>
            </w:r>
          </w:p>
        </w:tc>
        <w:tc>
          <w:tcPr>
            <w:tcW w:w="0" w:type="dxa"/>
            <w:vAlign w:val="bottom"/>
          </w:tcPr>
          <w:p>
            <w:pPr>
              <w:spacing w:after="0"/>
              <w:rPr>
                <w:sz w:val="1"/>
                <w:szCs w:val="1"/>
                <w:color w:val="auto"/>
              </w:rPr>
            </w:pPr>
          </w:p>
        </w:tc>
      </w:tr>
      <w:tr>
        <w:trPr>
          <w:trHeight w:val="19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as of December 31, 2021</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11,507</w:t>
            </w: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93,840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20" w:right="140" w:firstLine="400"/>
        <w:spacing w:after="0" w:line="291" w:lineRule="auto"/>
        <w:rPr>
          <w:sz w:val="20"/>
          <w:szCs w:val="20"/>
          <w:color w:val="auto"/>
        </w:rPr>
      </w:pPr>
      <w:r>
        <w:rPr>
          <w:rFonts w:ascii="Times New Roman" w:cs="Times New Roman" w:eastAsia="Times New Roman" w:hAnsi="Times New Roman"/>
          <w:sz w:val="16"/>
          <w:szCs w:val="16"/>
          <w:color w:val="auto"/>
        </w:rPr>
        <w:t>The following tables summarize preferred incentive unit and common incentive unit activity under the Opco Plan for the period from January 1, 2021 through October 14, 2021 and the year ended December 31, 2020 (in thousands, except per unit data):</w:t>
      </w:r>
    </w:p>
    <w:p>
      <w:pPr>
        <w:spacing w:after="0" w:line="16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b w:val="1"/>
          <w:bCs w:val="1"/>
          <w:color w:val="auto"/>
        </w:rPr>
        <w:t>Predecessor</w:t>
      </w:r>
    </w:p>
    <w:p>
      <w:pPr>
        <w:spacing w:after="0" w:line="20" w:lineRule="exact"/>
        <w:rPr>
          <w:sz w:val="20"/>
          <w:szCs w:val="20"/>
          <w:color w:val="auto"/>
        </w:rPr>
      </w:pPr>
    </w:p>
    <w:tbl>
      <w:tblPr>
        <w:tblLayout w:type="fixed"/>
        <w:tblInd w:w="1020" w:type="dxa"/>
        <w:tblCellMar>
          <w:top w:w="0" w:type="dxa"/>
          <w:left w:w="0" w:type="dxa"/>
          <w:bottom w:w="0" w:type="dxa"/>
          <w:right w:w="0" w:type="dxa"/>
        </w:tblCellMar>
      </w:tblPr>
      <w:tr>
        <w:trPr>
          <w:trHeight w:val="105"/>
        </w:trPr>
        <w:tc>
          <w:tcPr>
            <w:tcW w:w="150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tcPr>
          <w:p>
            <w:pPr>
              <w:spacing w:after="0"/>
              <w:rPr>
                <w:sz w:val="9"/>
                <w:szCs w:val="9"/>
                <w:color w:val="auto"/>
              </w:rPr>
            </w:pPr>
          </w:p>
        </w:tc>
        <w:tc>
          <w:tcPr>
            <w:tcW w:w="196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gridSpan w:val="2"/>
            <w:vMerge w:val="restart"/>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260" w:type="dxa"/>
            <w:vAlign w:val="bottom"/>
            <w:tcBorders>
              <w:top w:val="single" w:sz="8" w:color="auto"/>
            </w:tcBorders>
            <w:gridSpan w:val="2"/>
          </w:tcPr>
          <w:p>
            <w:pPr>
              <w:jc w:val="center"/>
              <w:ind w:right="520"/>
              <w:spacing w:after="0" w:line="105"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92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6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9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0" w:type="dxa"/>
            <w:vAlign w:val="bottom"/>
            <w:gridSpan w:val="2"/>
          </w:tcPr>
          <w:p>
            <w:pPr>
              <w:jc w:val="center"/>
              <w:ind w:right="5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Preferred</w:t>
            </w:r>
          </w:p>
        </w:tc>
        <w:tc>
          <w:tcPr>
            <w:tcW w:w="126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00" w:type="dxa"/>
            <w:vAlign w:val="bottom"/>
          </w:tcPr>
          <w:p>
            <w:pPr>
              <w:spacing w:after="0"/>
              <w:rPr>
                <w:sz w:val="11"/>
                <w:szCs w:val="11"/>
                <w:color w:val="auto"/>
              </w:rPr>
            </w:pPr>
          </w:p>
        </w:tc>
        <w:tc>
          <w:tcPr>
            <w:tcW w:w="8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2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4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Preferred Incentive Units</w:t>
            </w:r>
          </w:p>
        </w:tc>
        <w:tc>
          <w:tcPr>
            <w:tcW w:w="1960" w:type="dxa"/>
            <w:vAlign w:val="bottom"/>
          </w:tcPr>
          <w:p>
            <w:pPr>
              <w:spacing w:after="0"/>
              <w:rPr>
                <w:sz w:val="11"/>
                <w:szCs w:val="11"/>
                <w:color w:val="auto"/>
              </w:rPr>
            </w:pPr>
          </w:p>
        </w:tc>
        <w:tc>
          <w:tcPr>
            <w:tcW w:w="1200" w:type="dxa"/>
            <w:vAlign w:val="bottom"/>
            <w:gridSpan w:val="2"/>
          </w:tcPr>
          <w:p>
            <w:pPr>
              <w:jc w:val="center"/>
              <w:ind w:right="560"/>
              <w:spacing w:after="0" w:line="135"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126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9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Grant Date</w:t>
            </w:r>
          </w:p>
        </w:tc>
        <w:tc>
          <w:tcPr>
            <w:tcW w:w="260" w:type="dxa"/>
            <w:vAlign w:val="bottom"/>
          </w:tcPr>
          <w:p>
            <w:pPr>
              <w:spacing w:after="0"/>
              <w:rPr>
                <w:sz w:val="11"/>
                <w:szCs w:val="11"/>
                <w:color w:val="auto"/>
              </w:rPr>
            </w:pPr>
          </w:p>
        </w:tc>
        <w:tc>
          <w:tcPr>
            <w:tcW w:w="68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57"/>
        </w:trPr>
        <w:tc>
          <w:tcPr>
            <w:tcW w:w="15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9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Term (years)</w:t>
            </w:r>
          </w:p>
        </w:tc>
        <w:tc>
          <w:tcPr>
            <w:tcW w:w="5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2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January 1, 2020</w:t>
            </w:r>
          </w:p>
        </w:tc>
        <w:tc>
          <w:tcPr>
            <w:tcW w:w="1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82,125</w:t>
            </w: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2"/>
              </w:rPr>
              <w:t>0.42</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316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3,350</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0.63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2,105</w:t>
            </w:r>
          </w:p>
        </w:tc>
        <w:tc>
          <w:tcPr>
            <w:tcW w:w="0" w:type="dxa"/>
            <w:vAlign w:val="bottom"/>
          </w:tcPr>
          <w:p>
            <w:pPr>
              <w:spacing w:after="0"/>
              <w:rPr>
                <w:sz w:val="1"/>
                <w:szCs w:val="1"/>
                <w:color w:val="auto"/>
              </w:rPr>
            </w:pPr>
          </w:p>
        </w:tc>
      </w:tr>
      <w:tr>
        <w:trPr>
          <w:trHeight w:val="19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31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(9,000)</w:t>
            </w: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0.41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as of December 31, 2020</w:t>
            </w:r>
          </w:p>
        </w:tc>
        <w:tc>
          <w:tcPr>
            <w:tcW w:w="316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76,475</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0.42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88,711</w:t>
            </w:r>
          </w:p>
        </w:tc>
        <w:tc>
          <w:tcPr>
            <w:tcW w:w="0" w:type="dxa"/>
            <w:vAlign w:val="bottom"/>
          </w:tcPr>
          <w:p>
            <w:pPr>
              <w:spacing w:after="0"/>
              <w:rPr>
                <w:sz w:val="1"/>
                <w:szCs w:val="1"/>
                <w:color w:val="auto"/>
              </w:rPr>
            </w:pPr>
          </w:p>
        </w:tc>
      </w:tr>
      <w:tr>
        <w:trPr>
          <w:trHeight w:val="19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w:t>
            </w:r>
          </w:p>
        </w:tc>
        <w:tc>
          <w:tcPr>
            <w:tcW w:w="19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w:t>
            </w:r>
          </w:p>
        </w:tc>
        <w:tc>
          <w:tcPr>
            <w:tcW w:w="1960" w:type="dxa"/>
            <w:vAlign w:val="bottom"/>
          </w:tcPr>
          <w:p>
            <w:pPr>
              <w:spacing w:after="0"/>
              <w:rPr>
                <w:sz w:val="17"/>
                <w:szCs w:val="17"/>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October 14, 2021</w:t>
            </w:r>
          </w:p>
        </w:tc>
        <w:tc>
          <w:tcPr>
            <w:tcW w:w="31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76,475</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0.42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141,058</w:t>
            </w:r>
          </w:p>
        </w:tc>
        <w:tc>
          <w:tcPr>
            <w:tcW w:w="0" w:type="dxa"/>
            <w:vAlign w:val="bottom"/>
          </w:tcPr>
          <w:p>
            <w:pPr>
              <w:spacing w:after="0"/>
              <w:rPr>
                <w:sz w:val="1"/>
                <w:szCs w:val="1"/>
                <w:color w:val="auto"/>
              </w:rPr>
            </w:pPr>
          </w:p>
        </w:tc>
      </w:tr>
      <w:tr>
        <w:trPr>
          <w:trHeight w:val="212"/>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Vested as of October 14, 2021</w:t>
            </w:r>
          </w:p>
        </w:tc>
        <w:tc>
          <w:tcPr>
            <w:tcW w:w="196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60" w:type="dxa"/>
            <w:vAlign w:val="bottom"/>
            <w:gridSpan w:val="3"/>
          </w:tcPr>
          <w:p>
            <w:pPr>
              <w:jc w:val="right"/>
              <w:ind w:right="1320"/>
              <w:spacing w:after="0"/>
              <w:rPr>
                <w:sz w:val="20"/>
                <w:szCs w:val="20"/>
                <w:color w:val="auto"/>
              </w:rPr>
            </w:pPr>
            <w:r>
              <w:rPr>
                <w:rFonts w:ascii="Times New Roman" w:cs="Times New Roman" w:eastAsia="Times New Roman" w:hAnsi="Times New Roman"/>
                <w:sz w:val="16"/>
                <w:szCs w:val="16"/>
                <w:color w:val="auto"/>
              </w:rPr>
              <w:t>F-46</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320" w:top="453" w:right="999" w:bottom="1440" w:gutter="0" w:footer="0" w:header="0"/>
        </w:sectPr>
      </w:pPr>
    </w:p>
    <w:bookmarkStart w:id="200" w:name="page201"/>
    <w:bookmarkEnd w:id="20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b w:val="1"/>
          <w:bCs w:val="1"/>
          <w:color w:val="auto"/>
        </w:rPr>
        <w:t>Predecessor</w:t>
      </w:r>
    </w:p>
    <w:p>
      <w:pPr>
        <w:spacing w:after="0" w:line="20" w:lineRule="exact"/>
        <w:rPr>
          <w:sz w:val="20"/>
          <w:szCs w:val="20"/>
          <w:color w:val="auto"/>
        </w:rPr>
      </w:pPr>
    </w:p>
    <w:tbl>
      <w:tblPr>
        <w:tblLayout w:type="fixed"/>
        <w:tblInd w:w="1020" w:type="dxa"/>
        <w:tblCellMar>
          <w:top w:w="0" w:type="dxa"/>
          <w:left w:w="0" w:type="dxa"/>
          <w:bottom w:w="0" w:type="dxa"/>
          <w:right w:w="0" w:type="dxa"/>
        </w:tblCellMar>
      </w:tblPr>
      <w:tr>
        <w:trPr>
          <w:trHeight w:val="105"/>
        </w:trPr>
        <w:tc>
          <w:tcPr>
            <w:tcW w:w="154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20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gridSpan w:val="2"/>
            <w:vMerge w:val="restart"/>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260" w:type="dxa"/>
            <w:vAlign w:val="bottom"/>
            <w:tcBorders>
              <w:top w:val="single" w:sz="8" w:color="auto"/>
            </w:tcBorders>
            <w:gridSpan w:val="2"/>
          </w:tcPr>
          <w:p>
            <w:pPr>
              <w:jc w:val="center"/>
              <w:ind w:right="540"/>
              <w:spacing w:after="0" w:line="105"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90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2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6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9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0" w:type="dxa"/>
            <w:vAlign w:val="bottom"/>
            <w:gridSpan w:val="2"/>
          </w:tcPr>
          <w:p>
            <w:pPr>
              <w:jc w:val="center"/>
              <w:ind w:right="56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6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80" w:type="dxa"/>
            <w:vAlign w:val="bottom"/>
          </w:tcPr>
          <w:p>
            <w:pPr>
              <w:spacing w:after="0"/>
              <w:rPr>
                <w:sz w:val="11"/>
                <w:szCs w:val="11"/>
                <w:color w:val="auto"/>
              </w:rPr>
            </w:pPr>
          </w:p>
        </w:tc>
        <w:tc>
          <w:tcPr>
            <w:tcW w:w="8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8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9"/>
              </w:rPr>
              <w:t>Common Incentive Units</w:t>
            </w:r>
          </w:p>
        </w:tc>
        <w:tc>
          <w:tcPr>
            <w:tcW w:w="2000" w:type="dxa"/>
            <w:vAlign w:val="bottom"/>
            <w:vMerge w:val="restart"/>
          </w:tcPr>
          <w:p>
            <w:pPr>
              <w:spacing w:after="0"/>
              <w:rPr>
                <w:sz w:val="11"/>
                <w:szCs w:val="11"/>
                <w:color w:val="auto"/>
              </w:rPr>
            </w:pPr>
          </w:p>
        </w:tc>
        <w:tc>
          <w:tcPr>
            <w:tcW w:w="1200" w:type="dxa"/>
            <w:vAlign w:val="bottom"/>
            <w:gridSpan w:val="2"/>
          </w:tcPr>
          <w:p>
            <w:pPr>
              <w:jc w:val="center"/>
              <w:ind w:right="560"/>
              <w:spacing w:after="0" w:line="135"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126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9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Grant Date</w:t>
            </w:r>
          </w:p>
        </w:tc>
        <w:tc>
          <w:tcPr>
            <w:tcW w:w="28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57"/>
        </w:trPr>
        <w:tc>
          <w:tcPr>
            <w:tcW w:w="154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2000" w:type="dxa"/>
            <w:vAlign w:val="bottom"/>
            <w:tcBorders>
              <w:bottom w:val="single" w:sz="8" w:color="CCEEFF"/>
            </w:tcBorders>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Term (years)</w:t>
            </w:r>
          </w:p>
        </w:tc>
        <w:tc>
          <w:tcPr>
            <w:tcW w:w="5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6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January 1, 2020</w:t>
            </w:r>
          </w:p>
        </w:tc>
        <w:tc>
          <w:tcPr>
            <w:tcW w:w="20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Granted</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31,333</w:t>
            </w: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0.42</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13,065</w:t>
            </w:r>
          </w:p>
        </w:tc>
        <w:tc>
          <w:tcPr>
            <w:tcW w:w="0" w:type="dxa"/>
            <w:vAlign w:val="bottom"/>
          </w:tcPr>
          <w:p>
            <w:pPr>
              <w:spacing w:after="0"/>
              <w:rPr>
                <w:sz w:val="1"/>
                <w:szCs w:val="1"/>
                <w:color w:val="auto"/>
              </w:rPr>
            </w:pPr>
          </w:p>
        </w:tc>
      </w:tr>
      <w:tr>
        <w:trPr>
          <w:trHeight w:val="196"/>
        </w:trPr>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(8,250)</w:t>
            </w: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0.33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Outstanding as of December 31, 2020</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26,833</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0.43</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25,760</w:t>
            </w:r>
          </w:p>
        </w:tc>
        <w:tc>
          <w:tcPr>
            <w:tcW w:w="0" w:type="dxa"/>
            <w:vAlign w:val="bottom"/>
          </w:tcPr>
          <w:p>
            <w:pPr>
              <w:spacing w:after="0"/>
              <w:rPr>
                <w:sz w:val="1"/>
                <w:szCs w:val="1"/>
                <w:color w:val="auto"/>
              </w:rPr>
            </w:pPr>
          </w:p>
        </w:tc>
      </w:tr>
      <w:tr>
        <w:trPr>
          <w:trHeight w:val="196"/>
        </w:trPr>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Forfeited</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(3,613)</w:t>
            </w: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0.39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October 14, 2021</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23,220</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0.53</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25,605</w:t>
            </w:r>
          </w:p>
        </w:tc>
        <w:tc>
          <w:tcPr>
            <w:tcW w:w="0" w:type="dxa"/>
            <w:vAlign w:val="bottom"/>
          </w:tcPr>
          <w:p>
            <w:pPr>
              <w:spacing w:after="0"/>
              <w:rPr>
                <w:sz w:val="1"/>
                <w:szCs w:val="1"/>
                <w:color w:val="auto"/>
              </w:rPr>
            </w:pPr>
          </w:p>
        </w:tc>
      </w:tr>
      <w:tr>
        <w:trPr>
          <w:trHeight w:val="212"/>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Vested as of October 14, 2021</w:t>
            </w: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The participation units granted during the periods from October 15, 2021 through December 31, 2021 and January 1, 2021 through October 14,</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2021, and the year ended December 31, 2020 were 0.0 million, zero, and 10.7 million, respectively. The total number of participation units outstanding</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as of December 31, 2021, October 14, 2021, and December 31, 2020 were 0.7 million, 10.8 million, and 11.8 million, respectively. During the Successor</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period, we granted certain employees awards, which are payable over a two-year period in cash or shares of Class A common stock in an amount that</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will fluctuate based on the trading price of Class A common stock. We have included these awards in the amounts above as they are subject to the same</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accounting as the participation units. The fair value of the participation units as of December 31, 2021, October 14, 2021 and December 31, 2020 was</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$4.1 million, $6.7 million, and $0.9 million, respectively. Participation units are settled in cash and the balance is recorded within other current liabilities</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and other noncurrent liabilities as described in Note 6.</w:t>
      </w:r>
    </w:p>
    <w:p>
      <w:pPr>
        <w:spacing w:after="0" w:line="2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Determination of Fair Value</w:t>
      </w:r>
    </w:p>
    <w:p>
      <w:pPr>
        <w:spacing w:after="0" w:line="114" w:lineRule="exact"/>
        <w:rPr>
          <w:sz w:val="20"/>
          <w:szCs w:val="20"/>
          <w:color w:val="auto"/>
        </w:rPr>
      </w:pPr>
    </w:p>
    <w:p>
      <w:pPr>
        <w:ind w:left="620" w:right="80" w:firstLine="400"/>
        <w:spacing w:after="0" w:line="267" w:lineRule="auto"/>
        <w:rPr>
          <w:sz w:val="20"/>
          <w:szCs w:val="20"/>
          <w:color w:val="auto"/>
        </w:rPr>
      </w:pPr>
      <w:r>
        <w:rPr>
          <w:rFonts w:ascii="Times New Roman" w:cs="Times New Roman" w:eastAsia="Times New Roman" w:hAnsi="Times New Roman"/>
          <w:sz w:val="16"/>
          <w:szCs w:val="16"/>
          <w:color w:val="auto"/>
        </w:rPr>
        <w:t>The fair value of incentive and participation units granted is calculated through a Monte Carlo simulation based on various outcomes. Opco determined that a Monte Carlo simulation was an appropriate estimation model because of the market condition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76" w:lineRule="exact"/>
        <w:rPr>
          <w:sz w:val="20"/>
          <w:szCs w:val="20"/>
          <w:color w:val="auto"/>
        </w:rPr>
      </w:pPr>
    </w:p>
    <w:p>
      <w:pPr>
        <w:ind w:left="1500" w:hanging="387"/>
        <w:spacing w:after="0"/>
        <w:tabs>
          <w:tab w:leader="none" w:pos="150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term – The expected term represents the period that a unit is expected to be outstanding.</w:t>
      </w:r>
    </w:p>
    <w:p>
      <w:pPr>
        <w:spacing w:after="0" w:line="122" w:lineRule="exact"/>
        <w:rPr>
          <w:rFonts w:ascii="Times New Roman" w:cs="Times New Roman" w:eastAsia="Times New Roman" w:hAnsi="Times New Roman"/>
          <w:sz w:val="16"/>
          <w:szCs w:val="16"/>
          <w:color w:val="auto"/>
        </w:rPr>
      </w:pPr>
    </w:p>
    <w:p>
      <w:pPr>
        <w:ind w:left="1500" w:right="60" w:hanging="387"/>
        <w:spacing w:after="0" w:line="291" w:lineRule="auto"/>
        <w:tabs>
          <w:tab w:leader="none" w:pos="150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56" w:lineRule="exact"/>
        <w:rPr>
          <w:rFonts w:ascii="Times New Roman" w:cs="Times New Roman" w:eastAsia="Times New Roman" w:hAnsi="Times New Roman"/>
          <w:sz w:val="16"/>
          <w:szCs w:val="16"/>
          <w:color w:val="auto"/>
        </w:rPr>
      </w:pPr>
    </w:p>
    <w:p>
      <w:pPr>
        <w:ind w:left="1500" w:right="260" w:hanging="387"/>
        <w:spacing w:after="0" w:line="291" w:lineRule="auto"/>
        <w:tabs>
          <w:tab w:leader="none" w:pos="150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 The risk-free rate is based on the U.S. Treasury yield curve in effect on the grant date for securities with similar expected terms to the term of Opco’s incentive units.</w:t>
      </w:r>
    </w:p>
    <w:p>
      <w:pPr>
        <w:spacing w:after="0" w:line="56" w:lineRule="exact"/>
        <w:rPr>
          <w:rFonts w:ascii="Times New Roman" w:cs="Times New Roman" w:eastAsia="Times New Roman" w:hAnsi="Times New Roman"/>
          <w:sz w:val="16"/>
          <w:szCs w:val="16"/>
          <w:color w:val="auto"/>
        </w:rPr>
      </w:pPr>
    </w:p>
    <w:p>
      <w:pPr>
        <w:ind w:left="1500" w:right="580" w:hanging="387"/>
        <w:spacing w:after="0" w:line="291" w:lineRule="auto"/>
        <w:tabs>
          <w:tab w:leader="none" w:pos="150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dividends – Expected dividends is assumed to be zero as Opco has not paid and does not expect to pay cash dividends or non-liquidating distributions.</w:t>
      </w:r>
    </w:p>
    <w:p>
      <w:pPr>
        <w:spacing w:after="0" w:line="56" w:lineRule="exact"/>
        <w:rPr>
          <w:rFonts w:ascii="Times New Roman" w:cs="Times New Roman" w:eastAsia="Times New Roman" w:hAnsi="Times New Roman"/>
          <w:sz w:val="16"/>
          <w:szCs w:val="16"/>
          <w:color w:val="auto"/>
        </w:rPr>
      </w:pPr>
    </w:p>
    <w:p>
      <w:pPr>
        <w:ind w:left="1500" w:right="540" w:hanging="387"/>
        <w:spacing w:after="0" w:line="291" w:lineRule="auto"/>
        <w:tabs>
          <w:tab w:leader="none" w:pos="150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Discount for lack of marketability – an estimated two year time to exit Predecessor awards and the six month lock-up restriction on Successor awards is reflected as a discount for lack of marketability estimated using the Finnerty model.</w:t>
      </w:r>
    </w:p>
    <w:p>
      <w:pPr>
        <w:spacing w:after="0" w:line="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F-47</w:t>
      </w:r>
    </w:p>
    <w:p>
      <w:pPr>
        <w:sectPr>
          <w:pgSz w:w="11900" w:h="16838" w:orient="portrait"/>
          <w:cols w:equalWidth="0" w:num="1">
            <w:col w:w="10620"/>
          </w:cols>
          <w:pgMar w:left="320" w:top="453" w:right="959" w:bottom="1440" w:gutter="0" w:footer="0" w:header="0"/>
        </w:sectPr>
      </w:pPr>
    </w:p>
    <w:bookmarkStart w:id="201" w:name="page202"/>
    <w:bookmarkEnd w:id="20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80" w:firstLine="400"/>
        <w:spacing w:after="0" w:line="273" w:lineRule="auto"/>
        <w:rPr>
          <w:sz w:val="20"/>
          <w:szCs w:val="20"/>
          <w:color w:val="auto"/>
        </w:rPr>
      </w:pPr>
      <w:r>
        <w:rPr>
          <w:rFonts w:ascii="Times New Roman" w:cs="Times New Roman" w:eastAsia="Times New Roman" w:hAnsi="Times New Roman"/>
          <w:sz w:val="16"/>
          <w:szCs w:val="16"/>
          <w:color w:val="auto"/>
        </w:rPr>
        <w:t>The inputs used in the models to estimate the fair value of the common incentive units and participation units granted in 2021 and preferred incentive units, common incentive units, and participation units granted in 2020, including the common incentive units granted in connection with the Unit Exchange, are summarized as follows:</w:t>
      </w:r>
    </w:p>
    <w:p>
      <w:pPr>
        <w:spacing w:after="0" w:line="175" w:lineRule="exact"/>
        <w:rPr>
          <w:sz w:val="20"/>
          <w:szCs w:val="20"/>
          <w:color w:val="auto"/>
        </w:rPr>
      </w:pPr>
    </w:p>
    <w:tbl>
      <w:tblPr>
        <w:tblLayout w:type="fixed"/>
        <w:tblInd w:w="1820" w:type="dxa"/>
        <w:tblCellMar>
          <w:top w:w="0" w:type="dxa"/>
          <w:left w:w="0" w:type="dxa"/>
          <w:bottom w:w="0" w:type="dxa"/>
          <w:right w:w="0" w:type="dxa"/>
        </w:tblCellMar>
      </w:tblPr>
      <w:tr>
        <w:trPr>
          <w:trHeight w:val="22"/>
        </w:trPr>
        <w:tc>
          <w:tcPr>
            <w:tcW w:w="4400" w:type="dxa"/>
            <w:vAlign w:val="bottom"/>
          </w:tcPr>
          <w:p>
            <w:pPr>
              <w:spacing w:after="0" w:line="20" w:lineRule="exact"/>
              <w:rPr>
                <w:sz w:val="1"/>
                <w:szCs w:val="1"/>
                <w:color w:val="auto"/>
              </w:rPr>
            </w:pPr>
          </w:p>
        </w:tc>
        <w:tc>
          <w:tcPr>
            <w:tcW w:w="880" w:type="dxa"/>
            <w:vAlign w:val="bottom"/>
            <w:vMerge w:val="restart"/>
          </w:tcPr>
          <w:p>
            <w:pPr>
              <w:jc w:val="center"/>
              <w:ind w:left="247"/>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vMerge w:val="restart"/>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w w:val="99"/>
              </w:rPr>
              <w:t>Predecessor</w:t>
            </w:r>
          </w:p>
        </w:tc>
        <w:tc>
          <w:tcPr>
            <w:tcW w:w="0" w:type="dxa"/>
            <w:vAlign w:val="bottom"/>
          </w:tcPr>
          <w:p>
            <w:pPr>
              <w:spacing w:after="0" w:line="20" w:lineRule="exact"/>
              <w:rPr>
                <w:sz w:val="1"/>
                <w:szCs w:val="1"/>
                <w:color w:val="auto"/>
              </w:rPr>
            </w:pPr>
          </w:p>
        </w:tc>
      </w:tr>
      <w:tr>
        <w:trPr>
          <w:trHeight w:val="135"/>
        </w:trPr>
        <w:tc>
          <w:tcPr>
            <w:tcW w:w="44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400" w:type="dxa"/>
            <w:vAlign w:val="bottom"/>
          </w:tcPr>
          <w:p>
            <w:pPr>
              <w:spacing w:after="0"/>
              <w:rPr>
                <w:sz w:val="9"/>
                <w:szCs w:val="9"/>
                <w:color w:val="auto"/>
              </w:rPr>
            </w:pPr>
          </w:p>
        </w:tc>
        <w:tc>
          <w:tcPr>
            <w:tcW w:w="120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4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44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center"/>
              <w:ind w:left="22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CEEFF"/>
              <w:right w:val="single" w:sz="8" w:color="auto"/>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 -</w:t>
            </w:r>
          </w:p>
        </w:tc>
        <w:tc>
          <w:tcPr>
            <w:tcW w:w="560" w:type="dxa"/>
            <w:vAlign w:val="bottom"/>
            <w:tcBorders>
              <w:right w:val="single" w:sz="8" w:color="auto"/>
            </w:tcBorders>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0.36%</w:t>
            </w:r>
          </w:p>
        </w:tc>
        <w:tc>
          <w:tcPr>
            <w:tcW w:w="36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440" w:type="dxa"/>
            <w:vAlign w:val="bottom"/>
            <w:tcBorders>
              <w:right w:val="single" w:sz="8" w:color="auto"/>
            </w:tcBorders>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51.00% - 53.00%</w:t>
            </w:r>
          </w:p>
        </w:tc>
        <w:tc>
          <w:tcPr>
            <w:tcW w:w="3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0.50 -</w:t>
            </w:r>
          </w:p>
        </w:tc>
        <w:tc>
          <w:tcPr>
            <w:tcW w:w="560" w:type="dxa"/>
            <w:vAlign w:val="bottom"/>
            <w:tcBorders>
              <w:right w:val="single" w:sz="8" w:color="auto"/>
            </w:tcBorders>
            <w:gridSpan w:val="2"/>
          </w:tcPr>
          <w:p>
            <w:pPr>
              <w:jc w:val="right"/>
              <w:ind w:right="158"/>
              <w:spacing w:after="0"/>
              <w:rPr>
                <w:sz w:val="20"/>
                <w:szCs w:val="20"/>
                <w:color w:val="auto"/>
              </w:rPr>
            </w:pPr>
            <w:r>
              <w:rPr>
                <w:rFonts w:ascii="Times New Roman" w:cs="Times New Roman" w:eastAsia="Times New Roman" w:hAnsi="Times New Roman"/>
                <w:sz w:val="16"/>
                <w:szCs w:val="16"/>
                <w:color w:val="auto"/>
              </w:rPr>
              <w:t>2.00</w:t>
            </w:r>
          </w:p>
        </w:tc>
        <w:tc>
          <w:tcPr>
            <w:tcW w:w="360" w:type="dxa"/>
            <w:vAlign w:val="bottom"/>
          </w:tcPr>
          <w:p>
            <w:pPr>
              <w:spacing w:after="0"/>
              <w:rPr>
                <w:sz w:val="17"/>
                <w:szCs w:val="17"/>
                <w:color w:val="auto"/>
              </w:rPr>
            </w:pPr>
          </w:p>
        </w:tc>
        <w:tc>
          <w:tcPr>
            <w:tcW w:w="1400" w:type="dxa"/>
            <w:vAlign w:val="bottom"/>
            <w:gridSpan w:val="2"/>
          </w:tcPr>
          <w:p>
            <w:pPr>
              <w:jc w:val="right"/>
              <w:ind w:right="118"/>
              <w:spacing w:after="0"/>
              <w:rPr>
                <w:sz w:val="20"/>
                <w:szCs w:val="20"/>
                <w:color w:val="auto"/>
              </w:rPr>
            </w:pPr>
            <w:r>
              <w:rPr>
                <w:rFonts w:ascii="Times New Roman" w:cs="Times New Roman" w:eastAsia="Times New Roman" w:hAnsi="Times New Roman"/>
                <w:sz w:val="16"/>
                <w:szCs w:val="16"/>
                <w:color w:val="auto"/>
              </w:rPr>
              <w:t>4.73 and 7.73</w:t>
            </w: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for lack of marketability</w:t>
            </w:r>
          </w:p>
        </w:tc>
        <w:tc>
          <w:tcPr>
            <w:tcW w:w="8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8.20%</w:t>
            </w:r>
          </w:p>
        </w:tc>
        <w:tc>
          <w:tcPr>
            <w:tcW w:w="3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 - 24.00%</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12. Net Loss per share</w:t>
      </w:r>
    </w:p>
    <w:p>
      <w:pPr>
        <w:spacing w:after="0" w:line="114" w:lineRule="exact"/>
        <w:rPr>
          <w:sz w:val="20"/>
          <w:szCs w:val="20"/>
          <w:color w:val="auto"/>
        </w:rPr>
      </w:pPr>
    </w:p>
    <w:p>
      <w:pPr>
        <w:ind w:left="620" w:firstLine="400"/>
        <w:spacing w:after="0" w:line="263" w:lineRule="auto"/>
        <w:rPr>
          <w:sz w:val="20"/>
          <w:szCs w:val="20"/>
          <w:color w:val="auto"/>
        </w:rPr>
      </w:pPr>
      <w:r>
        <w:rPr>
          <w:rFonts w:ascii="Times New Roman" w:cs="Times New Roman" w:eastAsia="Times New Roman" w:hAnsi="Times New Roman"/>
          <w:sz w:val="16"/>
          <w:szCs w:val="16"/>
          <w:color w:val="auto"/>
        </w:rPr>
        <w:t>Basic earnings per share is based on the weighted average number of shares of Class A common stock issued and outstanding during the Successor period. Diluted earnings per share is based on the weighted average number shares of Class A common stock issued and outstanding and the effect of all dilutive common stock equivalents and potentially dilutive share-based awards outstanding during the Successor period. For the Successor period,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 The anti-dilutive securities are included in the table below.</w:t>
      </w:r>
    </w:p>
    <w:p>
      <w:pPr>
        <w:spacing w:after="0" w:line="163" w:lineRule="exact"/>
        <w:rPr>
          <w:sz w:val="20"/>
          <w:szCs w:val="20"/>
          <w:color w:val="auto"/>
        </w:rPr>
      </w:pPr>
    </w:p>
    <w:p>
      <w:pPr>
        <w:ind w:left="620" w:right="120" w:firstLine="400"/>
        <w:spacing w:after="0" w:line="291" w:lineRule="auto"/>
        <w:rPr>
          <w:sz w:val="20"/>
          <w:szCs w:val="20"/>
          <w:color w:val="auto"/>
        </w:rPr>
      </w:pPr>
      <w:r>
        <w:rPr>
          <w:rFonts w:ascii="Times New Roman" w:cs="Times New Roman" w:eastAsia="Times New Roman" w:hAnsi="Times New Roman"/>
          <w:sz w:val="16"/>
          <w:szCs w:val="16"/>
          <w:color w:val="auto"/>
        </w:rPr>
        <w:t>The following is a reconciliation of the denominators of the basic and diluted per share computations for net loss (in thousands, except share and per share data):</w:t>
      </w:r>
    </w:p>
    <w:p>
      <w:pPr>
        <w:spacing w:after="0" w:line="161" w:lineRule="exact"/>
        <w:rPr>
          <w:sz w:val="20"/>
          <w:szCs w:val="20"/>
          <w:color w:val="auto"/>
        </w:rPr>
      </w:pPr>
    </w:p>
    <w:tbl>
      <w:tblPr>
        <w:tblLayout w:type="fixed"/>
        <w:tblInd w:w="2220"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0" w:type="dxa"/>
            <w:vAlign w:val="bottom"/>
          </w:tcPr>
          <w:p>
            <w:pPr>
              <w:spacing w:after="0"/>
              <w:rPr>
                <w:sz w:val="1"/>
                <w:szCs w:val="1"/>
                <w:color w:val="auto"/>
              </w:rPr>
            </w:pPr>
          </w:p>
        </w:tc>
      </w:tr>
      <w:tr>
        <w:trPr>
          <w:trHeight w:val="105"/>
        </w:trPr>
        <w:tc>
          <w:tcPr>
            <w:tcW w:w="58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center"/>
              <w:ind w:right="8"/>
              <w:spacing w:after="0" w:line="105" w:lineRule="exact"/>
              <w:rPr>
                <w:sz w:val="20"/>
                <w:szCs w:val="20"/>
                <w:color w:val="auto"/>
              </w:rPr>
            </w:pPr>
            <w:r>
              <w:rPr>
                <w:rFonts w:ascii="Times New Roman" w:cs="Times New Roman" w:eastAsia="Times New Roman" w:hAnsi="Times New Roman"/>
                <w:sz w:val="12"/>
                <w:szCs w:val="12"/>
                <w:b w:val="1"/>
                <w:bCs w:val="1"/>
                <w:color w:val="auto"/>
              </w:rPr>
              <w:t>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October 15,</w:t>
            </w: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9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58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Loss per share:</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Numerator – basic and diluted: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(164,827)</w:t>
            </w:r>
          </w:p>
        </w:tc>
        <w:tc>
          <w:tcPr>
            <w:tcW w:w="0" w:type="dxa"/>
            <w:vAlign w:val="bottom"/>
          </w:tcPr>
          <w:p>
            <w:pPr>
              <w:spacing w:after="0"/>
              <w:rPr>
                <w:sz w:val="1"/>
                <w:szCs w:val="1"/>
                <w:color w:val="auto"/>
              </w:rPr>
            </w:pPr>
          </w:p>
        </w:tc>
      </w:tr>
      <w:tr>
        <w:trPr>
          <w:trHeight w:val="196"/>
        </w:trPr>
        <w:tc>
          <w:tcPr>
            <w:tcW w:w="5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(120,832)</w:t>
            </w:r>
          </w:p>
        </w:tc>
        <w:tc>
          <w:tcPr>
            <w:tcW w:w="0" w:type="dxa"/>
            <w:vAlign w:val="bottom"/>
          </w:tcPr>
          <w:p>
            <w:pPr>
              <w:spacing w:after="0"/>
              <w:rPr>
                <w:sz w:val="1"/>
                <w:szCs w:val="1"/>
                <w:color w:val="auto"/>
              </w:rPr>
            </w:pPr>
          </w:p>
        </w:tc>
      </w:tr>
      <w:tr>
        <w:trPr>
          <w:trHeight w:val="25"/>
        </w:trPr>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loss attributable to Bakkt Holdings, Inc. –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(43,995)</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Denominator –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54,018,064</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880" w:type="dxa"/>
            <w:vAlign w:val="bottom"/>
            <w:vMerge w:val="continue"/>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620" w:right="160" w:firstLine="400"/>
        <w:spacing w:after="0" w:line="273" w:lineRule="auto"/>
        <w:rPr>
          <w:sz w:val="20"/>
          <w:szCs w:val="20"/>
          <w:color w:val="auto"/>
        </w:rPr>
      </w:pPr>
      <w:r>
        <w:rPr>
          <w:rFonts w:ascii="Times New Roman" w:cs="Times New Roman" w:eastAsia="Times New Roman" w:hAnsi="Times New Roman"/>
          <w:sz w:val="16"/>
          <w:szCs w:val="16"/>
          <w:color w:val="auto"/>
        </w:rPr>
        <w:t>Potential common shares issuable to employee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F-48</w:t>
      </w:r>
    </w:p>
    <w:p>
      <w:pPr>
        <w:sectPr>
          <w:pgSz w:w="11900" w:h="16838" w:orient="portrait"/>
          <w:cols w:equalWidth="0" w:num="1">
            <w:col w:w="10600"/>
          </w:cols>
          <w:pgMar w:left="320" w:top="452" w:right="979" w:bottom="1440" w:gutter="0" w:footer="0" w:header="0"/>
        </w:sectPr>
      </w:pPr>
    </w:p>
    <w:bookmarkStart w:id="202" w:name="page203"/>
    <w:bookmarkEnd w:id="20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300" w:firstLine="400"/>
        <w:spacing w:after="0" w:line="291" w:lineRule="auto"/>
        <w:rPr>
          <w:sz w:val="20"/>
          <w:szCs w:val="20"/>
          <w:color w:val="auto"/>
        </w:rPr>
      </w:pPr>
      <w:r>
        <w:rPr>
          <w:rFonts w:ascii="Times New Roman" w:cs="Times New Roman" w:eastAsia="Times New Roman" w:hAnsi="Times New Roman"/>
          <w:sz w:val="16"/>
          <w:szCs w:val="16"/>
          <w:color w:val="auto"/>
        </w:rPr>
        <w:t>The following table summarizes the total potential common shares excluded from diluted loss per common share as their effect would be anti-dilutive:</w:t>
      </w:r>
    </w:p>
    <w:p>
      <w:pPr>
        <w:spacing w:after="0" w:line="161" w:lineRule="exact"/>
        <w:rPr>
          <w:sz w:val="20"/>
          <w:szCs w:val="20"/>
          <w:color w:val="auto"/>
        </w:rPr>
      </w:pPr>
    </w:p>
    <w:tbl>
      <w:tblPr>
        <w:tblLayout w:type="fixed"/>
        <w:tblInd w:w="2220" w:type="dxa"/>
        <w:tblCellMar>
          <w:top w:w="0" w:type="dxa"/>
          <w:left w:w="0" w:type="dxa"/>
          <w:bottom w:w="0" w:type="dxa"/>
          <w:right w:w="0" w:type="dxa"/>
        </w:tblCellMar>
      </w:tblPr>
      <w:tr>
        <w:trPr>
          <w:trHeight w:val="157"/>
        </w:trPr>
        <w:tc>
          <w:tcPr>
            <w:tcW w:w="564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Successor</w:t>
            </w:r>
          </w:p>
        </w:tc>
      </w:tr>
      <w:tr>
        <w:trPr>
          <w:trHeight w:val="105"/>
        </w:trPr>
        <w:tc>
          <w:tcPr>
            <w:tcW w:w="5640" w:type="dxa"/>
            <w:vAlign w:val="bottom"/>
          </w:tcPr>
          <w:p>
            <w:pPr>
              <w:spacing w:after="0"/>
              <w:rPr>
                <w:sz w:val="9"/>
                <w:szCs w:val="9"/>
                <w:color w:val="auto"/>
              </w:rPr>
            </w:pPr>
          </w:p>
        </w:tc>
        <w:tc>
          <w:tcPr>
            <w:tcW w:w="108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From</w:t>
            </w:r>
          </w:p>
        </w:tc>
        <w:tc>
          <w:tcPr>
            <w:tcW w:w="80" w:type="dxa"/>
            <w:vAlign w:val="bottom"/>
          </w:tcPr>
          <w:p>
            <w:pPr>
              <w:spacing w:after="0"/>
              <w:rPr>
                <w:sz w:val="9"/>
                <w:szCs w:val="9"/>
                <w:color w:val="auto"/>
              </w:rPr>
            </w:pPr>
          </w:p>
        </w:tc>
      </w:tr>
      <w:tr>
        <w:trPr>
          <w:trHeight w:val="135"/>
        </w:trPr>
        <w:tc>
          <w:tcPr>
            <w:tcW w:w="564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15,</w:t>
            </w:r>
          </w:p>
        </w:tc>
      </w:tr>
      <w:tr>
        <w:trPr>
          <w:trHeight w:val="135"/>
        </w:trPr>
        <w:tc>
          <w:tcPr>
            <w:tcW w:w="56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1"/>
                <w:szCs w:val="11"/>
                <w:color w:val="auto"/>
              </w:rPr>
            </w:pPr>
          </w:p>
        </w:tc>
      </w:tr>
      <w:tr>
        <w:trPr>
          <w:trHeight w:val="135"/>
        </w:trPr>
        <w:tc>
          <w:tcPr>
            <w:tcW w:w="564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r>
      <w:tr>
        <w:trPr>
          <w:trHeight w:val="135"/>
        </w:trPr>
        <w:tc>
          <w:tcPr>
            <w:tcW w:w="564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7"/>
        </w:trPr>
        <w:tc>
          <w:tcPr>
            <w:tcW w:w="56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3"/>
                <w:szCs w:val="13"/>
                <w:color w:val="auto"/>
              </w:rPr>
            </w:pPr>
          </w:p>
        </w:tc>
      </w:tr>
      <w:tr>
        <w:trPr>
          <w:trHeight w:val="188"/>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RSUs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2,141,778</w:t>
            </w:r>
          </w:p>
        </w:tc>
        <w:tc>
          <w:tcPr>
            <w:tcW w:w="80" w:type="dxa"/>
            <w:vAlign w:val="bottom"/>
            <w:shd w:val="clear" w:color="auto" w:fill="CCEEFF"/>
          </w:tcPr>
          <w:p>
            <w:pPr>
              <w:spacing w:after="0"/>
              <w:rPr>
                <w:sz w:val="16"/>
                <w:szCs w:val="16"/>
                <w:color w:val="auto"/>
              </w:rPr>
            </w:pPr>
          </w:p>
        </w:tc>
      </w:tr>
      <w:tr>
        <w:trPr>
          <w:trHeight w:val="196"/>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Private and public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7,141,035</w:t>
            </w:r>
          </w:p>
        </w:tc>
        <w:tc>
          <w:tcPr>
            <w:tcW w:w="80" w:type="dxa"/>
            <w:vAlign w:val="bottom"/>
          </w:tcPr>
          <w:p>
            <w:pPr>
              <w:spacing w:after="0"/>
              <w:rPr>
                <w:sz w:val="17"/>
                <w:szCs w:val="17"/>
                <w:color w:val="auto"/>
              </w:rPr>
            </w:pPr>
          </w:p>
        </w:tc>
      </w:tr>
      <w:tr>
        <w:trPr>
          <w:trHeight w:val="19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Opco warrants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793,352</w:t>
            </w:r>
          </w:p>
        </w:tc>
        <w:tc>
          <w:tcPr>
            <w:tcW w:w="80" w:type="dxa"/>
            <w:vAlign w:val="bottom"/>
            <w:shd w:val="clear" w:color="auto" w:fill="CCEEFF"/>
          </w:tcPr>
          <w:p>
            <w:pPr>
              <w:spacing w:after="0"/>
              <w:rPr>
                <w:sz w:val="17"/>
                <w:szCs w:val="17"/>
                <w:color w:val="auto"/>
              </w:rPr>
            </w:pPr>
          </w:p>
        </w:tc>
      </w:tr>
      <w:tr>
        <w:trPr>
          <w:trHeight w:val="196"/>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Opco unvested incentive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4,831,432</w:t>
            </w:r>
          </w:p>
        </w:tc>
        <w:tc>
          <w:tcPr>
            <w:tcW w:w="80" w:type="dxa"/>
            <w:vAlign w:val="bottom"/>
          </w:tcPr>
          <w:p>
            <w:pPr>
              <w:spacing w:after="0"/>
              <w:rPr>
                <w:sz w:val="17"/>
                <w:szCs w:val="17"/>
                <w:color w:val="auto"/>
              </w:rPr>
            </w:pPr>
          </w:p>
        </w:tc>
      </w:tr>
      <w:tr>
        <w:trPr>
          <w:trHeight w:val="19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Opco common units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201,440,360</w:t>
            </w:r>
          </w:p>
        </w:tc>
        <w:tc>
          <w:tcPr>
            <w:tcW w:w="80" w:type="dxa"/>
            <w:vAlign w:val="bottom"/>
            <w:shd w:val="clear" w:color="auto" w:fill="CCEEFF"/>
          </w:tcPr>
          <w:p>
            <w:pPr>
              <w:spacing w:after="0"/>
              <w:rPr>
                <w:sz w:val="17"/>
                <w:szCs w:val="17"/>
                <w:color w:val="auto"/>
              </w:rPr>
            </w:pPr>
          </w:p>
        </w:tc>
      </w:tr>
      <w:tr>
        <w:trPr>
          <w:trHeight w:val="201"/>
        </w:trPr>
        <w:tc>
          <w:tcPr>
            <w:tcW w:w="5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216,347,957</w:t>
            </w:r>
          </w:p>
        </w:tc>
        <w:tc>
          <w:tcPr>
            <w:tcW w:w="80" w:type="dxa"/>
            <w:vAlign w:val="bottom"/>
          </w:tcPr>
          <w:p>
            <w:pPr>
              <w:spacing w:after="0"/>
              <w:rPr>
                <w:sz w:val="17"/>
                <w:szCs w:val="17"/>
                <w:color w:val="auto"/>
              </w:rPr>
            </w:pPr>
          </w:p>
        </w:tc>
      </w:tr>
      <w:tr>
        <w:trPr>
          <w:trHeight w:val="20"/>
        </w:trPr>
        <w:tc>
          <w:tcPr>
            <w:tcW w:w="5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13. Capital Requirements</w:t>
      </w:r>
    </w:p>
    <w:p>
      <w:pPr>
        <w:spacing w:after="0" w:line="110" w:lineRule="exact"/>
        <w:rPr>
          <w:sz w:val="20"/>
          <w:szCs w:val="20"/>
          <w:color w:val="auto"/>
        </w:rPr>
      </w:pPr>
    </w:p>
    <w:p>
      <w:pPr>
        <w:ind w:left="620" w:right="60" w:firstLine="400"/>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Bakkt Trust </w:t>
      </w:r>
      <w:r>
        <w:rPr>
          <w:rFonts w:ascii="Times New Roman" w:cs="Times New Roman" w:eastAsia="Times New Roman" w:hAnsi="Times New Roman"/>
          <w:sz w:val="16"/>
          <w:szCs w:val="16"/>
          <w:color w:val="auto"/>
        </w:rPr>
        <w:t>is subject to certain NYDFS regulatory capital requirements. These capital requirements require Bakkt Trust to maintain positive 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worth at the greater of $15.0 million or the sum of the required percentage established for transmitted assets, cold wallet, and hot wallet custody assets. As of December 31, 2021 and 2020, Bakkt Trust had determined that $16.5 million, respectively should be set aside to satisfy these, which is reflected as “Restricted cash” in the balance sheets.</w:t>
      </w:r>
    </w:p>
    <w:p>
      <w:pPr>
        <w:spacing w:after="0" w:line="156" w:lineRule="exact"/>
        <w:rPr>
          <w:sz w:val="20"/>
          <w:szCs w:val="20"/>
          <w:color w:val="auto"/>
        </w:rPr>
      </w:pPr>
    </w:p>
    <w:p>
      <w:pPr>
        <w:ind w:left="620" w:right="100" w:firstLine="400"/>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Bakkt Clearing </w:t>
      </w:r>
      <w:r>
        <w:rPr>
          <w:rFonts w:ascii="Times New Roman" w:cs="Times New Roman" w:eastAsia="Times New Roman" w:hAnsi="Times New Roman"/>
          <w:sz w:val="16"/>
          <w:szCs w:val="16"/>
          <w:color w:val="auto"/>
        </w:rPr>
        <w:t>is registered as a futures commission merchant (“FCM”) with the Commodity Futures Trading Commission (“CFTC”) and is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member of the National Futures Association (“NFA”). Bakkt Clearing is subject to CFTC Regulation 1.17, and the NFA capital requirements. Under these requirements, it is generally required to maintain “adjusted net capital” equivalent to the greater of $1.0 million or the sum of 8 percent of customer and noncustomer risk maintenance margin requirements on all positions, as defined. These margin requirements may change from day to day, but as of December 31, 2021, Bakkt Clearing had adjusted net capital of $2.0 million.</w:t>
      </w:r>
    </w:p>
    <w:p>
      <w:pPr>
        <w:spacing w:after="0" w:line="157" w:lineRule="exact"/>
        <w:rPr>
          <w:sz w:val="20"/>
          <w:szCs w:val="20"/>
          <w:color w:val="auto"/>
        </w:rPr>
      </w:pPr>
    </w:p>
    <w:p>
      <w:pPr>
        <w:ind w:left="620" w:right="40" w:firstLine="400"/>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Bakkt Marketplace </w:t>
      </w:r>
      <w:r>
        <w:rPr>
          <w:rFonts w:ascii="Times New Roman" w:cs="Times New Roman" w:eastAsia="Times New Roman" w:hAnsi="Times New Roman"/>
          <w:sz w:val="16"/>
          <w:szCs w:val="16"/>
          <w:color w:val="auto"/>
        </w:rPr>
        <w:t>is required to maintain tangible member’s equity of a minimum amount, plus the amount of customer funds held in transit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since it holds a number of money transmitter licenses and has a virtual currency license (or “BitLicense”) from the NYDFS, which subjects it to NYDFS’ oversight with respect to such business activities conducted in New York State and with New York residents. Tangible member’s equity means member’s equity minus intangible assets and tangible member’s equity amounted to $11.0 million as of December 31, 2021 and approximately $2.5 million as of December 31, 2020.</w:t>
      </w:r>
    </w:p>
    <w:p>
      <w:pPr>
        <w:spacing w:after="0" w:line="161" w:lineRule="exact"/>
        <w:rPr>
          <w:sz w:val="20"/>
          <w:szCs w:val="20"/>
          <w:color w:val="auto"/>
        </w:rPr>
      </w:pPr>
    </w:p>
    <w:p>
      <w:pPr>
        <w:ind w:left="620" w:right="360" w:firstLine="400"/>
        <w:spacing w:after="0" w:line="291" w:lineRule="auto"/>
        <w:rPr>
          <w:sz w:val="20"/>
          <w:szCs w:val="20"/>
          <w:color w:val="auto"/>
        </w:rPr>
      </w:pPr>
      <w:r>
        <w:rPr>
          <w:rFonts w:ascii="Times New Roman" w:cs="Times New Roman" w:eastAsia="Times New Roman" w:hAnsi="Times New Roman"/>
          <w:sz w:val="16"/>
          <w:szCs w:val="16"/>
          <w:color w:val="auto"/>
        </w:rPr>
        <w:t>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14. Commitments and Contingencies</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401(k) Plan</w:t>
      </w:r>
    </w:p>
    <w:p>
      <w:pPr>
        <w:spacing w:after="0" w:line="114" w:lineRule="exact"/>
        <w:rPr>
          <w:sz w:val="20"/>
          <w:szCs w:val="20"/>
          <w:color w:val="auto"/>
        </w:rPr>
      </w:pPr>
    </w:p>
    <w:p>
      <w:pPr>
        <w:ind w:left="620" w:firstLine="400"/>
        <w:spacing w:after="0" w:line="273" w:lineRule="auto"/>
        <w:rPr>
          <w:sz w:val="20"/>
          <w:szCs w:val="20"/>
          <w:color w:val="auto"/>
        </w:rPr>
      </w:pPr>
      <w:r>
        <w:rPr>
          <w:rFonts w:ascii="Times New Roman" w:cs="Times New Roman" w:eastAsia="Times New Roman" w:hAnsi="Times New Roman"/>
          <w:sz w:val="16"/>
          <w:szCs w:val="16"/>
          <w:color w:val="auto"/>
        </w:rPr>
        <w:t>We sponsor a 401(k) defined contribution plan covering all eligible U.S. employees. Both Company and employee contributions to the 401(k) plan are discretionary. For the period from October 15, 2021 through December 31, 2021 and January 1, 2021 through October 14, 2021 and the year ended December 31, 2020, we recorded approximately $0.5 million, $1.6 million and $1.5 million respectively of expenses related to the 401(k) plan.</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F-49</w:t>
      </w:r>
    </w:p>
    <w:p>
      <w:pPr>
        <w:sectPr>
          <w:pgSz w:w="11900" w:h="16838" w:orient="portrait"/>
          <w:cols w:equalWidth="0" w:num="1">
            <w:col w:w="10620"/>
          </w:cols>
          <w:pgMar w:left="320" w:top="453" w:right="959" w:bottom="1440" w:gutter="0" w:footer="0" w:header="0"/>
        </w:sectPr>
      </w:pPr>
    </w:p>
    <w:bookmarkStart w:id="203" w:name="page204"/>
    <w:bookmarkEnd w:id="20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Litigation</w:t>
      </w:r>
    </w:p>
    <w:p>
      <w:pPr>
        <w:spacing w:after="0" w:line="114" w:lineRule="exact"/>
        <w:rPr>
          <w:sz w:val="20"/>
          <w:szCs w:val="20"/>
          <w:color w:val="auto"/>
        </w:rPr>
      </w:pPr>
    </w:p>
    <w:p>
      <w:pPr>
        <w:ind w:left="620" w:right="120" w:firstLine="400"/>
        <w:spacing w:after="0" w:line="273" w:lineRule="auto"/>
        <w:rPr>
          <w:sz w:val="20"/>
          <w:szCs w:val="20"/>
          <w:color w:val="auto"/>
        </w:rPr>
      </w:pPr>
      <w:r>
        <w:rPr>
          <w:rFonts w:ascii="Times New Roman" w:cs="Times New Roman" w:eastAsia="Times New Roman" w:hAnsi="Times New Roman"/>
          <w:sz w:val="16"/>
          <w:szCs w:val="16"/>
          <w:color w:val="auto"/>
        </w:rPr>
        <w:t>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Commercial Purchasing Card Facility</w:t>
      </w:r>
    </w:p>
    <w:p>
      <w:pPr>
        <w:spacing w:after="0" w:line="114" w:lineRule="exact"/>
        <w:rPr>
          <w:sz w:val="20"/>
          <w:szCs w:val="20"/>
          <w:color w:val="auto"/>
        </w:rPr>
      </w:pPr>
    </w:p>
    <w:p>
      <w:pPr>
        <w:ind w:left="620" w:right="60" w:firstLine="400"/>
        <w:spacing w:after="0" w:line="260" w:lineRule="auto"/>
        <w:rPr>
          <w:sz w:val="20"/>
          <w:szCs w:val="20"/>
          <w:color w:val="auto"/>
        </w:rPr>
      </w:pPr>
      <w:r>
        <w:rPr>
          <w:rFonts w:ascii="Times New Roman" w:cs="Times New Roman" w:eastAsia="Times New Roman" w:hAnsi="Times New Roman"/>
          <w:sz w:val="16"/>
          <w:szCs w:val="16"/>
          <w:color w:val="auto"/>
        </w:rPr>
        <w:t>We, through our loyalty business, have a purchasing card facility with a bank that we utilize for redemption purchases made from merchant partners as part of our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us to maintain a month-end cash balance of $40.0 million. In September 2021, we notified the facility provider that we anticipated a breach of the month-end cash balance requirement. The facility provider agreed to forbear on exercising its rights and remedies under the terms of the facility until October 31, 2021 to allow time for the closing of the Business Combination. We cured the cash balance requirement breach on October 15, 2021 with the closing of the Business Combination. In January 2021, the purchasing card facility was extended to April 15, 2022 in order to facilitate a long-term agreement on more favorable terms to us. Bakkt Holdings, Inc. serves as the guarantor on behalf of our subsidiary under the commercial purchasing card facility.</w:t>
      </w:r>
    </w:p>
    <w:p>
      <w:pPr>
        <w:spacing w:after="0" w:line="200" w:lineRule="exact"/>
        <w:rPr>
          <w:sz w:val="20"/>
          <w:szCs w:val="20"/>
          <w:color w:val="auto"/>
        </w:rPr>
      </w:pP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Purchase Obligations</w:t>
      </w:r>
    </w:p>
    <w:p>
      <w:pPr>
        <w:spacing w:after="0" w:line="114" w:lineRule="exact"/>
        <w:rPr>
          <w:sz w:val="20"/>
          <w:szCs w:val="20"/>
          <w:color w:val="auto"/>
        </w:rPr>
      </w:pPr>
    </w:p>
    <w:p>
      <w:pPr>
        <w:ind w:left="620" w:right="180" w:firstLine="400"/>
        <w:spacing w:after="0" w:line="291" w:lineRule="auto"/>
        <w:rPr>
          <w:sz w:val="20"/>
          <w:szCs w:val="20"/>
          <w:color w:val="auto"/>
        </w:rPr>
      </w:pPr>
      <w:r>
        <w:rPr>
          <w:rFonts w:ascii="Times New Roman" w:cs="Times New Roman" w:eastAsia="Times New Roman" w:hAnsi="Times New Roman"/>
          <w:sz w:val="16"/>
          <w:szCs w:val="16"/>
          <w:color w:val="auto"/>
        </w:rPr>
        <w:t>In December 2021, we entered into a four-year cloud computing arrangement which includes minimum contractual payments due to the third-party provider. As of December 31, 2021, our outstanding purchase obligations consist of the following future minimum commitments (in thousands):</w:t>
      </w:r>
    </w:p>
    <w:p>
      <w:pPr>
        <w:spacing w:after="0" w:line="161" w:lineRule="exact"/>
        <w:rPr>
          <w:sz w:val="20"/>
          <w:szCs w:val="20"/>
          <w:color w:val="auto"/>
        </w:rPr>
      </w:pPr>
    </w:p>
    <w:tbl>
      <w:tblPr>
        <w:tblLayout w:type="fixed"/>
        <w:tblInd w:w="620" w:type="dxa"/>
        <w:tblCellMar>
          <w:top w:w="0" w:type="dxa"/>
          <w:left w:w="0" w:type="dxa"/>
          <w:bottom w:w="0" w:type="dxa"/>
          <w:right w:w="0" w:type="dxa"/>
        </w:tblCellMar>
      </w:tblPr>
      <w:tr>
        <w:trPr>
          <w:trHeight w:val="157"/>
        </w:trPr>
        <w:tc>
          <w:tcPr>
            <w:tcW w:w="53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5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5380" w:type="dxa"/>
            <w:vAlign w:val="bottom"/>
          </w:tcPr>
          <w:p>
            <w:pPr>
              <w:spacing w:after="0"/>
              <w:rPr>
                <w:sz w:val="9"/>
                <w:szCs w:val="9"/>
                <w:color w:val="auto"/>
              </w:rPr>
            </w:pPr>
          </w:p>
        </w:tc>
        <w:tc>
          <w:tcPr>
            <w:tcW w:w="1060" w:type="dxa"/>
            <w:vAlign w:val="bottom"/>
            <w:gridSpan w:val="2"/>
          </w:tcPr>
          <w:p>
            <w:pPr>
              <w:jc w:val="center"/>
              <w:ind w:right="420"/>
              <w:spacing w:after="0" w:line="105" w:lineRule="exact"/>
              <w:rPr>
                <w:sz w:val="20"/>
                <w:szCs w:val="20"/>
                <w:color w:val="auto"/>
              </w:rPr>
            </w:pPr>
            <w:r>
              <w:rPr>
                <w:rFonts w:ascii="Times New Roman" w:cs="Times New Roman" w:eastAsia="Times New Roman" w:hAnsi="Times New Roman"/>
                <w:sz w:val="12"/>
                <w:szCs w:val="12"/>
                <w:b w:val="1"/>
                <w:bCs w:val="1"/>
                <w:color w:val="auto"/>
              </w:rPr>
              <w:t>Less than 1</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9"/>
              </w:rPr>
              <w:t>1-3 years</w:t>
            </w:r>
          </w:p>
        </w:tc>
        <w:tc>
          <w:tcPr>
            <w:tcW w:w="400" w:type="dxa"/>
            <w:vAlign w:val="bottom"/>
          </w:tcPr>
          <w:p>
            <w:pPr>
              <w:spacing w:after="0"/>
              <w:rPr>
                <w:sz w:val="9"/>
                <w:szCs w:val="9"/>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112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More than 5</w:t>
            </w:r>
          </w:p>
        </w:tc>
        <w:tc>
          <w:tcPr>
            <w:tcW w:w="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7"/>
        </w:trPr>
        <w:tc>
          <w:tcPr>
            <w:tcW w:w="5380" w:type="dxa"/>
            <w:vAlign w:val="bottom"/>
          </w:tcPr>
          <w:p>
            <w:pPr>
              <w:spacing w:after="0"/>
              <w:rPr>
                <w:sz w:val="13"/>
                <w:szCs w:val="13"/>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year</w:t>
            </w:r>
          </w:p>
        </w:tc>
        <w:tc>
          <w:tcPr>
            <w:tcW w:w="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obligations</w:t>
            </w: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2,250</w:t>
            </w:r>
          </w:p>
        </w:tc>
        <w:tc>
          <w:tcPr>
            <w:tcW w:w="4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$ 8,750</w:t>
            </w:r>
          </w:p>
        </w:tc>
        <w:tc>
          <w:tcPr>
            <w:tcW w:w="4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$ 9,000</w:t>
            </w:r>
          </w:p>
        </w:tc>
        <w:tc>
          <w:tcPr>
            <w:tcW w:w="4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$20,000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15. Income Taxes</w:t>
      </w:r>
    </w:p>
    <w:p>
      <w:pPr>
        <w:spacing w:after="0" w:line="114" w:lineRule="exact"/>
        <w:rPr>
          <w:sz w:val="20"/>
          <w:szCs w:val="20"/>
          <w:color w:val="auto"/>
        </w:rPr>
      </w:pPr>
    </w:p>
    <w:p>
      <w:pPr>
        <w:ind w:left="620" w:right="20" w:firstLine="400"/>
        <w:spacing w:after="0" w:line="261" w:lineRule="auto"/>
        <w:rPr>
          <w:sz w:val="20"/>
          <w:szCs w:val="20"/>
          <w:color w:val="auto"/>
        </w:rPr>
      </w:pPr>
      <w:r>
        <w:rPr>
          <w:rFonts w:ascii="Times New Roman" w:cs="Times New Roman" w:eastAsia="Times New Roman" w:hAnsi="Times New Roman"/>
          <w:sz w:val="16"/>
          <w:szCs w:val="16"/>
          <w:color w:val="auto"/>
        </w:rPr>
        <w:t>As a result of the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Business Combination, on a pro rata basis. The Company’s U.S. federal and state income tax expense primarily relates to the Company’s allocable share of any taxable income or loss of Opco following the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domestic and foreign components of income (loss) before income taxes for the following period were as follows (in thousands):</w:t>
      </w:r>
    </w:p>
    <w:p>
      <w:pPr>
        <w:spacing w:after="0" w:line="227" w:lineRule="exact"/>
        <w:rPr>
          <w:sz w:val="20"/>
          <w:szCs w:val="20"/>
          <w:color w:val="auto"/>
        </w:rPr>
      </w:pPr>
    </w:p>
    <w:tbl>
      <w:tblPr>
        <w:tblLayout w:type="fixed"/>
        <w:tblInd w:w="142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400" w:type="dxa"/>
            <w:vAlign w:val="bottom"/>
          </w:tcPr>
          <w:p>
            <w:pPr>
              <w:spacing w:after="0" w:line="20" w:lineRule="exact"/>
              <w:rPr>
                <w:sz w:val="1"/>
                <w:szCs w:val="1"/>
                <w:color w:val="auto"/>
              </w:rPr>
            </w:pPr>
          </w:p>
        </w:tc>
        <w:tc>
          <w:tcPr>
            <w:tcW w:w="142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00" w:type="dxa"/>
            <w:vAlign w:val="bottom"/>
            <w:tcBorders>
              <w:left w:val="single" w:sz="8" w:color="auto"/>
            </w:tcBorders>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160" w:type="dxa"/>
            <w:vAlign w:val="bottom"/>
          </w:tcPr>
          <w:p>
            <w:pPr>
              <w:spacing w:after="0"/>
              <w:rPr>
                <w:sz w:val="9"/>
                <w:szCs w:val="9"/>
                <w:color w:val="auto"/>
              </w:rPr>
            </w:pPr>
          </w:p>
        </w:tc>
        <w:tc>
          <w:tcPr>
            <w:tcW w:w="400" w:type="dxa"/>
            <w:vAlign w:val="bottom"/>
            <w:tcBorders>
              <w:left w:val="single" w:sz="8" w:color="auto"/>
            </w:tcBorders>
          </w:tcPr>
          <w:p>
            <w:pPr>
              <w:spacing w:after="0"/>
              <w:rPr>
                <w:sz w:val="9"/>
                <w:szCs w:val="9"/>
                <w:color w:val="auto"/>
              </w:rPr>
            </w:pPr>
          </w:p>
        </w:tc>
        <w:tc>
          <w:tcPr>
            <w:tcW w:w="1000" w:type="dxa"/>
            <w:vAlign w:val="bottom"/>
            <w:tcBorders>
              <w:top w:val="single" w:sz="8" w:color="auto"/>
            </w:tcBorders>
            <w:gridSpan w:val="2"/>
          </w:tcPr>
          <w:p>
            <w:pPr>
              <w:jc w:val="center"/>
              <w:ind w:right="320"/>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2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Pr>
          <w:p>
            <w:pPr>
              <w:spacing w:after="0"/>
              <w:rPr>
                <w:sz w:val="11"/>
                <w:szCs w:val="11"/>
                <w:color w:val="auto"/>
              </w:rPr>
            </w:pPr>
          </w:p>
        </w:tc>
        <w:tc>
          <w:tcPr>
            <w:tcW w:w="1080" w:type="dxa"/>
            <w:vAlign w:val="bottom"/>
            <w:tcBorders>
              <w:left w:val="single" w:sz="8" w:color="auto"/>
            </w:tcBorders>
            <w:gridSpan w:val="2"/>
          </w:tcPr>
          <w:p>
            <w:pPr>
              <w:jc w:val="center"/>
              <w:ind w:left="309"/>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400" w:type="dxa"/>
            <w:vAlign w:val="bottom"/>
            <w:tcBorders>
              <w:left w:val="single" w:sz="8" w:color="auto"/>
            </w:tcBorders>
          </w:tcPr>
          <w:p>
            <w:pPr>
              <w:spacing w:after="0"/>
              <w:rPr>
                <w:sz w:val="11"/>
                <w:szCs w:val="11"/>
                <w:color w:val="auto"/>
              </w:rPr>
            </w:pPr>
          </w:p>
        </w:tc>
        <w:tc>
          <w:tcPr>
            <w:tcW w:w="10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2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20" w:type="dxa"/>
            <w:vAlign w:val="bottom"/>
            <w:gridSpan w:val="4"/>
          </w:tcPr>
          <w:p>
            <w:pPr>
              <w:jc w:val="center"/>
              <w:ind w:left="1264"/>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Borders>
              <w:left w:val="single" w:sz="8" w:color="auto"/>
            </w:tcBorders>
          </w:tcPr>
          <w:p>
            <w:pPr>
              <w:spacing w:after="0"/>
              <w:rPr>
                <w:sz w:val="11"/>
                <w:szCs w:val="11"/>
                <w:color w:val="auto"/>
              </w:rPr>
            </w:pPr>
          </w:p>
        </w:tc>
        <w:tc>
          <w:tcPr>
            <w:tcW w:w="10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1120" w:type="dxa"/>
            <w:vAlign w:val="bottom"/>
            <w:gridSpan w:val="4"/>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Pr>
          <w:p>
            <w:pPr>
              <w:spacing w:after="0"/>
              <w:rPr>
                <w:sz w:val="13"/>
                <w:szCs w:val="13"/>
                <w:color w:val="auto"/>
              </w:rPr>
            </w:pPr>
          </w:p>
        </w:tc>
        <w:tc>
          <w:tcPr>
            <w:tcW w:w="1080" w:type="dxa"/>
            <w:vAlign w:val="bottom"/>
            <w:tcBorders>
              <w:left w:val="single" w:sz="8" w:color="auto"/>
            </w:tcBorders>
            <w:gridSpan w:val="2"/>
          </w:tcPr>
          <w:p>
            <w:pPr>
              <w:jc w:val="center"/>
              <w:ind w:left="309"/>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1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(153,831)</w:t>
            </w:r>
          </w:p>
        </w:tc>
        <w:tc>
          <w:tcPr>
            <w:tcW w:w="1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left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$(142,376)</w:t>
            </w:r>
          </w:p>
        </w:tc>
        <w:tc>
          <w:tcPr>
            <w:tcW w:w="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1"/>
              </w:rPr>
              <w:t>(82,339)</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1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60" w:type="dxa"/>
            <w:vAlign w:val="bottom"/>
          </w:tcPr>
          <w:p>
            <w:pPr>
              <w:spacing w:after="0"/>
              <w:rPr>
                <w:sz w:val="17"/>
                <w:szCs w:val="17"/>
                <w:color w:val="auto"/>
              </w:rPr>
            </w:pPr>
          </w:p>
        </w:tc>
        <w:tc>
          <w:tcPr>
            <w:tcW w:w="400" w:type="dxa"/>
            <w:vAlign w:val="bottom"/>
            <w:tcBorders>
              <w:left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loss before provision for income taxes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(153,076)</w:t>
            </w:r>
          </w:p>
        </w:tc>
        <w:tc>
          <w:tcPr>
            <w:tcW w:w="1400" w:type="dxa"/>
            <w:vAlign w:val="bottom"/>
            <w:tcBorders>
              <w:left w:val="single" w:sz="8" w:color="auto"/>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(139,821)</w:t>
            </w:r>
          </w:p>
        </w:tc>
        <w:tc>
          <w:tcPr>
            <w:tcW w:w="4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(79,214)</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5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F-50</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453" w:right="959" w:bottom="1440" w:gutter="0" w:footer="0" w:header="0"/>
        </w:sectPr>
      </w:pPr>
    </w:p>
    <w:bookmarkStart w:id="204" w:name="page205"/>
    <w:bookmarkEnd w:id="20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Details of the income tax expense (benefit) are as follows (in thousands):</w:t>
      </w:r>
    </w:p>
    <w:p>
      <w:pPr>
        <w:spacing w:after="0" w:line="227" w:lineRule="exact"/>
        <w:rPr>
          <w:sz w:val="20"/>
          <w:szCs w:val="20"/>
          <w:color w:val="auto"/>
        </w:rPr>
      </w:pPr>
    </w:p>
    <w:tbl>
      <w:tblPr>
        <w:tblLayout w:type="fixed"/>
        <w:tblInd w:w="142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220" w:type="dxa"/>
            <w:vAlign w:val="bottom"/>
          </w:tcPr>
          <w:p>
            <w:pPr>
              <w:spacing w:after="0"/>
              <w:rPr>
                <w:sz w:val="9"/>
                <w:szCs w:val="9"/>
                <w:color w:val="auto"/>
              </w:rPr>
            </w:pPr>
          </w:p>
        </w:tc>
        <w:tc>
          <w:tcPr>
            <w:tcW w:w="120" w:type="dxa"/>
            <w:vAlign w:val="bottom"/>
            <w:tcBorders>
              <w:lef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Borders>
              <w:top w:val="single" w:sz="8" w:color="auto"/>
            </w:tcBorders>
            <w:gridSpan w:val="3"/>
          </w:tcPr>
          <w:p>
            <w:pPr>
              <w:jc w:val="center"/>
              <w:ind w:right="315"/>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2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83"/>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220" w:type="dxa"/>
            <w:vAlign w:val="bottom"/>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2"/>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through</w:t>
            </w:r>
          </w:p>
        </w:tc>
        <w:tc>
          <w:tcPr>
            <w:tcW w:w="120" w:type="dxa"/>
            <w:vAlign w:val="bottom"/>
            <w:tcBorders>
              <w:lef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395"/>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30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Borders>
              <w:lef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4"/>
          </w:tcPr>
          <w:p>
            <w:pPr>
              <w:jc w:val="center"/>
              <w:ind w:right="275"/>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280" w:type="dxa"/>
            <w:vAlign w:val="bottom"/>
          </w:tcPr>
          <w:p>
            <w:pPr>
              <w:spacing w:after="0"/>
              <w:rPr>
                <w:sz w:val="11"/>
                <w:szCs w:val="11"/>
                <w:color w:val="auto"/>
              </w:rPr>
            </w:pPr>
          </w:p>
        </w:tc>
        <w:tc>
          <w:tcPr>
            <w:tcW w:w="940" w:type="dxa"/>
            <w:vAlign w:val="bottom"/>
            <w:gridSpan w:val="5"/>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20" w:type="dxa"/>
            <w:vAlign w:val="bottom"/>
            <w:tcBorders>
              <w:bottom w:val="single" w:sz="8" w:color="CCEEFF"/>
            </w:tcBorders>
          </w:tcPr>
          <w:p>
            <w:pPr>
              <w:spacing w:after="0"/>
              <w:rPr>
                <w:sz w:val="13"/>
                <w:szCs w:val="13"/>
                <w:color w:val="auto"/>
              </w:rPr>
            </w:pPr>
          </w:p>
        </w:tc>
        <w:tc>
          <w:tcPr>
            <w:tcW w:w="120" w:type="dxa"/>
            <w:vAlign w:val="bottom"/>
            <w:tcBorders>
              <w:left w:val="single" w:sz="8" w:color="auto"/>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Current:</w:t>
            </w:r>
          </w:p>
        </w:tc>
        <w:tc>
          <w:tcPr>
            <w:tcW w:w="3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120" w:type="dxa"/>
            <w:vAlign w:val="bottom"/>
            <w:tcBorders>
              <w:left w:val="single" w:sz="8" w:color="auto"/>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0" w:type="dxa"/>
            <w:vAlign w:val="bottom"/>
            <w:tcBorders>
              <w:lef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720" w:type="dxa"/>
            <w:vAlign w:val="bottom"/>
            <w:tcBorders>
              <w:left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(763)</w:t>
            </w:r>
          </w:p>
        </w:tc>
        <w:tc>
          <w:tcPr>
            <w:tcW w:w="48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auto"/>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74"/>
              </w:rPr>
              <w:t>161</w:t>
            </w:r>
          </w:p>
        </w:tc>
        <w:tc>
          <w:tcPr>
            <w:tcW w:w="40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State</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income tax expense (benefit)</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auto"/>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(602)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w:t>
            </w: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auto"/>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Federal</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2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auto"/>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05"/>
        </w:trPr>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deferred income tax expense (benefit)</w:t>
            </w:r>
          </w:p>
        </w:tc>
        <w:tc>
          <w:tcPr>
            <w:tcW w:w="3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11,728</w:t>
            </w:r>
          </w:p>
        </w:tc>
        <w:tc>
          <w:tcPr>
            <w:tcW w:w="2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income tax expense (benefit)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11,751</w:t>
            </w:r>
          </w:p>
        </w:tc>
        <w:tc>
          <w:tcPr>
            <w:tcW w:w="220" w:type="dxa"/>
            <w:vAlign w:val="bottom"/>
            <w:tcBorders>
              <w:left w:val="single" w:sz="8" w:color="CCEEFF"/>
            </w:tcBorders>
            <w:shd w:val="clear" w:color="auto" w:fill="CCEEFF"/>
          </w:tcPr>
          <w:p>
            <w:pPr>
              <w:spacing w:after="0"/>
              <w:rPr>
                <w:sz w:val="17"/>
                <w:szCs w:val="17"/>
                <w:color w:val="auto"/>
              </w:rPr>
            </w:pPr>
          </w:p>
        </w:tc>
        <w:tc>
          <w:tcPr>
            <w:tcW w:w="720" w:type="dxa"/>
            <w:vAlign w:val="bottom"/>
            <w:tcBorders>
              <w:left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(602)</w:t>
            </w:r>
          </w:p>
        </w:tc>
        <w:tc>
          <w:tcPr>
            <w:tcW w:w="4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left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6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October 15,</w:t>
            </w:r>
          </w:p>
        </w:tc>
        <w:tc>
          <w:tcPr>
            <w:tcW w:w="2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Borders>
              <w:top w:val="single" w:sz="8" w:color="auto"/>
            </w:tcBorders>
            <w:gridSpan w:val="4"/>
          </w:tcPr>
          <w:p>
            <w:pPr>
              <w:jc w:val="center"/>
              <w:ind w:right="355"/>
              <w:spacing w:after="0" w:line="10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2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12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395"/>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280" w:type="dxa"/>
            <w:vAlign w:val="bottom"/>
          </w:tcPr>
          <w:p>
            <w:pPr>
              <w:spacing w:after="0"/>
              <w:rPr>
                <w:sz w:val="11"/>
                <w:szCs w:val="11"/>
                <w:color w:val="auto"/>
              </w:rPr>
            </w:pPr>
          </w:p>
        </w:tc>
        <w:tc>
          <w:tcPr>
            <w:tcW w:w="9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154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1220" w:type="dxa"/>
            <w:vAlign w:val="bottom"/>
            <w:gridSpan w:val="6"/>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right w:val="single" w:sz="8" w:color="auto"/>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provision at federal statutory rate</w:t>
            </w:r>
          </w:p>
        </w:tc>
        <w:tc>
          <w:tcPr>
            <w:tcW w:w="3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(32,146)</w:t>
            </w:r>
          </w:p>
        </w:tc>
        <w:tc>
          <w:tcPr>
            <w:tcW w:w="220" w:type="dxa"/>
            <w:vAlign w:val="bottom"/>
            <w:tcBorders>
              <w:left w:val="single" w:sz="8" w:color="CCEEFF"/>
            </w:tcBorders>
            <w:shd w:val="clear" w:color="auto" w:fill="CCEEFF"/>
          </w:tcPr>
          <w:p>
            <w:pPr>
              <w:spacing w:after="0"/>
              <w:rPr>
                <w:sz w:val="16"/>
                <w:szCs w:val="16"/>
                <w:color w:val="auto"/>
              </w:rPr>
            </w:pPr>
          </w:p>
        </w:tc>
        <w:tc>
          <w:tcPr>
            <w:tcW w:w="120" w:type="dxa"/>
            <w:vAlign w:val="bottom"/>
            <w:tcBorders>
              <w:left w:val="single" w:sz="8" w:color="CCEEFF"/>
              <w:right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(29,363)</w:t>
            </w:r>
          </w:p>
        </w:tc>
        <w:tc>
          <w:tcPr>
            <w:tcW w:w="400" w:type="dxa"/>
            <w:vAlign w:val="bottom"/>
            <w:tcBorders>
              <w:lef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(16,635)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 income tax resulting from:</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on income not subject to entity level federal income tax</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29,859</w:t>
            </w:r>
          </w:p>
        </w:tc>
        <w:tc>
          <w:tcPr>
            <w:tcW w:w="40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Tax rate differences on income in other jurisdictions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income taxes, net of federal tax effect</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25,375</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warrant liability</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16,668</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95"/>
              <w:spacing w:after="0"/>
              <w:rPr>
                <w:sz w:val="20"/>
                <w:szCs w:val="20"/>
                <w:color w:val="auto"/>
              </w:rPr>
            </w:pPr>
            <w:r>
              <w:rPr>
                <w:rFonts w:ascii="Times New Roman" w:cs="Times New Roman" w:eastAsia="Times New Roman" w:hAnsi="Times New Roman"/>
                <w:sz w:val="16"/>
                <w:szCs w:val="16"/>
                <w:color w:val="auto"/>
              </w:rPr>
              <w:t>(301)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95"/>
              <w:spacing w:after="0"/>
              <w:rPr>
                <w:sz w:val="20"/>
                <w:szCs w:val="20"/>
                <w:color w:val="auto"/>
              </w:rPr>
            </w:pPr>
            <w:r>
              <w:rPr>
                <w:rFonts w:ascii="Times New Roman" w:cs="Times New Roman" w:eastAsia="Times New Roman" w:hAnsi="Times New Roman"/>
                <w:sz w:val="16"/>
                <w:szCs w:val="16"/>
                <w:color w:val="auto"/>
              </w:rPr>
              <w:t>(797)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11,751</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right w:val="single" w:sz="8" w:color="auto"/>
            </w:tcBorders>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6"/>
                <w:szCs w:val="16"/>
                <w:color w:val="auto"/>
              </w:rPr>
              <w:t>(602)</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2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0.4%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The effective tax rate differs from the federal statutory rate primarily due to the loss allocated to noncontrolling interest that is not taxed to the</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Company and the non-deductible fair value expenses related to the warrant liability. While Opco incurred a net loss before income taxes of</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$153.1 million for the period from October 15, 2021 through December 31, 2021, only $32.4 million was allocated to Bakkt Holdings, Inc. The</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remaining $120.7 million is benefited for tax purposes by members outside of the reporting group. The primary driver of the expense results from the</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addback of $79.4 million of non-deductible expense related to fair market value adjustments to the Company’s warrant liability. This resulted in the</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Company recording income tax expense of $11.8 million for the period.</w:t>
      </w:r>
    </w:p>
    <w:p>
      <w:pPr>
        <w:spacing w:after="0" w:line="13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F-51</w:t>
      </w:r>
    </w:p>
    <w:p>
      <w:pPr>
        <w:sectPr>
          <w:pgSz w:w="11900" w:h="16838" w:orient="portrait"/>
          <w:cols w:equalWidth="0" w:num="1">
            <w:col w:w="10400"/>
          </w:cols>
          <w:pgMar w:left="320" w:top="453" w:right="1179" w:bottom="1440" w:gutter="0" w:footer="0" w:header="0"/>
        </w:sectPr>
      </w:pPr>
    </w:p>
    <w:bookmarkStart w:id="205" w:name="page206"/>
    <w:bookmarkEnd w:id="20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firstLine="400"/>
        <w:spacing w:after="0" w:line="273" w:lineRule="auto"/>
        <w:rPr>
          <w:sz w:val="20"/>
          <w:szCs w:val="20"/>
          <w:color w:val="auto"/>
        </w:rPr>
      </w:pPr>
      <w:r>
        <w:rPr>
          <w:rFonts w:ascii="Times New Roman" w:cs="Times New Roman" w:eastAsia="Times New Roman" w:hAnsi="Times New Roman"/>
          <w:sz w:val="16"/>
          <w:szCs w:val="16"/>
          <w:color w:val="auto"/>
        </w:rPr>
        <w:t>For the period from January 1, 2021 through October 14, 2021 and the year ended December 31, 2020, Opco and its subsidiaries were classified as partnerships or other pass through entities for U.S. federal income tax purposes resulting in $0.6 million benefit from income taxes and $0.4 million income tax expense, respectively.</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The following summarizes the significant components of our deferred tax assets and liabilities (in thousands):</w:t>
      </w:r>
    </w:p>
    <w:p>
      <w:pPr>
        <w:spacing w:after="0" w:line="227" w:lineRule="exact"/>
        <w:rPr>
          <w:sz w:val="20"/>
          <w:szCs w:val="20"/>
          <w:color w:val="auto"/>
        </w:rPr>
      </w:pPr>
    </w:p>
    <w:tbl>
      <w:tblPr>
        <w:tblLayout w:type="fixed"/>
        <w:tblInd w:w="1820" w:type="dxa"/>
        <w:tblCellMar>
          <w:top w:w="0" w:type="dxa"/>
          <w:left w:w="0" w:type="dxa"/>
          <w:bottom w:w="0" w:type="dxa"/>
          <w:right w:w="0" w:type="dxa"/>
        </w:tblCellMar>
      </w:tblPr>
      <w:tr>
        <w:trPr>
          <w:trHeight w:val="22"/>
        </w:trPr>
        <w:tc>
          <w:tcPr>
            <w:tcW w:w="3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680" w:type="dxa"/>
            <w:vAlign w:val="bottom"/>
          </w:tcPr>
          <w:p>
            <w:pPr>
              <w:spacing w:after="0" w:line="20" w:lineRule="exact"/>
              <w:rPr>
                <w:sz w:val="1"/>
                <w:szCs w:val="1"/>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5"/>
        </w:trPr>
        <w:tc>
          <w:tcPr>
            <w:tcW w:w="3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80" w:type="dxa"/>
            <w:vAlign w:val="bottom"/>
            <w:tcBorders>
              <w:left w:val="single" w:sz="8" w:color="auto"/>
            </w:tcBorders>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Borders>
              <w:top w:val="single" w:sz="8" w:color="auto"/>
            </w:tcBorders>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80" w:type="dxa"/>
            <w:vAlign w:val="bottom"/>
          </w:tcPr>
          <w:p>
            <w:pPr>
              <w:spacing w:after="0"/>
              <w:rPr>
                <w:sz w:val="9"/>
                <w:szCs w:val="9"/>
                <w:color w:val="auto"/>
              </w:rPr>
            </w:pPr>
          </w:p>
        </w:tc>
        <w:tc>
          <w:tcPr>
            <w:tcW w:w="680" w:type="dxa"/>
            <w:vAlign w:val="bottom"/>
            <w:tcBorders>
              <w:left w:val="single" w:sz="8" w:color="auto"/>
            </w:tcBorders>
          </w:tcPr>
          <w:p>
            <w:pPr>
              <w:spacing w:after="0"/>
              <w:rPr>
                <w:sz w:val="9"/>
                <w:szCs w:val="9"/>
                <w:color w:val="auto"/>
              </w:rPr>
            </w:pPr>
          </w:p>
        </w:tc>
        <w:tc>
          <w:tcPr>
            <w:tcW w:w="760" w:type="dxa"/>
            <w:vAlign w:val="bottom"/>
            <w:tcBorders>
              <w:top w:val="single" w:sz="8" w:color="auto"/>
            </w:tcBorders>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82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280" w:type="dxa"/>
            <w:vAlign w:val="bottom"/>
            <w:tcBorders>
              <w:bottom w:val="single" w:sz="8" w:color="CCEEFF"/>
            </w:tcBorders>
          </w:tcPr>
          <w:p>
            <w:pPr>
              <w:spacing w:after="0"/>
              <w:rPr>
                <w:sz w:val="13"/>
                <w:szCs w:val="13"/>
                <w:color w:val="auto"/>
              </w:rPr>
            </w:pPr>
          </w:p>
        </w:tc>
        <w:tc>
          <w:tcPr>
            <w:tcW w:w="680" w:type="dxa"/>
            <w:vAlign w:val="bottom"/>
            <w:tcBorders>
              <w:left w:val="single" w:sz="8" w:color="auto"/>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Deferred tax assets:</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tcBorders>
              <w:lef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5,011</w:t>
            </w:r>
          </w:p>
        </w:tc>
        <w:tc>
          <w:tcPr>
            <w:tcW w:w="68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and share-based compensation</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252</w:t>
            </w: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Acquisition costs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Property, equipment and software</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51</w:t>
            </w: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5,314</w:t>
            </w:r>
          </w:p>
        </w:tc>
        <w:tc>
          <w:tcPr>
            <w:tcW w:w="280" w:type="dxa"/>
            <w:vAlign w:val="bottom"/>
          </w:tcPr>
          <w:p>
            <w:pPr>
              <w:spacing w:after="0"/>
              <w:rPr>
                <w:sz w:val="17"/>
                <w:szCs w:val="17"/>
                <w:color w:val="auto"/>
              </w:rPr>
            </w:pPr>
          </w:p>
        </w:tc>
        <w:tc>
          <w:tcPr>
            <w:tcW w:w="680" w:type="dxa"/>
            <w:vAlign w:val="bottom"/>
            <w:tcBorders>
              <w:lef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valuation allowance</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(3,115)</w:t>
            </w: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(2,901)</w:t>
            </w:r>
          </w:p>
        </w:tc>
        <w:tc>
          <w:tcPr>
            <w:tcW w:w="0" w:type="dxa"/>
            <w:vAlign w:val="bottom"/>
          </w:tcPr>
          <w:p>
            <w:pPr>
              <w:spacing w:after="0"/>
              <w:rPr>
                <w:sz w:val="1"/>
                <w:szCs w:val="1"/>
                <w:color w:val="auto"/>
              </w:rPr>
            </w:pPr>
          </w:p>
        </w:tc>
      </w:tr>
      <w:tr>
        <w:trPr>
          <w:trHeight w:val="205"/>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1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280" w:type="dxa"/>
            <w:vAlign w:val="bottom"/>
          </w:tcPr>
          <w:p>
            <w:pPr>
              <w:spacing w:after="0"/>
              <w:rPr>
                <w:sz w:val="17"/>
                <w:szCs w:val="17"/>
                <w:color w:val="auto"/>
              </w:rPr>
            </w:pPr>
          </w:p>
        </w:tc>
        <w:tc>
          <w:tcPr>
            <w:tcW w:w="680" w:type="dxa"/>
            <w:vAlign w:val="bottom"/>
            <w:tcBorders>
              <w:left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partnership</w:t>
            </w:r>
          </w:p>
        </w:tc>
        <w:tc>
          <w:tcPr>
            <w:tcW w:w="130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11,507</w:t>
            </w:r>
          </w:p>
        </w:tc>
        <w:tc>
          <w:tcPr>
            <w:tcW w:w="860" w:type="dxa"/>
            <w:vAlign w:val="bottom"/>
            <w:tcBorders>
              <w:left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Intercompany asset with Opco</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2,285</w:t>
            </w: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Acquired technology</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Other acquired intangibles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13,792</w:t>
            </w:r>
          </w:p>
        </w:tc>
        <w:tc>
          <w:tcPr>
            <w:tcW w:w="280" w:type="dxa"/>
            <w:vAlign w:val="bottom"/>
          </w:tcPr>
          <w:p>
            <w:pPr>
              <w:spacing w:after="0"/>
              <w:rPr>
                <w:sz w:val="17"/>
                <w:szCs w:val="17"/>
                <w:color w:val="auto"/>
              </w:rPr>
            </w:pPr>
          </w:p>
        </w:tc>
        <w:tc>
          <w:tcPr>
            <w:tcW w:w="680" w:type="dxa"/>
            <w:vAlign w:val="bottom"/>
            <w:tcBorders>
              <w:left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13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(11,593)</w:t>
            </w:r>
          </w:p>
        </w:tc>
        <w:tc>
          <w:tcPr>
            <w:tcW w:w="860" w:type="dxa"/>
            <w:vAlign w:val="bottom"/>
            <w:tcBorders>
              <w:left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20" w:right="440" w:firstLine="400"/>
        <w:spacing w:after="0" w:line="291" w:lineRule="auto"/>
        <w:rPr>
          <w:sz w:val="20"/>
          <w:szCs w:val="20"/>
          <w:color w:val="auto"/>
        </w:rPr>
      </w:pPr>
      <w:r>
        <w:rPr>
          <w:rFonts w:ascii="Times New Roman" w:cs="Times New Roman" w:eastAsia="Times New Roman" w:hAnsi="Times New Roman"/>
          <w:sz w:val="16"/>
          <w:szCs w:val="16"/>
          <w:color w:val="auto"/>
        </w:rPr>
        <w:t>Deferred income taxes reflect the net tax effects of temporary differences between the carrying amounts of assets and liabilities for financial reporting purposes and the amounts used for income tax purposes.</w:t>
      </w:r>
    </w:p>
    <w:p>
      <w:pPr>
        <w:spacing w:after="0" w:line="142" w:lineRule="exact"/>
        <w:rPr>
          <w:sz w:val="20"/>
          <w:szCs w:val="20"/>
          <w:color w:val="auto"/>
        </w:rPr>
      </w:pPr>
    </w:p>
    <w:p>
      <w:pPr>
        <w:ind w:left="620" w:right="60" w:firstLine="400"/>
        <w:spacing w:after="0" w:line="261" w:lineRule="auto"/>
        <w:rPr>
          <w:sz w:val="20"/>
          <w:szCs w:val="20"/>
          <w:color w:val="auto"/>
        </w:rPr>
      </w:pPr>
      <w:r>
        <w:rPr>
          <w:rFonts w:ascii="Times New Roman" w:cs="Times New Roman" w:eastAsia="Times New Roman" w:hAnsi="Times New Roman"/>
          <w:sz w:val="16"/>
          <w:szCs w:val="16"/>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certain of its deferred tax assets were not more likely than not to be realized. As such, the Company has a valuation allowance of $3.1 million and $2.9 million as of December 31, 2021 and 2020, respectively. The increase in the valuation allowance during the year was primarily related to the assessment of the realizability of the deferred tax assets at DACC Technologies, Inc., for which the Company has determined it is not more likely than not that it will receive a benefit.</w:t>
      </w:r>
    </w:p>
    <w:p>
      <w:pPr>
        <w:spacing w:after="0" w:line="1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F-52</w:t>
      </w:r>
    </w:p>
    <w:p>
      <w:pPr>
        <w:sectPr>
          <w:pgSz w:w="11900" w:h="16838" w:orient="portrait"/>
          <w:cols w:equalWidth="0" w:num="1">
            <w:col w:w="10620"/>
          </w:cols>
          <w:pgMar w:left="320" w:top="453" w:right="959" w:bottom="1440" w:gutter="0" w:footer="0" w:header="0"/>
        </w:sectPr>
      </w:pPr>
    </w:p>
    <w:bookmarkStart w:id="206" w:name="page207"/>
    <w:bookmarkEnd w:id="20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jc w:val="both"/>
        <w:ind w:left="620" w:right="60" w:firstLine="400"/>
        <w:spacing w:after="0" w:line="273" w:lineRule="auto"/>
        <w:rPr>
          <w:sz w:val="20"/>
          <w:szCs w:val="20"/>
          <w:color w:val="auto"/>
        </w:rPr>
      </w:pPr>
      <w:r>
        <w:rPr>
          <w:rFonts w:ascii="Times New Roman" w:cs="Times New Roman" w:eastAsia="Times New Roman" w:hAnsi="Times New Roman"/>
          <w:sz w:val="16"/>
          <w:szCs w:val="16"/>
          <w:color w:val="auto"/>
        </w:rPr>
        <w:t>As of December 31, 2021, the Company had gross federal net operating loss carryforwards (“NOLs”) of $17.1 million, of which $0.4 million will begin to expire in 2037 and $16.7 million can be carried forward indefinitely. The Company also had state NOLs of $21.4 million which begin to expire in 2037.</w:t>
      </w:r>
    </w:p>
    <w:p>
      <w:pPr>
        <w:spacing w:after="0" w:line="157" w:lineRule="exact"/>
        <w:rPr>
          <w:sz w:val="20"/>
          <w:szCs w:val="20"/>
          <w:color w:val="auto"/>
        </w:rPr>
      </w:pPr>
    </w:p>
    <w:p>
      <w:pPr>
        <w:ind w:left="620" w:right="260" w:firstLine="400"/>
        <w:spacing w:after="0" w:line="291" w:lineRule="auto"/>
        <w:rPr>
          <w:sz w:val="20"/>
          <w:szCs w:val="20"/>
          <w:color w:val="auto"/>
        </w:rPr>
      </w:pPr>
      <w:r>
        <w:rPr>
          <w:rFonts w:ascii="Times New Roman" w:cs="Times New Roman" w:eastAsia="Times New Roman" w:hAnsi="Times New Roman"/>
          <w:sz w:val="16"/>
          <w:szCs w:val="16"/>
          <w:color w:val="auto"/>
        </w:rPr>
        <w:t>The Company and its affiliates files income tax returns in the U.S. federal jurisdiction, various state jurisdictions and foreign jurisdictions. The Company is no longer subject to income tax examinations by tax authorities for years prior to 2017.</w:t>
      </w:r>
    </w:p>
    <w:p>
      <w:pPr>
        <w:spacing w:after="0" w:line="142" w:lineRule="exact"/>
        <w:rPr>
          <w:sz w:val="20"/>
          <w:szCs w:val="20"/>
          <w:color w:val="auto"/>
        </w:rPr>
      </w:pPr>
    </w:p>
    <w:p>
      <w:pPr>
        <w:ind w:left="620" w:right="80" w:firstLine="400"/>
        <w:spacing w:after="0" w:line="267" w:lineRule="auto"/>
        <w:rPr>
          <w:sz w:val="20"/>
          <w:szCs w:val="20"/>
          <w:color w:val="auto"/>
        </w:rPr>
      </w:pPr>
      <w:r>
        <w:rPr>
          <w:rFonts w:ascii="Times New Roman" w:cs="Times New Roman" w:eastAsia="Times New Roman" w:hAnsi="Times New Roman"/>
          <w:sz w:val="16"/>
          <w:szCs w:val="16"/>
          <w:color w:val="auto"/>
        </w:rPr>
        <w:t>Our non-U.S. subsidiaries are subject to Global Intangible Low-Taxed Income provisions under the Tax Cuts and Jobs Act; however, we have not generated any tax liability under these provisions since enacted. Further, our non-U.S. subsidiaries have not generated material earnings meriting an analysis of indefinite reinvestment of any undistributed earnings. Accordingly, no provision for U.S. federal and state income taxes has been made with respect to these undistributed earnings and a determination of the unrecognized deferred tax liability is not yet applicable or necessary.</w:t>
      </w:r>
    </w:p>
    <w:p>
      <w:pPr>
        <w:spacing w:after="0" w:line="162" w:lineRule="exact"/>
        <w:rPr>
          <w:sz w:val="20"/>
          <w:szCs w:val="20"/>
          <w:color w:val="auto"/>
        </w:rPr>
      </w:pPr>
    </w:p>
    <w:p>
      <w:pPr>
        <w:ind w:left="620" w:right="20" w:firstLine="400"/>
        <w:spacing w:after="0" w:line="267" w:lineRule="auto"/>
        <w:rPr>
          <w:sz w:val="20"/>
          <w:szCs w:val="20"/>
          <w:color w:val="auto"/>
        </w:rPr>
      </w:pPr>
      <w:r>
        <w:rPr>
          <w:rFonts w:ascii="Times New Roman" w:cs="Times New Roman" w:eastAsia="Times New Roman" w:hAnsi="Times New Roman"/>
          <w:sz w:val="16"/>
          <w:szCs w:val="16"/>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 likely-than-not” to be realized upon ultimate settlement. The Company had no unrecognized tax benefits or related interest and penalties accrued for the period ended December 31, 2021 and 2020, respectively.</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16. Fair Value Measurements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Financial assets and liabilities that are measured at fair value on a recurring basis are classified entirely as Level 1 as follows (in thousands):</w:t>
      </w:r>
    </w:p>
    <w:p>
      <w:pPr>
        <w:spacing w:after="0" w:line="227" w:lineRule="exact"/>
        <w:rPr>
          <w:sz w:val="20"/>
          <w:szCs w:val="20"/>
          <w:color w:val="auto"/>
        </w:rPr>
      </w:pPr>
    </w:p>
    <w:tbl>
      <w:tblPr>
        <w:tblLayout w:type="fixed"/>
        <w:tblInd w:w="10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left="209"/>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center"/>
              <w:ind w:left="66"/>
              <w:spacing w:after="0" w:line="128" w:lineRule="exact"/>
              <w:rPr>
                <w:sz w:val="20"/>
                <w:szCs w:val="20"/>
                <w:color w:val="auto"/>
              </w:rPr>
            </w:pPr>
            <w:r>
              <w:rPr>
                <w:rFonts w:ascii="Times New Roman" w:cs="Times New Roman" w:eastAsia="Times New Roman" w:hAnsi="Times New Roman"/>
                <w:sz w:val="13"/>
                <w:szCs w:val="13"/>
                <w:b w:val="1"/>
                <w:bCs w:val="1"/>
                <w:color w:val="auto"/>
              </w:rPr>
              <w:t>As of December 31, 2021</w:t>
            </w:r>
          </w:p>
        </w:tc>
        <w:tc>
          <w:tcPr>
            <w:tcW w:w="4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340"/>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Pr>
          <w:p>
            <w:pPr>
              <w:spacing w:after="0"/>
              <w:rPr>
                <w:sz w:val="11"/>
                <w:szCs w:val="11"/>
                <w:color w:val="auto"/>
              </w:rPr>
            </w:pPr>
          </w:p>
        </w:tc>
        <w:tc>
          <w:tcPr>
            <w:tcW w:w="1020" w:type="dxa"/>
            <w:vAlign w:val="bottom"/>
            <w:gridSpan w:val="2"/>
          </w:tcPr>
          <w:p>
            <w:pPr>
              <w:jc w:val="center"/>
              <w:ind w:right="460"/>
              <w:spacing w:after="0" w:line="128" w:lineRule="exact"/>
              <w:rPr>
                <w:sz w:val="20"/>
                <w:szCs w:val="20"/>
                <w:color w:val="auto"/>
              </w:rPr>
            </w:pPr>
            <w:r>
              <w:rPr>
                <w:rFonts w:ascii="Times New Roman" w:cs="Times New Roman" w:eastAsia="Times New Roman" w:hAnsi="Times New Roman"/>
                <w:sz w:val="13"/>
                <w:szCs w:val="13"/>
                <w:b w:val="1"/>
                <w:bCs w:val="1"/>
                <w:color w:val="auto"/>
                <w:w w:val="99"/>
              </w:rPr>
              <w:t>Level 1</w:t>
            </w:r>
          </w:p>
        </w:tc>
        <w:tc>
          <w:tcPr>
            <w:tcW w:w="40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w w:val="94"/>
              </w:rPr>
              <w:t>Level 2</w:t>
            </w:r>
          </w:p>
        </w:tc>
        <w:tc>
          <w:tcPr>
            <w:tcW w:w="480" w:type="dxa"/>
            <w:vAlign w:val="bottom"/>
          </w:tcPr>
          <w:p>
            <w:pPr>
              <w:spacing w:after="0"/>
              <w:rPr>
                <w:sz w:val="11"/>
                <w:szCs w:val="11"/>
                <w:color w:val="auto"/>
              </w:rPr>
            </w:pPr>
          </w:p>
        </w:tc>
        <w:tc>
          <w:tcPr>
            <w:tcW w:w="42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w w:val="99"/>
              </w:rPr>
              <w:t>Level 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Warrant liability—public warrants</w:t>
            </w:r>
          </w:p>
        </w:tc>
        <w:tc>
          <w:tcPr>
            <w:tcW w:w="15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5"/>
              </w:rPr>
              <w:t>17,424</w:t>
            </w: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17,424</w:t>
            </w:r>
          </w:p>
        </w:tc>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5"/>
              </w:rPr>
              <w:t>17,424</w:t>
            </w:r>
          </w:p>
        </w:tc>
        <w:tc>
          <w:tcPr>
            <w:tcW w:w="12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17,424</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9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209"/>
              <w:spacing w:after="0"/>
              <w:rPr>
                <w:sz w:val="20"/>
                <w:szCs w:val="20"/>
                <w:color w:val="auto"/>
              </w:rPr>
            </w:pPr>
            <w:r>
              <w:rPr>
                <w:rFonts w:ascii="Times New Roman" w:cs="Times New Roman" w:eastAsia="Times New Roman" w:hAnsi="Times New Roman"/>
                <w:sz w:val="13"/>
                <w:szCs w:val="13"/>
                <w:b w:val="1"/>
                <w:bCs w:val="1"/>
                <w:color w:val="auto"/>
                <w:w w:val="99"/>
              </w:rPr>
              <w:t>Predecessor</w:t>
            </w: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center"/>
              <w:ind w:left="66"/>
              <w:spacing w:after="0" w:line="128" w:lineRule="exact"/>
              <w:rPr>
                <w:sz w:val="20"/>
                <w:szCs w:val="20"/>
                <w:color w:val="auto"/>
              </w:rPr>
            </w:pPr>
            <w:r>
              <w:rPr>
                <w:rFonts w:ascii="Times New Roman" w:cs="Times New Roman" w:eastAsia="Times New Roman" w:hAnsi="Times New Roman"/>
                <w:sz w:val="13"/>
                <w:szCs w:val="13"/>
                <w:b w:val="1"/>
                <w:bCs w:val="1"/>
                <w:color w:val="auto"/>
              </w:rPr>
              <w:t>As of December 31, 2020</w:t>
            </w:r>
          </w:p>
        </w:tc>
        <w:tc>
          <w:tcPr>
            <w:tcW w:w="4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340"/>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Pr>
          <w:p>
            <w:pPr>
              <w:spacing w:after="0"/>
              <w:rPr>
                <w:sz w:val="11"/>
                <w:szCs w:val="11"/>
                <w:color w:val="auto"/>
              </w:rPr>
            </w:pPr>
          </w:p>
        </w:tc>
        <w:tc>
          <w:tcPr>
            <w:tcW w:w="1020" w:type="dxa"/>
            <w:vAlign w:val="bottom"/>
            <w:gridSpan w:val="2"/>
          </w:tcPr>
          <w:p>
            <w:pPr>
              <w:jc w:val="center"/>
              <w:ind w:right="460"/>
              <w:spacing w:after="0" w:line="128" w:lineRule="exact"/>
              <w:rPr>
                <w:sz w:val="20"/>
                <w:szCs w:val="20"/>
                <w:color w:val="auto"/>
              </w:rPr>
            </w:pPr>
            <w:r>
              <w:rPr>
                <w:rFonts w:ascii="Times New Roman" w:cs="Times New Roman" w:eastAsia="Times New Roman" w:hAnsi="Times New Roman"/>
                <w:sz w:val="13"/>
                <w:szCs w:val="13"/>
                <w:b w:val="1"/>
                <w:bCs w:val="1"/>
                <w:color w:val="auto"/>
                <w:w w:val="99"/>
              </w:rPr>
              <w:t>Level 1</w:t>
            </w:r>
          </w:p>
        </w:tc>
        <w:tc>
          <w:tcPr>
            <w:tcW w:w="40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w w:val="94"/>
              </w:rPr>
              <w:t>Level 2</w:t>
            </w:r>
          </w:p>
        </w:tc>
        <w:tc>
          <w:tcPr>
            <w:tcW w:w="480" w:type="dxa"/>
            <w:vAlign w:val="bottom"/>
          </w:tcPr>
          <w:p>
            <w:pPr>
              <w:spacing w:after="0"/>
              <w:rPr>
                <w:sz w:val="11"/>
                <w:szCs w:val="11"/>
                <w:color w:val="auto"/>
              </w:rPr>
            </w:pPr>
          </w:p>
        </w:tc>
        <w:tc>
          <w:tcPr>
            <w:tcW w:w="42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w w:val="99"/>
              </w:rPr>
              <w:t>Level 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Assets:</w:t>
            </w:r>
          </w:p>
        </w:tc>
        <w:tc>
          <w:tcPr>
            <w:tcW w:w="1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in shares of affiliate stock</w:t>
            </w:r>
          </w:p>
        </w:tc>
        <w:tc>
          <w:tcPr>
            <w:tcW w:w="15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rPr>
              <w:t>$ 1,823</w:t>
            </w:r>
          </w:p>
        </w:tc>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$ 1,823</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9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620" w:firstLine="400"/>
        <w:spacing w:after="0" w:line="273" w:lineRule="auto"/>
        <w:rPr>
          <w:sz w:val="20"/>
          <w:szCs w:val="20"/>
          <w:color w:val="auto"/>
        </w:rPr>
      </w:pPr>
      <w:r>
        <w:rPr>
          <w:rFonts w:ascii="Times New Roman" w:cs="Times New Roman" w:eastAsia="Times New Roman" w:hAnsi="Times New Roman"/>
          <w:sz w:val="16"/>
          <w:szCs w:val="16"/>
          <w:color w:val="auto"/>
        </w:rPr>
        <w:t>Our public warrant liability and investment in shares of affiliate stock are valued based on quoted prices in active markets and are classified within Level 1. The Private Placement Warrant liability was measured at fair value on a recurring basis using significant unobservable inputs (Level 3) during the Successor period until it was</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F-53</w:t>
      </w:r>
    </w:p>
    <w:p>
      <w:pPr>
        <w:sectPr>
          <w:pgSz w:w="11900" w:h="16838" w:orient="portrait"/>
          <w:cols w:equalWidth="0" w:num="1">
            <w:col w:w="10620"/>
          </w:cols>
          <w:pgMar w:left="320" w:top="453" w:right="959" w:bottom="1440" w:gutter="0" w:footer="0" w:header="0"/>
        </w:sectPr>
      </w:pPr>
    </w:p>
    <w:bookmarkStart w:id="207" w:name="page208"/>
    <w:bookmarkEnd w:id="20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440"/>
        <w:spacing w:after="0" w:line="291" w:lineRule="auto"/>
        <w:rPr>
          <w:sz w:val="20"/>
          <w:szCs w:val="20"/>
          <w:color w:val="auto"/>
        </w:rPr>
      </w:pPr>
      <w:r>
        <w:rPr>
          <w:rFonts w:ascii="Times New Roman" w:cs="Times New Roman" w:eastAsia="Times New Roman" w:hAnsi="Times New Roman"/>
          <w:sz w:val="16"/>
          <w:szCs w:val="16"/>
          <w:color w:val="auto"/>
        </w:rPr>
        <w:t>fully exercised on November 17, 2021. A reconciliation of the warrant liability associated with private placement warrants from October 15, 2021 through December 31, 2021 is summarized below (in thousands):</w:t>
      </w:r>
    </w:p>
    <w:p>
      <w:pPr>
        <w:spacing w:after="0" w:line="161" w:lineRule="exact"/>
        <w:rPr>
          <w:sz w:val="20"/>
          <w:szCs w:val="20"/>
          <w:color w:val="auto"/>
        </w:rPr>
      </w:pPr>
    </w:p>
    <w:tbl>
      <w:tblPr>
        <w:tblLayout w:type="fixed"/>
        <w:tblInd w:w="2220" w:type="dxa"/>
        <w:tblCellMar>
          <w:top w:w="0" w:type="dxa"/>
          <w:left w:w="0" w:type="dxa"/>
          <w:bottom w:w="0" w:type="dxa"/>
          <w:right w:w="0" w:type="dxa"/>
        </w:tblCellMar>
      </w:tblPr>
      <w:tr>
        <w:trPr>
          <w:trHeight w:val="157"/>
        </w:trPr>
        <w:tc>
          <w:tcPr>
            <w:tcW w:w="5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9"/>
              </w:rPr>
              <w:t>Successor</w:t>
            </w:r>
          </w:p>
        </w:tc>
      </w:tr>
      <w:tr>
        <w:trPr>
          <w:trHeight w:val="105"/>
        </w:trPr>
        <w:tc>
          <w:tcPr>
            <w:tcW w:w="5940" w:type="dxa"/>
            <w:vAlign w:val="bottom"/>
          </w:tcPr>
          <w:p>
            <w:pPr>
              <w:spacing w:after="0"/>
              <w:rPr>
                <w:sz w:val="9"/>
                <w:szCs w:val="9"/>
                <w:color w:val="auto"/>
              </w:rPr>
            </w:pPr>
          </w:p>
        </w:tc>
        <w:tc>
          <w:tcPr>
            <w:tcW w:w="760" w:type="dxa"/>
            <w:vAlign w:val="bottom"/>
            <w:tcBorders>
              <w:top w:val="single" w:sz="8" w:color="auto"/>
            </w:tcBorders>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Pr>
          <w:p>
            <w:pPr>
              <w:spacing w:after="0"/>
              <w:rPr>
                <w:sz w:val="9"/>
                <w:szCs w:val="9"/>
                <w:color w:val="auto"/>
              </w:rPr>
            </w:pPr>
          </w:p>
        </w:tc>
      </w:tr>
      <w:tr>
        <w:trPr>
          <w:trHeight w:val="157"/>
        </w:trPr>
        <w:tc>
          <w:tcPr>
            <w:tcW w:w="59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r>
      <w:tr>
        <w:trPr>
          <w:trHeight w:val="188"/>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October 15, 2021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14,631</w:t>
            </w:r>
          </w:p>
        </w:tc>
        <w:tc>
          <w:tcPr>
            <w:tcW w:w="100" w:type="dxa"/>
            <w:vAlign w:val="bottom"/>
            <w:shd w:val="clear" w:color="auto" w:fill="CCEEFF"/>
          </w:tcPr>
          <w:p>
            <w:pPr>
              <w:spacing w:after="0"/>
              <w:rPr>
                <w:sz w:val="16"/>
                <w:szCs w:val="16"/>
                <w:color w:val="auto"/>
              </w:rPr>
            </w:pPr>
          </w:p>
        </w:tc>
      </w:tr>
      <w:tr>
        <w:trPr>
          <w:trHeight w:val="196"/>
        </w:trPr>
        <w:tc>
          <w:tcPr>
            <w:tcW w:w="5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from fair value of warrant liability</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50,347</w:t>
            </w:r>
          </w:p>
        </w:tc>
      </w:tr>
      <w:tr>
        <w:trPr>
          <w:trHeight w:val="19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Exercise of warrants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(64,978)</w:t>
            </w:r>
          </w:p>
        </w:tc>
      </w:tr>
      <w:tr>
        <w:trPr>
          <w:trHeight w:val="201"/>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left="620" w:right="100" w:firstLine="400"/>
        <w:spacing w:after="0" w:line="260" w:lineRule="auto"/>
        <w:rPr>
          <w:sz w:val="20"/>
          <w:szCs w:val="20"/>
          <w:color w:val="auto"/>
        </w:rPr>
      </w:pPr>
      <w:r>
        <w:rPr>
          <w:rFonts w:ascii="Times New Roman" w:cs="Times New Roman" w:eastAsia="Times New Roman" w:hAnsi="Times New Roman"/>
          <w:sz w:val="16"/>
          <w:szCs w:val="16"/>
          <w:color w:val="auto"/>
        </w:rPr>
        <w:t>The carrying amounts of certain financial instruments, including cash and cash equivalents, accounts receivables, unbilled accounts receivables, due from related party, deposits with clearinghouse, due to related party, accounts payable and accrued liabilities, and operating and finance lease obligations approximate their fair values due to their short- term nature. The balance of deposits with clearinghouse not invested in U.S. government securities are in the form of cash, and therefore approximate fair value. During the period from October 15, 2021 through December 31, 2021, we adjusted a software license asset and liability to fair value when impairment charges were recognized, which was on a non-recurring basis and based on Level 3 inputs. During the period from January 1, 2021 through October 14, 2021, we adjusted our customer consideration asset to fair value when impairment charges were recognized, which was on a non-recurring basis and based on Level 3 inputs. During the year ended December 31, 2020, we adjusted internal-use software and software licenses to fair value when impairment charges were recognized, which were on a non-recurring basis and based on Level 3 inputs.</w:t>
      </w:r>
    </w:p>
    <w:p>
      <w:pPr>
        <w:spacing w:after="0" w:line="200" w:lineRule="exact"/>
        <w:rPr>
          <w:sz w:val="20"/>
          <w:szCs w:val="20"/>
          <w:color w:val="auto"/>
        </w:rPr>
      </w:pP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17. Leases</w:t>
      </w:r>
    </w:p>
    <w:p>
      <w:pPr>
        <w:spacing w:after="0" w:line="114" w:lineRule="exact"/>
        <w:rPr>
          <w:sz w:val="20"/>
          <w:szCs w:val="20"/>
          <w:color w:val="auto"/>
        </w:rPr>
      </w:pPr>
    </w:p>
    <w:p>
      <w:pPr>
        <w:ind w:left="620" w:right="80"/>
        <w:spacing w:after="0" w:line="263" w:lineRule="auto"/>
        <w:rPr>
          <w:sz w:val="20"/>
          <w:szCs w:val="20"/>
          <w:color w:val="auto"/>
        </w:rPr>
      </w:pPr>
      <w:r>
        <w:rPr>
          <w:rFonts w:ascii="Times New Roman" w:cs="Times New Roman" w:eastAsia="Times New Roman" w:hAnsi="Times New Roman"/>
          <w:sz w:val="16"/>
          <w:szCs w:val="16"/>
          <w:color w:val="auto"/>
        </w:rPr>
        <w:t>We assumed operating and finance leases as a result of our acquisition of Bridge2 Solutions on February 21, 2020 for leased office facilities under the terms of various operating leases expiring through 2023. During the year ended December 31, 2021, we also entered into a new real estate lease for office space in Alpharetta, Georgia, that commenced on November 1, 2021, and expires in 2032. We reassessed leases as of the date of the Business Combination as part of our acquisition accounting described in Note 4. We consider a lease to have commenced on the date when we are granted access to the leased asset. Several of these leases include escalation clauses for adjusting rentals. The Company leases real estate for office space under operating leases and office equipment under finance leases. As of December 31, 2021, we do not have any active finance leases.</w:t>
      </w:r>
    </w:p>
    <w:p>
      <w:pPr>
        <w:spacing w:after="0" w:line="163" w:lineRule="exact"/>
        <w:rPr>
          <w:sz w:val="20"/>
          <w:szCs w:val="20"/>
          <w:color w:val="auto"/>
        </w:rPr>
      </w:pPr>
    </w:p>
    <w:p>
      <w:pPr>
        <w:ind w:left="620" w:right="40"/>
        <w:spacing w:after="0" w:line="267" w:lineRule="auto"/>
        <w:rPr>
          <w:sz w:val="20"/>
          <w:szCs w:val="20"/>
          <w:color w:val="auto"/>
        </w:rPr>
      </w:pPr>
      <w:r>
        <w:rPr>
          <w:rFonts w:ascii="Times New Roman" w:cs="Times New Roman" w:eastAsia="Times New Roman" w:hAnsi="Times New Roman"/>
          <w:sz w:val="16"/>
          <w:szCs w:val="16"/>
          <w:color w:val="auto"/>
        </w:rPr>
        <w:t>Our real estate leases have remaining lease terms as of December 31, 2021 ranging from 16 months to 129 months, with one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 Certain equipment leases contain options to purchase the asset at the fair market value, available with the Company.</w:t>
      </w:r>
    </w:p>
    <w:p>
      <w:pPr>
        <w:spacing w:after="0" w:line="162" w:lineRule="exact"/>
        <w:rPr>
          <w:sz w:val="20"/>
          <w:szCs w:val="20"/>
          <w:color w:val="auto"/>
        </w:rPr>
      </w:pPr>
    </w:p>
    <w:p>
      <w:pPr>
        <w:ind w:left="620" w:right="40"/>
        <w:spacing w:after="0" w:line="267" w:lineRule="auto"/>
        <w:rPr>
          <w:sz w:val="20"/>
          <w:szCs w:val="20"/>
          <w:color w:val="auto"/>
        </w:rPr>
      </w:pPr>
      <w:r>
        <w:rPr>
          <w:rFonts w:ascii="Times New Roman" w:cs="Times New Roman" w:eastAsia="Times New Roman" w:hAnsi="Times New Roman"/>
          <w:sz w:val="16"/>
          <w:szCs w:val="16"/>
          <w:color w:val="auto"/>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spacing w:after="0" w:line="162"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6"/>
          <w:szCs w:val="16"/>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F-54</w:t>
      </w:r>
    </w:p>
    <w:p>
      <w:pPr>
        <w:sectPr>
          <w:pgSz w:w="11900" w:h="16838" w:orient="portrait"/>
          <w:cols w:equalWidth="0" w:num="1">
            <w:col w:w="10620"/>
          </w:cols>
          <w:pgMar w:left="320" w:top="453" w:right="959" w:bottom="1440" w:gutter="0" w:footer="0" w:header="0"/>
        </w:sectPr>
      </w:pPr>
    </w:p>
    <w:bookmarkStart w:id="208" w:name="page209"/>
    <w:bookmarkEnd w:id="20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160"/>
        <w:spacing w:after="0" w:line="273" w:lineRule="auto"/>
        <w:rPr>
          <w:sz w:val="20"/>
          <w:szCs w:val="20"/>
          <w:color w:val="auto"/>
        </w:rPr>
      </w:pPr>
      <w:r>
        <w:rPr>
          <w:rFonts w:ascii="Times New Roman" w:cs="Times New Roman" w:eastAsia="Times New Roman" w:hAnsi="Times New Roman"/>
          <w:sz w:val="16"/>
          <w:szCs w:val="16"/>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components of total lease expense are as follows (in thousands):</w:t>
      </w:r>
    </w:p>
    <w:p>
      <w:pPr>
        <w:spacing w:after="0" w:line="175" w:lineRule="exact"/>
        <w:rPr>
          <w:sz w:val="20"/>
          <w:szCs w:val="20"/>
          <w:color w:val="auto"/>
        </w:rPr>
      </w:pPr>
    </w:p>
    <w:tbl>
      <w:tblPr>
        <w:tblLayout w:type="fixed"/>
        <w:tblInd w:w="142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center"/>
              <w:ind w:right="27"/>
              <w:spacing w:after="0" w:line="105" w:lineRule="exact"/>
              <w:rPr>
                <w:sz w:val="20"/>
                <w:szCs w:val="20"/>
                <w:color w:val="auto"/>
              </w:rPr>
            </w:pPr>
            <w:r>
              <w:rPr>
                <w:rFonts w:ascii="Times New Roman" w:cs="Times New Roman" w:eastAsia="Times New Roman" w:hAnsi="Times New Roman"/>
                <w:sz w:val="12"/>
                <w:szCs w:val="12"/>
                <w:b w:val="1"/>
                <w:bCs w:val="1"/>
                <w:color w:val="auto"/>
              </w:rPr>
              <w:t>For the</w:t>
            </w:r>
          </w:p>
        </w:tc>
        <w:tc>
          <w:tcPr>
            <w:tcW w:w="32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26"/>
              <w:spacing w:after="0" w:line="105" w:lineRule="exact"/>
              <w:rPr>
                <w:sz w:val="20"/>
                <w:szCs w:val="20"/>
                <w:color w:val="auto"/>
              </w:rPr>
            </w:pPr>
            <w:r>
              <w:rPr>
                <w:rFonts w:ascii="Times New Roman" w:cs="Times New Roman" w:eastAsia="Times New Roman" w:hAnsi="Times New Roman"/>
                <w:sz w:val="12"/>
                <w:szCs w:val="12"/>
                <w:b w:val="1"/>
                <w:bCs w:val="1"/>
                <w:color w:val="auto"/>
              </w:rPr>
              <w:t>For the</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w w:val="99"/>
              </w:rPr>
              <w:t>period</w:t>
            </w:r>
          </w:p>
        </w:tc>
        <w:tc>
          <w:tcPr>
            <w:tcW w:w="32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26"/>
              <w:spacing w:after="0" w:line="135" w:lineRule="exact"/>
              <w:rPr>
                <w:sz w:val="20"/>
                <w:szCs w:val="20"/>
                <w:color w:val="auto"/>
              </w:rPr>
            </w:pPr>
            <w:r>
              <w:rPr>
                <w:rFonts w:ascii="Times New Roman" w:cs="Times New Roman" w:eastAsia="Times New Roman" w:hAnsi="Times New Roman"/>
                <w:sz w:val="13"/>
                <w:szCs w:val="13"/>
                <w:b w:val="1"/>
                <w:bCs w:val="1"/>
                <w:color w:val="auto"/>
                <w:w w:val="99"/>
              </w:rPr>
              <w:t>period</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15,</w:t>
            </w:r>
          </w:p>
        </w:tc>
        <w:tc>
          <w:tcPr>
            <w:tcW w:w="32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32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46"/>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620" w:type="dxa"/>
            <w:vAlign w:val="bottom"/>
          </w:tcPr>
          <w:p>
            <w:pPr>
              <w:spacing w:after="0"/>
              <w:rPr>
                <w:sz w:val="11"/>
                <w:szCs w:val="11"/>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32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26"/>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6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960" w:type="dxa"/>
            <w:vAlign w:val="bottom"/>
            <w:gridSpan w:val="3"/>
          </w:tcPr>
          <w:p>
            <w:pPr>
              <w:jc w:val="center"/>
              <w:ind w:left="1124"/>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Borders>
              <w:right w:val="single" w:sz="8" w:color="auto"/>
            </w:tcBorders>
          </w:tcPr>
          <w:p>
            <w:pPr>
              <w:spacing w:after="0"/>
              <w:rPr>
                <w:sz w:val="11"/>
                <w:szCs w:val="11"/>
                <w:color w:val="auto"/>
              </w:rPr>
            </w:pPr>
          </w:p>
        </w:tc>
        <w:tc>
          <w:tcPr>
            <w:tcW w:w="1220" w:type="dxa"/>
            <w:vAlign w:val="bottom"/>
            <w:gridSpan w:val="3"/>
          </w:tcPr>
          <w:p>
            <w:pPr>
              <w:jc w:val="center"/>
              <w:ind w:left="464"/>
              <w:spacing w:after="0" w:line="135" w:lineRule="exact"/>
              <w:rPr>
                <w:sz w:val="20"/>
                <w:szCs w:val="20"/>
                <w:color w:val="auto"/>
              </w:rPr>
            </w:pPr>
            <w:r>
              <w:rPr>
                <w:rFonts w:ascii="Times New Roman" w:cs="Times New Roman" w:eastAsia="Times New Roman" w:hAnsi="Times New Roman"/>
                <w:sz w:val="13"/>
                <w:szCs w:val="13"/>
                <w:b w:val="1"/>
                <w:bCs w:val="1"/>
                <w:color w:val="auto"/>
                <w:w w:val="98"/>
              </w:rPr>
              <w:t>October 14,</w:t>
            </w:r>
          </w:p>
        </w:tc>
        <w:tc>
          <w:tcPr>
            <w:tcW w:w="1420" w:type="dxa"/>
            <w:vAlign w:val="bottom"/>
            <w:gridSpan w:val="4"/>
          </w:tcPr>
          <w:p>
            <w:pPr>
              <w:ind w:left="62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320" w:type="dxa"/>
            <w:vAlign w:val="bottom"/>
            <w:tcBorders>
              <w:bottom w:val="single" w:sz="8" w:color="CCEEFF"/>
              <w:right w:val="single" w:sz="8" w:color="auto"/>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6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Finance lease cost</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right w:val="single" w:sz="8" w:color="auto"/>
            </w:tcBorders>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7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32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3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1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320" w:type="dxa"/>
            <w:vAlign w:val="bottom"/>
            <w:tcBorders>
              <w:right w:val="single" w:sz="8" w:color="auto"/>
            </w:tcBorders>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7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short-term lease cost disclosed in the Successor period above reasonably reflects our ongoing short-term lease commitments.</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vMerge w:val="restart"/>
          </w:tcPr>
          <w:p>
            <w:pPr>
              <w:jc w:val="center"/>
              <w:ind w:left="108"/>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6"/>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6"/>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5"/>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From October 15,</w:t>
            </w:r>
          </w:p>
        </w:tc>
        <w:tc>
          <w:tcPr>
            <w:tcW w:w="22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6"/>
          </w:tcPr>
          <w:p>
            <w:pPr>
              <w:jc w:val="center"/>
              <w:ind w:right="240"/>
              <w:spacing w:after="0" w:line="105" w:lineRule="exact"/>
              <w:rPr>
                <w:sz w:val="20"/>
                <w:szCs w:val="20"/>
                <w:color w:val="auto"/>
              </w:rPr>
            </w:pPr>
            <w:r>
              <w:rPr>
                <w:rFonts w:ascii="Times New Roman" w:cs="Times New Roman" w:eastAsia="Times New Roman" w:hAnsi="Times New Roman"/>
                <w:sz w:val="12"/>
                <w:szCs w:val="12"/>
                <w:b w:val="1"/>
                <w:bCs w:val="1"/>
                <w:color w:val="auto"/>
              </w:rPr>
              <w:t>From January 1,</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vMerge w:val="restart"/>
          </w:tcPr>
          <w:p>
            <w:pPr>
              <w:jc w:val="center"/>
              <w:ind w:left="126"/>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Borders>
              <w:right w:val="single" w:sz="8" w:color="auto"/>
            </w:tcBorders>
            <w:gridSpan w:val="6"/>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 through</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tcPr>
          <w:p>
            <w:pPr>
              <w:jc w:val="center"/>
              <w:ind w:left="128"/>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2021 through</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240" w:type="dxa"/>
            <w:vAlign w:val="bottom"/>
          </w:tcPr>
          <w:p>
            <w:pPr>
              <w:spacing w:after="0"/>
              <w:rPr>
                <w:sz w:val="13"/>
                <w:szCs w:val="13"/>
                <w:color w:val="auto"/>
              </w:rPr>
            </w:pPr>
          </w:p>
        </w:tc>
        <w:tc>
          <w:tcPr>
            <w:tcW w:w="1400" w:type="dxa"/>
            <w:vAlign w:val="bottom"/>
            <w:tcBorders>
              <w:right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December 31, 2021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6"/>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October 14, 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0" w:type="dxa"/>
            <w:vAlign w:val="bottom"/>
          </w:tcPr>
          <w:p>
            <w:pPr>
              <w:spacing w:after="0"/>
              <w:rPr>
                <w:sz w:val="1"/>
                <w:szCs w:val="1"/>
                <w:color w:val="auto"/>
              </w:rPr>
            </w:pPr>
          </w:p>
        </w:tc>
      </w:tr>
      <w:tr>
        <w:trPr>
          <w:trHeight w:val="105"/>
        </w:trPr>
        <w:tc>
          <w:tcPr>
            <w:tcW w:w="5240" w:type="dxa"/>
            <w:vAlign w:val="bottom"/>
          </w:tcPr>
          <w:p>
            <w:pPr>
              <w:spacing w:after="0"/>
              <w:rPr>
                <w:sz w:val="9"/>
                <w:szCs w:val="9"/>
                <w:color w:val="auto"/>
              </w:rPr>
            </w:pPr>
          </w:p>
        </w:tc>
        <w:tc>
          <w:tcPr>
            <w:tcW w:w="660" w:type="dxa"/>
            <w:vAlign w:val="bottom"/>
            <w:tcBorders>
              <w:top w:val="single" w:sz="8" w:color="auto"/>
            </w:tcBorders>
            <w:gridSpan w:val="3"/>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Operating</w:t>
            </w: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Finance</w:t>
            </w:r>
          </w:p>
        </w:tc>
        <w:tc>
          <w:tcPr>
            <w:tcW w:w="22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Borders>
              <w:top w:val="single" w:sz="8" w:color="auto"/>
            </w:tcBorders>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Operating</w:t>
            </w:r>
          </w:p>
        </w:tc>
        <w:tc>
          <w:tcPr>
            <w:tcW w:w="1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Finance</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top w:val="single" w:sz="8" w:color="auto"/>
            </w:tcBorders>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Operating</w:t>
            </w:r>
          </w:p>
        </w:tc>
        <w:tc>
          <w:tcPr>
            <w:tcW w:w="460" w:type="dxa"/>
            <w:vAlign w:val="bottom"/>
            <w:tcBorders>
              <w:top w:val="single" w:sz="8" w:color="auto"/>
            </w:tcBorders>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Finance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Leases</w:t>
            </w:r>
          </w:p>
        </w:tc>
        <w:tc>
          <w:tcPr>
            <w:tcW w:w="80" w:type="dxa"/>
            <w:vAlign w:val="bottom"/>
          </w:tcPr>
          <w:p>
            <w:pPr>
              <w:spacing w:after="0"/>
              <w:rPr>
                <w:sz w:val="13"/>
                <w:szCs w:val="13"/>
                <w:color w:val="auto"/>
              </w:rPr>
            </w:pPr>
          </w:p>
        </w:tc>
        <w:tc>
          <w:tcPr>
            <w:tcW w:w="6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80" w:type="dxa"/>
            <w:vAlign w:val="bottom"/>
          </w:tcPr>
          <w:p>
            <w:pPr>
              <w:spacing w:after="0"/>
              <w:rPr>
                <w:sz w:val="13"/>
                <w:szCs w:val="13"/>
                <w:color w:val="auto"/>
              </w:rPr>
            </w:pP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0" w:type="dxa"/>
            <w:vAlign w:val="bottom"/>
          </w:tcPr>
          <w:p>
            <w:pPr>
              <w:spacing w:after="0"/>
              <w:rPr>
                <w:sz w:val="1"/>
                <w:szCs w:val="1"/>
                <w:color w:val="auto"/>
              </w:rPr>
            </w:pPr>
          </w:p>
        </w:tc>
      </w:tr>
      <w:tr>
        <w:trPr>
          <w:trHeight w:val="176"/>
        </w:trPr>
        <w:tc>
          <w:tcPr>
            <w:tcW w:w="524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404</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97</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106</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Borders>
              <w:right w:val="single" w:sz="8" w:color="auto"/>
            </w:tcBorders>
            <w:shd w:val="clear" w:color="auto" w:fill="CCEEFF"/>
          </w:tcPr>
          <w:p>
            <w:pPr>
              <w:spacing w:after="0"/>
              <w:rPr>
                <w:sz w:val="17"/>
                <w:szCs w:val="17"/>
                <w:color w:val="auto"/>
              </w:rPr>
            </w:pP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871</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1,126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Supplemental non-cash information on lease liabilities arising from</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obtaining right-of-use assets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10,347</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2,991</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620" w:right="120"/>
        <w:spacing w:after="0" w:line="291" w:lineRule="auto"/>
        <w:rPr>
          <w:sz w:val="20"/>
          <w:szCs w:val="20"/>
          <w:color w:val="auto"/>
        </w:rPr>
      </w:pPr>
      <w:r>
        <w:rPr>
          <w:rFonts w:ascii="Times New Roman" w:cs="Times New Roman" w:eastAsia="Times New Roman" w:hAnsi="Times New Roman"/>
          <w:sz w:val="16"/>
          <w:szCs w:val="16"/>
          <w:color w:val="auto"/>
        </w:rPr>
        <w:t>The weighted average remaining lease term for our operating leases was 120.7 months, and the weighted average discount rate for our operating leases was 5.0%. We do not have any active finance leases as of December 31, 2021. We were not party to any short-term leases during the periods presented.</w:t>
      </w:r>
    </w:p>
    <w:p>
      <w:pPr>
        <w:spacing w:after="0" w:line="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F-55</w:t>
      </w:r>
    </w:p>
    <w:p>
      <w:pPr>
        <w:sectPr>
          <w:pgSz w:w="11900" w:h="16838" w:orient="portrait"/>
          <w:cols w:equalWidth="0" w:num="1">
            <w:col w:w="10620"/>
          </w:cols>
          <w:pgMar w:left="320" w:top="453" w:right="959" w:bottom="1440" w:gutter="0" w:footer="0" w:header="0"/>
        </w:sectPr>
      </w:pPr>
    </w:p>
    <w:bookmarkStart w:id="209" w:name="page210"/>
    <w:bookmarkEnd w:id="20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following table shows balance sheet information about our leases:</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2"/>
        </w:trPr>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vMerge w:val="restart"/>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2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Predecessor</w:t>
            </w:r>
          </w:p>
        </w:tc>
        <w:tc>
          <w:tcPr>
            <w:tcW w:w="0" w:type="dxa"/>
            <w:vAlign w:val="bottom"/>
          </w:tcPr>
          <w:p>
            <w:pPr>
              <w:spacing w:after="0" w:line="20" w:lineRule="exact"/>
              <w:rPr>
                <w:sz w:val="1"/>
                <w:szCs w:val="1"/>
                <w:color w:val="auto"/>
              </w:rPr>
            </w:pPr>
          </w:p>
        </w:tc>
      </w:tr>
      <w:tr>
        <w:trPr>
          <w:trHeight w:val="135"/>
        </w:trPr>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640" w:type="dxa"/>
            <w:vAlign w:val="bottom"/>
            <w:vMerge w:val="restart"/>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9"/>
              </w:rPr>
              <w:t>Balance sheet classification</w:t>
            </w:r>
          </w:p>
        </w:tc>
        <w:tc>
          <w:tcPr>
            <w:tcW w:w="880" w:type="dxa"/>
            <w:vAlign w:val="bottom"/>
            <w:tcBorders>
              <w:top w:val="single" w:sz="8" w:color="auto"/>
            </w:tcBorders>
            <w:gridSpan w:val="4"/>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top w:val="single" w:sz="8" w:color="auto"/>
            </w:tcBorders>
            <w:gridSpan w:val="3"/>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3020" w:type="dxa"/>
            <w:vAlign w:val="bottom"/>
            <w:tcBorders>
              <w:bottom w:val="single" w:sz="8" w:color="CCEEFF"/>
            </w:tcBorders>
          </w:tcPr>
          <w:p>
            <w:pPr>
              <w:spacing w:after="0"/>
              <w:rPr>
                <w:sz w:val="13"/>
                <w:szCs w:val="13"/>
                <w:color w:val="auto"/>
              </w:rPr>
            </w:pPr>
          </w:p>
        </w:tc>
        <w:tc>
          <w:tcPr>
            <w:tcW w:w="264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0" w:type="dxa"/>
            <w:vAlign w:val="bottom"/>
            <w:tcBorders>
              <w:bottom w:val="single" w:sz="8" w:color="auto"/>
            </w:tcBorders>
            <w:shd w:val="clear" w:color="auto" w:fill="000000"/>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34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Operating leases:</w:t>
            </w:r>
          </w:p>
        </w:tc>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264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rPr>
              <w:t>Other assets, noncurrent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11,239</w:t>
            </w:r>
          </w:p>
        </w:tc>
        <w:tc>
          <w:tcPr>
            <w:tcW w:w="20" w:type="dxa"/>
            <w:vAlign w:val="bottom"/>
            <w:shd w:val="clear" w:color="auto" w:fill="000000"/>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 current</w:t>
            </w:r>
          </w:p>
        </w:tc>
        <w:tc>
          <w:tcPr>
            <w:tcW w:w="264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615</w:t>
            </w:r>
          </w:p>
        </w:tc>
        <w:tc>
          <w:tcPr>
            <w:tcW w:w="20" w:type="dxa"/>
            <w:vAlign w:val="bottom"/>
            <w:shd w:val="clear" w:color="auto" w:fill="000000"/>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264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10,647</w:t>
            </w:r>
          </w:p>
        </w:tc>
        <w:tc>
          <w:tcPr>
            <w:tcW w:w="20" w:type="dxa"/>
            <w:vAlign w:val="bottom"/>
            <w:shd w:val="clear" w:color="auto" w:fill="000000"/>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264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rPr>
              <w:t>Other assets, noncurrent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 current</w:t>
            </w:r>
          </w:p>
        </w:tc>
        <w:tc>
          <w:tcPr>
            <w:tcW w:w="264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264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68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Future minimum lease payments under non-cancellable leases as of December 31, 2021 were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9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Finance</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20" w:type="dxa"/>
            <w:vAlign w:val="bottom"/>
          </w:tcPr>
          <w:p>
            <w:pPr>
              <w:spacing w:after="0"/>
              <w:rPr>
                <w:sz w:val="13"/>
                <w:szCs w:val="13"/>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For the year ended December 31,</w:t>
            </w:r>
          </w:p>
        </w:tc>
        <w:tc>
          <w:tcPr>
            <w:tcW w:w="2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righ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right w:val="single" w:sz="8" w:color="CCEEFF"/>
            </w:tcBorders>
            <w:shd w:val="clear" w:color="auto" w:fill="CCEEFF"/>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rPr>
                <w:sz w:val="17"/>
                <w:szCs w:val="17"/>
                <w:color w:val="auto"/>
              </w:rPr>
            </w:pPr>
          </w:p>
        </w:tc>
        <w:tc>
          <w:tcPr>
            <w:tcW w:w="3020" w:type="dxa"/>
            <w:vAlign w:val="bottom"/>
          </w:tcPr>
          <w:p>
            <w:pPr>
              <w:spacing w:after="0" w:line="197" w:lineRule="exact"/>
              <w:rPr>
                <w:sz w:val="20"/>
                <w:szCs w:val="20"/>
                <w:color w:val="auto"/>
              </w:rPr>
            </w:pPr>
            <w:r>
              <w:rPr>
                <w:rFonts w:ascii="Times New Roman" w:cs="Times New Roman" w:eastAsia="Times New Roman" w:hAnsi="Times New Roman"/>
                <w:sz w:val="16"/>
                <w:szCs w:val="16"/>
                <w:color w:val="auto"/>
              </w:rPr>
              <w:t>2022</w:t>
            </w:r>
            <w:r>
              <w:rPr>
                <w:rFonts w:ascii="Times New Roman" w:cs="Times New Roman" w:eastAsia="Times New Roman" w:hAnsi="Times New Roman"/>
                <w:sz w:val="22"/>
                <w:szCs w:val="22"/>
                <w:color w:val="auto"/>
                <w:vertAlign w:val="superscript"/>
              </w:rPr>
              <w:t>(1)</w:t>
            </w: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(3,114)</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Thereafter</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11,817</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16,114</w:t>
            </w:r>
          </w:p>
        </w:tc>
        <w:tc>
          <w:tcPr>
            <w:tcW w:w="540" w:type="dxa"/>
            <w:vAlign w:val="bottom"/>
          </w:tcPr>
          <w:p>
            <w:pPr>
              <w:spacing w:after="0"/>
              <w:rPr>
                <w:sz w:val="17"/>
                <w:szCs w:val="17"/>
                <w:color w:val="auto"/>
              </w:rPr>
            </w:pPr>
          </w:p>
        </w:tc>
        <w:tc>
          <w:tcPr>
            <w:tcW w:w="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(4,852)</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Total lease liability</w:t>
            </w: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11,262</w:t>
            </w:r>
          </w:p>
        </w:tc>
        <w:tc>
          <w:tcPr>
            <w:tcW w:w="540" w:type="dxa"/>
            <w:vAlign w:val="bottom"/>
          </w:tcPr>
          <w:p>
            <w:pPr>
              <w:spacing w:after="0"/>
              <w:rPr>
                <w:sz w:val="17"/>
                <w:szCs w:val="17"/>
                <w:color w:val="auto"/>
              </w:rPr>
            </w:pPr>
          </w:p>
        </w:tc>
        <w:tc>
          <w:tcPr>
            <w:tcW w:w="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615</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Noncurrent (Other noncurrent liabilities)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10,647</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020" w:right="160" w:hanging="397"/>
        <w:spacing w:after="0" w:line="273" w:lineRule="auto"/>
        <w:tabs>
          <w:tab w:leader="none" w:pos="10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new real estate lease for office space in Alpharetta, Georgia requires the landlord to reimburse certain expenditure incurred by us towards construction of improvements, which is expected to be received during the year ended December 31, 2022 and exceeds the payments required to be made pursuant to the lease during the year.</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18. Subsequent Events</w:t>
      </w:r>
    </w:p>
    <w:p>
      <w:pPr>
        <w:spacing w:after="0" w:line="114" w:lineRule="exact"/>
        <w:rPr>
          <w:sz w:val="20"/>
          <w:szCs w:val="20"/>
          <w:color w:val="auto"/>
        </w:rPr>
      </w:pPr>
    </w:p>
    <w:p>
      <w:pPr>
        <w:jc w:val="both"/>
        <w:ind w:left="620" w:firstLine="400"/>
        <w:spacing w:after="0" w:line="291" w:lineRule="auto"/>
        <w:rPr>
          <w:sz w:val="20"/>
          <w:szCs w:val="20"/>
          <w:color w:val="auto"/>
        </w:rPr>
      </w:pPr>
      <w:r>
        <w:rPr>
          <w:rFonts w:ascii="Times New Roman" w:cs="Times New Roman" w:eastAsia="Times New Roman" w:hAnsi="Times New Roman"/>
          <w:sz w:val="16"/>
          <w:szCs w:val="16"/>
          <w:color w:val="auto"/>
        </w:rPr>
        <w:t>On January 31, 2022, we signed a lease agreement for office space in New York, New York. The lease will commence upon completion of tenant’s work to ready the space for occupancy and has a term of 94 months. The total fixed lease payments over the 94-month term of the lease are $7.3 million.</w:t>
      </w:r>
    </w:p>
    <w:p>
      <w:pPr>
        <w:spacing w:after="0" w:line="142" w:lineRule="exact"/>
        <w:rPr>
          <w:sz w:val="20"/>
          <w:szCs w:val="20"/>
          <w:color w:val="auto"/>
        </w:rPr>
      </w:pPr>
    </w:p>
    <w:p>
      <w:pPr>
        <w:ind w:left="620" w:right="20" w:firstLine="400"/>
        <w:spacing w:after="0" w:line="291" w:lineRule="auto"/>
        <w:rPr>
          <w:sz w:val="20"/>
          <w:szCs w:val="20"/>
          <w:color w:val="auto"/>
        </w:rPr>
      </w:pPr>
      <w:r>
        <w:rPr>
          <w:rFonts w:ascii="Times New Roman" w:cs="Times New Roman" w:eastAsia="Times New Roman" w:hAnsi="Times New Roman"/>
          <w:sz w:val="16"/>
          <w:szCs w:val="16"/>
          <w:color w:val="auto"/>
        </w:rPr>
        <w:t>We have evaluated subsequent events and transactions and determined that no other events or transactions met the definition of a subsequent event for purpose of recognition or disclosure in these financial statements.</w:t>
      </w:r>
    </w:p>
    <w:p>
      <w:pPr>
        <w:spacing w:after="0" w:line="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F-56</w:t>
      </w:r>
    </w:p>
    <w:p>
      <w:pPr>
        <w:sectPr>
          <w:pgSz w:w="11900" w:h="16838" w:orient="portrait"/>
          <w:cols w:equalWidth="0" w:num="1">
            <w:col w:w="10620"/>
          </w:cols>
          <w:pgMar w:left="320" w:top="453" w:right="959" w:bottom="1440" w:gutter="0" w:footer="0" w:header="0"/>
        </w:sectPr>
      </w:pPr>
    </w:p>
    <w:bookmarkStart w:id="210" w:name="page211"/>
    <w:bookmarkEnd w:id="21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To the Shareholders and the Board of Directors of</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Bakkt Holdings, Inc (f/k/a VPC Impact Acquisition Holdings)</w:t>
      </w:r>
    </w:p>
    <w:p>
      <w:pPr>
        <w:spacing w:after="0" w:line="2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14" w:lineRule="exact"/>
        <w:rPr>
          <w:sz w:val="20"/>
          <w:szCs w:val="20"/>
          <w:color w:val="auto"/>
        </w:rPr>
      </w:pPr>
    </w:p>
    <w:p>
      <w:pPr>
        <w:ind w:left="620" w:right="280"/>
        <w:spacing w:after="0" w:line="261"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Bakkt Holdings, Inc (the “Company”) as of October 14, 2021 and December 31, 2020, the related consolidated statements of operations, changes in shareholders’ equity and cash flows for the period from January 1, 2021 through October 14, 2021 and for the period from July 31, 2020 (inception) through December 31, 2020, and the related notes (collectively referred to as the “consolidated financial statements”). In our opinion, the financial statements present fairly, in all material respects, the financial position of the Company as of October 14, 2021 and December 31, 2020, and the results of its operations and its cash flows for the period from January 1, 2021 through October 14, 2021 and for the period from July 31, 2020 (inception) through December 31, 2020, in conformity with accounting principles generally accepted in the United States of America.</w:t>
      </w: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14" w:lineRule="exact"/>
        <w:rPr>
          <w:sz w:val="20"/>
          <w:szCs w:val="20"/>
          <w:color w:val="auto"/>
        </w:rPr>
      </w:pPr>
    </w:p>
    <w:p>
      <w:pPr>
        <w:ind w:left="620" w:right="340"/>
        <w:spacing w:after="0" w:line="267"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5" w:lineRule="exact"/>
        <w:rPr>
          <w:sz w:val="20"/>
          <w:szCs w:val="20"/>
          <w:color w:val="auto"/>
        </w:rPr>
      </w:pPr>
    </w:p>
    <w:p>
      <w:pPr>
        <w:ind w:left="620" w:right="40"/>
        <w:spacing w:after="0" w:line="264"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/s/ WithumSmith+Brown, PC</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have served as the Company’s auditor since 2020.</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PCAOB ID 100</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March 28, 2022</w:t>
      </w:r>
    </w:p>
    <w:p>
      <w:pPr>
        <w:spacing w:after="0" w:line="13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F-57</w:t>
      </w:r>
    </w:p>
    <w:p>
      <w:pPr>
        <w:sectPr>
          <w:pgSz w:w="11900" w:h="16838" w:orient="portrait"/>
          <w:cols w:equalWidth="0" w:num="1">
            <w:col w:w="10600"/>
          </w:cols>
          <w:pgMar w:left="320" w:top="453" w:right="979" w:bottom="1440" w:gutter="0" w:footer="0" w:header="0"/>
        </w:sectPr>
      </w:pPr>
    </w:p>
    <w:bookmarkStart w:id="211" w:name="page212"/>
    <w:bookmarkEnd w:id="21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w:t>
      </w:r>
    </w:p>
    <w:p>
      <w:pPr>
        <w:spacing w:after="0" w:line="32"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97"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7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0" w:type="dxa"/>
            <w:vAlign w:val="bottom"/>
          </w:tcPr>
          <w:p>
            <w:pPr>
              <w:spacing w:after="0"/>
              <w:rPr>
                <w:sz w:val="1"/>
                <w:szCs w:val="1"/>
                <w:color w:val="auto"/>
              </w:rPr>
            </w:pPr>
          </w:p>
        </w:tc>
      </w:tr>
      <w:tr>
        <w:trPr>
          <w:trHeight w:val="135"/>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October 14,</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41"/>
              <w:spacing w:after="0" w:line="128" w:lineRule="exact"/>
              <w:rPr>
                <w:sz w:val="20"/>
                <w:szCs w:val="20"/>
                <w:color w:val="auto"/>
              </w:rPr>
            </w:pPr>
            <w:r>
              <w:rPr>
                <w:rFonts w:ascii="Times New Roman" w:cs="Times New Roman" w:eastAsia="Times New Roman" w:hAnsi="Times New Roman"/>
                <w:sz w:val="13"/>
                <w:szCs w:val="13"/>
                <w:b w:val="1"/>
                <w:bCs w:val="1"/>
                <w:color w:val="auto"/>
              </w:rPr>
              <w:t>(Audited)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1"/>
              <w:spacing w:after="0" w:line="128" w:lineRule="exact"/>
              <w:rPr>
                <w:sz w:val="20"/>
                <w:szCs w:val="20"/>
                <w:color w:val="auto"/>
              </w:rPr>
            </w:pPr>
            <w:r>
              <w:rPr>
                <w:rFonts w:ascii="Times New Roman" w:cs="Times New Roman" w:eastAsia="Times New Roman" w:hAnsi="Times New Roman"/>
                <w:sz w:val="13"/>
                <w:szCs w:val="13"/>
                <w:b w:val="1"/>
                <w:bCs w:val="1"/>
                <w:color w:val="auto"/>
                <w:w w:val="97"/>
              </w:rPr>
              <w:t>(Audited)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528,642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1,177,678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tcPr>
          <w:p>
            <w:pPr>
              <w:spacing w:after="0"/>
              <w:rPr>
                <w:sz w:val="17"/>
                <w:szCs w:val="17"/>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234,959</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528,642</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1,412,637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Cash and investments held in Trust Account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207,396,459</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207,376,213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207,925,101</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208,788,850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ORDINARY SHARES SUBJECT TO POSSIBLE REDEMPTION AND</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SHAREHOLDERS’ EQUITY (DEFICIT)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15,798,751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893,415</w:t>
            </w:r>
          </w:p>
        </w:tc>
        <w:tc>
          <w:tcPr>
            <w:tcW w:w="0" w:type="dxa"/>
            <w:vAlign w:val="bottom"/>
          </w:tcPr>
          <w:p>
            <w:pPr>
              <w:spacing w:after="0"/>
              <w:rPr>
                <w:sz w:val="1"/>
                <w:szCs w:val="1"/>
                <w:color w:val="auto"/>
              </w:rPr>
            </w:pPr>
          </w:p>
        </w:tc>
      </w:tr>
      <w:tr>
        <w:trPr>
          <w:trHeight w:val="196"/>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offering costs</w:t>
            </w:r>
          </w:p>
        </w:tc>
        <w:tc>
          <w:tcPr>
            <w:tcW w:w="12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2,230</w:t>
            </w:r>
          </w:p>
        </w:tc>
        <w:tc>
          <w:tcPr>
            <w:tcW w:w="0" w:type="dxa"/>
            <w:vAlign w:val="bottom"/>
          </w:tcPr>
          <w:p>
            <w:pPr>
              <w:spacing w:after="0"/>
              <w:rPr>
                <w:sz w:val="1"/>
                <w:szCs w:val="1"/>
                <w:color w:val="auto"/>
              </w:rPr>
            </w:pPr>
          </w:p>
        </w:tc>
      </w:tr>
      <w:tr>
        <w:trPr>
          <w:trHeight w:val="25"/>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15,798,751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895,645</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31,842,785</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22,513,065</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underwriting fee payable</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7,258,021</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7,258,021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54,899,557</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30,666,731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Class A ordinary shares subject to possible redemption, 20,737,202 shares at $10.00 per share as of October 14,</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2021 and December 31, 2020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207,372,020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207,372,020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Preference shares, $0.0001 par value; 1,000,000 shares authorized; no shares issued and outstanding</w:t>
            </w:r>
          </w:p>
        </w:tc>
        <w:tc>
          <w:tcPr>
            <w:tcW w:w="120" w:type="dxa"/>
            <w:vAlign w:val="bottom"/>
          </w:tcPr>
          <w:p>
            <w:pPr>
              <w:spacing w:after="0"/>
              <w:rPr>
                <w:sz w:val="17"/>
                <w:szCs w:val="17"/>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Class A ordinary shares, $0.0001 par value; 200,000,000 shares authorized at October 14, 2021 and</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7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Class B ordinary shares, $0.0001 par value; 20,000,000 shares authorized; 5,184,300 shares issued and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at October 14, 2021 and December 31, 2020</w:t>
            </w: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(54,346,994)</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(29,250,419)</w:t>
            </w:r>
          </w:p>
        </w:tc>
        <w:tc>
          <w:tcPr>
            <w:tcW w:w="0" w:type="dxa"/>
            <w:vAlign w:val="bottom"/>
          </w:tcPr>
          <w:p>
            <w:pPr>
              <w:spacing w:after="0"/>
              <w:rPr>
                <w:sz w:val="1"/>
                <w:szCs w:val="1"/>
                <w:color w:val="auto"/>
              </w:rPr>
            </w:pPr>
          </w:p>
        </w:tc>
      </w:tr>
      <w:tr>
        <w:trPr>
          <w:trHeight w:val="25"/>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Deficit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(54,346,476)</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(29,249,901)</w:t>
            </w:r>
          </w:p>
        </w:tc>
        <w:tc>
          <w:tcPr>
            <w:tcW w:w="0" w:type="dxa"/>
            <w:vAlign w:val="bottom"/>
          </w:tcPr>
          <w:p>
            <w:pPr>
              <w:spacing w:after="0"/>
              <w:rPr>
                <w:sz w:val="1"/>
                <w:szCs w:val="1"/>
                <w:color w:val="auto"/>
              </w:rPr>
            </w:pPr>
          </w:p>
        </w:tc>
      </w:tr>
      <w:tr>
        <w:trPr>
          <w:trHeight w:val="180"/>
        </w:trPr>
        <w:tc>
          <w:tcPr>
            <w:tcW w:w="76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LIABILITIES, ORDINARY SHARES SUBJECT TO POSSIBLE REDEMPTION AND</w:t>
            </w: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207,925,101</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208,788,850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color w:val="auto"/>
        </w:rPr>
        <w:t>F-58</w:t>
      </w:r>
    </w:p>
    <w:p>
      <w:pPr>
        <w:sectPr>
          <w:pgSz w:w="11900" w:h="16838" w:orient="portrait"/>
          <w:cols w:equalWidth="0" w:num="1">
            <w:col w:w="10620"/>
          </w:cols>
          <w:pgMar w:left="320" w:top="453" w:right="959" w:bottom="1440" w:gutter="0" w:footer="0" w:header="0"/>
        </w:sectPr>
      </w:pPr>
    </w:p>
    <w:bookmarkStart w:id="212" w:name="page213"/>
    <w:bookmarkEnd w:id="21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60" w:right="2180"/>
        <w:spacing w:after="0" w:line="288"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CONSOLIDATED STATEMENTS OF OPERATIONS (AUDITED)</w:t>
      </w:r>
    </w:p>
    <w:p>
      <w:pPr>
        <w:spacing w:after="0" w:line="351"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For</w:t>
            </w:r>
          </w:p>
        </w:tc>
        <w:tc>
          <w:tcPr>
            <w:tcW w:w="0" w:type="dxa"/>
            <w:vAlign w:val="bottom"/>
          </w:tcPr>
          <w:p>
            <w:pPr>
              <w:spacing w:after="0"/>
              <w:rPr>
                <w:sz w:val="1"/>
                <w:szCs w:val="1"/>
                <w:color w:val="auto"/>
              </w:rPr>
            </w:pPr>
          </w:p>
        </w:tc>
      </w:tr>
      <w:tr>
        <w:trPr>
          <w:trHeight w:val="135"/>
        </w:trPr>
        <w:tc>
          <w:tcPr>
            <w:tcW w:w="7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The Period From</w:t>
            </w:r>
          </w:p>
        </w:tc>
        <w:tc>
          <w:tcPr>
            <w:tcW w:w="0" w:type="dxa"/>
            <w:vAlign w:val="bottom"/>
          </w:tcPr>
          <w:p>
            <w:pPr>
              <w:spacing w:after="0"/>
              <w:rPr>
                <w:sz w:val="1"/>
                <w:szCs w:val="1"/>
                <w:color w:val="auto"/>
              </w:rPr>
            </w:pPr>
          </w:p>
        </w:tc>
      </w:tr>
      <w:tr>
        <w:trPr>
          <w:trHeight w:val="135"/>
        </w:trPr>
        <w:tc>
          <w:tcPr>
            <w:tcW w:w="7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For The Period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July 31, 2020</w:t>
            </w:r>
          </w:p>
        </w:tc>
        <w:tc>
          <w:tcPr>
            <w:tcW w:w="0" w:type="dxa"/>
            <w:vAlign w:val="bottom"/>
          </w:tcPr>
          <w:p>
            <w:pPr>
              <w:spacing w:after="0"/>
              <w:rPr>
                <w:sz w:val="1"/>
                <w:szCs w:val="1"/>
                <w:color w:val="auto"/>
              </w:rPr>
            </w:pPr>
          </w:p>
        </w:tc>
      </w:tr>
      <w:tr>
        <w:trPr>
          <w:trHeight w:val="135"/>
        </w:trPr>
        <w:tc>
          <w:tcPr>
            <w:tcW w:w="7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(inception)</w:t>
            </w:r>
          </w:p>
        </w:tc>
        <w:tc>
          <w:tcPr>
            <w:tcW w:w="0" w:type="dxa"/>
            <w:vAlign w:val="bottom"/>
          </w:tcPr>
          <w:p>
            <w:pPr>
              <w:spacing w:after="0"/>
              <w:rPr>
                <w:sz w:val="1"/>
                <w:szCs w:val="1"/>
                <w:color w:val="auto"/>
              </w:rPr>
            </w:pPr>
          </w:p>
        </w:tc>
      </w:tr>
      <w:tr>
        <w:trPr>
          <w:trHeight w:val="135"/>
        </w:trPr>
        <w:tc>
          <w:tcPr>
            <w:tcW w:w="7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From January 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0" w:type="dxa"/>
            <w:vAlign w:val="bottom"/>
          </w:tcPr>
          <w:p>
            <w:pPr>
              <w:spacing w:after="0"/>
              <w:rPr>
                <w:sz w:val="1"/>
                <w:szCs w:val="1"/>
                <w:color w:val="auto"/>
              </w:rPr>
            </w:pPr>
          </w:p>
        </w:tc>
      </w:tr>
      <w:tr>
        <w:trPr>
          <w:trHeight w:val="157"/>
        </w:trPr>
        <w:tc>
          <w:tcPr>
            <w:tcW w:w="724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2021 To October 14,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27"/>
        </w:trPr>
        <w:tc>
          <w:tcPr>
            <w:tcW w:w="72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center"/>
              <w:ind w:right="22"/>
              <w:spacing w:after="0" w:line="128"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3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center"/>
              <w:ind w:right="4"/>
              <w:spacing w:after="0" w:line="128"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15,791,577</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1,006,862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2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(15,791,577)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(1,006,862)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Income</w:t>
            </w:r>
          </w:p>
        </w:tc>
        <w:tc>
          <w:tcPr>
            <w:tcW w:w="8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4,476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earned on investments held in Trust Account</w:t>
            </w: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20,246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4,193</w:t>
            </w:r>
          </w:p>
        </w:tc>
        <w:tc>
          <w:tcPr>
            <w:tcW w:w="0" w:type="dxa"/>
            <w:vAlign w:val="bottom"/>
          </w:tcPr>
          <w:p>
            <w:pPr>
              <w:spacing w:after="0"/>
              <w:rPr>
                <w:sz w:val="1"/>
                <w:szCs w:val="1"/>
                <w:color w:val="auto"/>
              </w:rPr>
            </w:pPr>
          </w:p>
        </w:tc>
      </w:tr>
      <w:tr>
        <w:trPr>
          <w:trHeight w:val="196"/>
        </w:trPr>
        <w:tc>
          <w:tcPr>
            <w:tcW w:w="7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Transaction Costs allocable to warrant liabilities</w:t>
            </w:r>
          </w:p>
        </w:tc>
        <w:tc>
          <w:tcPr>
            <w:tcW w:w="8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(768,391)</w:t>
            </w: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(9,329,720)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(3,090,130)</w:t>
            </w:r>
          </w:p>
        </w:tc>
        <w:tc>
          <w:tcPr>
            <w:tcW w:w="0" w:type="dxa"/>
            <w:vAlign w:val="bottom"/>
          </w:tcPr>
          <w:p>
            <w:pPr>
              <w:spacing w:after="0"/>
              <w:rPr>
                <w:sz w:val="1"/>
                <w:szCs w:val="1"/>
                <w:color w:val="auto"/>
              </w:rPr>
            </w:pPr>
          </w:p>
        </w:tc>
      </w:tr>
      <w:tr>
        <w:trPr>
          <w:trHeight w:val="201"/>
        </w:trPr>
        <w:tc>
          <w:tcPr>
            <w:tcW w:w="7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(9,304,998)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(3,854,328)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(25,096,575)</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(4,861,190)</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outstanding of Class A ordinary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4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20,737,202</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13,429,289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net loss per share, Class A</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(0.97)</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(0.26)</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outstanding of Class B ordinary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4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5,184,300</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5,111,809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net loss per share, Class B</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(0.97)</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(0.26)</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color w:val="auto"/>
        </w:rPr>
        <w:t>F-59</w:t>
      </w:r>
    </w:p>
    <w:p>
      <w:pPr>
        <w:sectPr>
          <w:pgSz w:w="11900" w:h="16838" w:orient="portrait"/>
          <w:cols w:equalWidth="0" w:num="1">
            <w:col w:w="10620"/>
          </w:cols>
          <w:pgMar w:left="320" w:top="453" w:right="959" w:bottom="1440" w:gutter="0" w:footer="0" w:header="0"/>
        </w:sectPr>
      </w:pPr>
    </w:p>
    <w:bookmarkStart w:id="213" w:name="page214"/>
    <w:bookmarkEnd w:id="21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40" w:right="2020"/>
        <w:spacing w:after="0" w:line="264"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CONSOLIDATED STATEMENTS OF CHANGES IN SHAREHOLDERS’ DEFICIT (AUDITED)</w:t>
      </w:r>
    </w:p>
    <w:p>
      <w:pPr>
        <w:spacing w:after="0" w:line="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b w:val="1"/>
          <w:bCs w:val="1"/>
          <w:color w:val="auto"/>
        </w:rPr>
        <w:t>FOR THE PERIOD FROM JANUARY 1, 2021 THROUGH OCTOBER 14, 2021</w:t>
      </w:r>
    </w:p>
    <w:p>
      <w:pPr>
        <w:spacing w:after="0" w:line="197"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7"/>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0" w:type="dxa"/>
            <w:vAlign w:val="bottom"/>
          </w:tcPr>
          <w:p>
            <w:pPr>
              <w:spacing w:after="0"/>
              <w:rPr>
                <w:sz w:val="12"/>
                <w:szCs w:val="12"/>
                <w:color w:val="auto"/>
              </w:rPr>
            </w:pPr>
          </w:p>
        </w:tc>
        <w:tc>
          <w:tcPr>
            <w:tcW w:w="1520" w:type="dxa"/>
            <w:vAlign w:val="bottom"/>
            <w:gridSpan w:val="9"/>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Class B Ordinary</w:t>
            </w:r>
          </w:p>
        </w:tc>
        <w:tc>
          <w:tcPr>
            <w:tcW w:w="12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2"/>
                <w:szCs w:val="12"/>
                <w:color w:val="auto"/>
              </w:rPr>
            </w:pPr>
          </w:p>
        </w:tc>
        <w:tc>
          <w:tcPr>
            <w:tcW w:w="10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8"/>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Ordinary</w:t>
            </w:r>
          </w:p>
        </w:tc>
        <w:tc>
          <w:tcPr>
            <w:tcW w:w="100" w:type="dxa"/>
            <w:vAlign w:val="bottom"/>
          </w:tcPr>
          <w:p>
            <w:pPr>
              <w:spacing w:after="0"/>
              <w:rPr>
                <w:sz w:val="11"/>
                <w:szCs w:val="11"/>
                <w:color w:val="auto"/>
              </w:rPr>
            </w:pPr>
          </w:p>
        </w:tc>
        <w:tc>
          <w:tcPr>
            <w:tcW w:w="1520" w:type="dxa"/>
            <w:vAlign w:val="bottom"/>
            <w:gridSpan w:val="9"/>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Shareholders’</w:t>
            </w:r>
          </w:p>
        </w:tc>
        <w:tc>
          <w:tcPr>
            <w:tcW w:w="0" w:type="dxa"/>
            <w:vAlign w:val="bottom"/>
          </w:tcPr>
          <w:p>
            <w:pPr>
              <w:spacing w:after="0"/>
              <w:rPr>
                <w:sz w:val="1"/>
                <w:szCs w:val="1"/>
                <w:color w:val="auto"/>
              </w:rPr>
            </w:pPr>
          </w:p>
        </w:tc>
      </w:tr>
      <w:tr>
        <w:trPr>
          <w:trHeight w:val="157"/>
        </w:trPr>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6"/>
          </w:tcPr>
          <w:p>
            <w:pPr>
              <w:ind w:left="5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27"/>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3"/>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gridSpan w:val="3"/>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3"/>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January 1, 2021</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5,184,300</w:t>
            </w: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518</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(29,250,419)</w:t>
            </w:r>
          </w:p>
        </w:tc>
        <w:tc>
          <w:tcPr>
            <w:tcW w:w="1080" w:type="dxa"/>
            <w:vAlign w:val="bottom"/>
            <w:tcBorders>
              <w:top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$(29,249,901)</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7"/>
                <w:szCs w:val="17"/>
                <w:color w:val="auto"/>
              </w:rPr>
            </w:pP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(33,671,616)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(33,671,616)</w:t>
            </w: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March 31, 2021</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5,184,300</w:t>
            </w:r>
          </w:p>
        </w:tc>
        <w:tc>
          <w:tcPr>
            <w:tcW w:w="1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518</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(62,922,035)</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$(62,921,517)</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7"/>
                <w:szCs w:val="17"/>
                <w:color w:val="auto"/>
              </w:rPr>
            </w:pP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21,269,658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21,269,658</w:t>
            </w: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June 30, 2021</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5,184,300</w:t>
            </w:r>
          </w:p>
        </w:tc>
        <w:tc>
          <w:tcPr>
            <w:tcW w:w="1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518</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(41,652,377)</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$(41,651,859)</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7"/>
                <w:szCs w:val="17"/>
                <w:color w:val="auto"/>
              </w:rPr>
            </w:pP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(483,148)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(483,148)</w:t>
            </w: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September 30, 2021</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5,184,300</w:t>
            </w:r>
          </w:p>
        </w:tc>
        <w:tc>
          <w:tcPr>
            <w:tcW w:w="1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518</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(42,135,525)</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$(42,135,007)</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0" w:type="dxa"/>
            <w:vAlign w:val="bottom"/>
          </w:tcPr>
          <w:p>
            <w:pPr>
              <w:spacing w:after="0"/>
              <w:rPr>
                <w:sz w:val="17"/>
                <w:szCs w:val="17"/>
                <w:color w:val="auto"/>
              </w:rPr>
            </w:pP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(12,211,469)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(12,211,469)</w:t>
            </w: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October 14, 2021</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5,184,300</w:t>
            </w:r>
          </w:p>
        </w:tc>
        <w:tc>
          <w:tcPr>
            <w:tcW w:w="1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518</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(54,346,994)</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(54,346,476)</w:t>
            </w:r>
          </w:p>
        </w:tc>
        <w:tc>
          <w:tcPr>
            <w:tcW w:w="0" w:type="dxa"/>
            <w:vAlign w:val="bottom"/>
          </w:tcPr>
          <w:p>
            <w:pPr>
              <w:spacing w:after="0"/>
              <w:rPr>
                <w:sz w:val="1"/>
                <w:szCs w:val="1"/>
                <w:color w:val="auto"/>
              </w:rPr>
            </w:pPr>
          </w:p>
        </w:tc>
      </w:tr>
      <w:tr>
        <w:trPr>
          <w:trHeight w:val="20"/>
        </w:trPr>
        <w:tc>
          <w:tcPr>
            <w:tcW w:w="408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840" w:type="dxa"/>
            <w:vAlign w:val="bottom"/>
            <w:gridSpan w:val="24"/>
          </w:tcPr>
          <w:p>
            <w:pPr>
              <w:jc w:val="center"/>
              <w:ind w:left="2098"/>
              <w:spacing w:after="0"/>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920" w:type="dxa"/>
            <w:vAlign w:val="bottom"/>
            <w:gridSpan w:val="28"/>
          </w:tcPr>
          <w:p>
            <w:pPr>
              <w:jc w:val="center"/>
              <w:ind w:left="998"/>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SHAREHOLDERS’ EQUITY (DEFICIT)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10"/>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20" w:type="dxa"/>
            <w:vAlign w:val="bottom"/>
            <w:gridSpan w:val="28"/>
          </w:tcPr>
          <w:p>
            <w:pPr>
              <w:jc w:val="center"/>
              <w:ind w:left="1018"/>
              <w:spacing w:after="0"/>
              <w:rPr>
                <w:sz w:val="20"/>
                <w:szCs w:val="20"/>
                <w:color w:val="auto"/>
              </w:rPr>
            </w:pPr>
            <w:r>
              <w:rPr>
                <w:rFonts w:ascii="Times New Roman" w:cs="Times New Roman" w:eastAsia="Times New Roman" w:hAnsi="Times New Roman"/>
                <w:sz w:val="16"/>
                <w:szCs w:val="16"/>
                <w:b w:val="1"/>
                <w:bCs w:val="1"/>
                <w:color w:val="auto"/>
              </w:rPr>
              <w:t>FOR THE PERIOD FROM JULY 31, 2020 (INCEPTION) THROUGH DECEMBER 31, 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5"/>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5"/>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Shareholders’</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1300" w:type="dxa"/>
            <w:vAlign w:val="bottom"/>
            <w:gridSpan w:val="9"/>
          </w:tcPr>
          <w:p>
            <w:pPr>
              <w:ind w:left="80"/>
              <w:spacing w:after="0" w:line="147"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100" w:type="dxa"/>
            <w:vAlign w:val="bottom"/>
          </w:tcPr>
          <w:p>
            <w:pPr>
              <w:spacing w:after="0"/>
              <w:rPr>
                <w:sz w:val="12"/>
                <w:szCs w:val="12"/>
                <w:color w:val="auto"/>
              </w:rPr>
            </w:pPr>
          </w:p>
        </w:tc>
        <w:tc>
          <w:tcPr>
            <w:tcW w:w="1100" w:type="dxa"/>
            <w:vAlign w:val="bottom"/>
            <w:gridSpan w:val="6"/>
          </w:tcPr>
          <w:p>
            <w:pPr>
              <w:ind w:left="140"/>
              <w:spacing w:after="0" w:line="147"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80"/>
              <w:spacing w:after="0" w:line="147" w:lineRule="exact"/>
              <w:rPr>
                <w:sz w:val="20"/>
                <w:szCs w:val="20"/>
                <w:color w:val="auto"/>
              </w:rPr>
            </w:pPr>
            <w:r>
              <w:rPr>
                <w:rFonts w:ascii="Times New Roman" w:cs="Times New Roman" w:eastAsia="Times New Roman" w:hAnsi="Times New Roman"/>
                <w:sz w:val="13"/>
                <w:szCs w:val="13"/>
                <w:b w:val="1"/>
                <w:bCs w:val="1"/>
                <w:color w:val="auto"/>
              </w:rPr>
              <w:t>Paid in</w:t>
            </w:r>
          </w:p>
        </w:tc>
        <w:tc>
          <w:tcPr>
            <w:tcW w:w="20" w:type="dxa"/>
            <w:vAlign w:val="bottom"/>
          </w:tcPr>
          <w:p>
            <w:pPr>
              <w:spacing w:after="0"/>
              <w:rPr>
                <w:sz w:val="12"/>
                <w:szCs w:val="12"/>
                <w:color w:val="auto"/>
              </w:rPr>
            </w:pPr>
          </w:p>
        </w:tc>
        <w:tc>
          <w:tcPr>
            <w:tcW w:w="106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7"/>
        </w:trPr>
        <w:tc>
          <w:tcPr>
            <w:tcW w:w="3980" w:type="dxa"/>
            <w:vAlign w:val="bottom"/>
          </w:tcPr>
          <w:p>
            <w:pPr>
              <w:spacing w:after="0"/>
              <w:rPr>
                <w:sz w:val="13"/>
                <w:szCs w:val="13"/>
                <w:color w:val="auto"/>
              </w:rPr>
            </w:pPr>
          </w:p>
        </w:tc>
        <w:tc>
          <w:tcPr>
            <w:tcW w:w="480" w:type="dxa"/>
            <w:vAlign w:val="bottom"/>
            <w:gridSpan w:val="3"/>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3"/>
                <w:szCs w:val="13"/>
                <w:color w:val="auto"/>
              </w:rPr>
            </w:pP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3"/>
                <w:szCs w:val="13"/>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88"/>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Balance—July 31, 2020 (inception)</w:t>
            </w: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CCEEFF"/>
              <w:left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B ordinary shares to Sponsor</w:t>
            </w:r>
          </w:p>
        </w:tc>
        <w:tc>
          <w:tcPr>
            <w:tcW w:w="100" w:type="dxa"/>
            <w:vAlign w:val="bottom"/>
          </w:tcPr>
          <w:p>
            <w:pPr>
              <w:spacing w:after="0"/>
              <w:rPr>
                <w:sz w:val="17"/>
                <w:szCs w:val="17"/>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5,750,000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 of 565,700 Sponsor shares</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(565,700)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Accretion for Class A ordinary shares to redemption</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(24,425)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(24,389,286)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(24,413,711)</w:t>
            </w: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Ordinary shares subject to possible redemption</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(4,861,190)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(4,861,190)</w:t>
            </w: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Balance—December 31, 2020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5,184,300</w:t>
            </w:r>
          </w:p>
        </w:tc>
        <w:tc>
          <w:tcPr>
            <w:tcW w:w="1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518</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(29,250,419)</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(29,249,901)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F-60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453" w:right="959" w:bottom="1440" w:gutter="0" w:footer="0" w:header="0"/>
        </w:sectPr>
      </w:pPr>
    </w:p>
    <w:bookmarkStart w:id="214" w:name="page215"/>
    <w:bookmarkEnd w:id="21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60" w:right="2180"/>
        <w:spacing w:after="0" w:line="288"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CONSOLIDATED STATEMENTS OF CASH FLOWS (AUDITED)</w:t>
      </w:r>
    </w:p>
    <w:p>
      <w:pPr>
        <w:spacing w:after="0" w:line="351"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6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For The Period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0" w:type="dxa"/>
            <w:vAlign w:val="bottom"/>
          </w:tcPr>
          <w:p>
            <w:pPr>
              <w:spacing w:after="0"/>
              <w:rPr>
                <w:sz w:val="1"/>
                <w:szCs w:val="1"/>
                <w:color w:val="auto"/>
              </w:rPr>
            </w:pPr>
          </w:p>
        </w:tc>
      </w:tr>
      <w:tr>
        <w:trPr>
          <w:trHeight w:val="135"/>
        </w:trPr>
        <w:tc>
          <w:tcPr>
            <w:tcW w:w="6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From January 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8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2021 To October 14,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98"/>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628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(25,096,575)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(4,861,190)</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9,329,720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3,090,130</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Formation cost paid by Sponsor in exchange for issuance of founder shares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6,606</w:t>
            </w:r>
          </w:p>
        </w:tc>
        <w:tc>
          <w:tcPr>
            <w:tcW w:w="0" w:type="dxa"/>
            <w:vAlign w:val="bottom"/>
          </w:tcPr>
          <w:p>
            <w:pPr>
              <w:spacing w:after="0"/>
              <w:rPr>
                <w:sz w:val="1"/>
                <w:szCs w:val="1"/>
                <w:color w:val="auto"/>
              </w:rPr>
            </w:pPr>
          </w:p>
        </w:tc>
      </w:tr>
      <w:tr>
        <w:trPr>
          <w:trHeight w:val="196"/>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earned on investments held in Trust Account</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(20,246)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Transaction costs allocated to warrants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768,391</w:t>
            </w:r>
          </w:p>
        </w:tc>
        <w:tc>
          <w:tcPr>
            <w:tcW w:w="0" w:type="dxa"/>
            <w:vAlign w:val="bottom"/>
          </w:tcPr>
          <w:p>
            <w:pPr>
              <w:spacing w:after="0"/>
              <w:rPr>
                <w:sz w:val="1"/>
                <w:szCs w:val="1"/>
                <w:color w:val="auto"/>
              </w:rPr>
            </w:pPr>
          </w:p>
        </w:tc>
      </w:tr>
      <w:tr>
        <w:trPr>
          <w:trHeight w:val="196"/>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Prepaid expenses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234,959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(234,959)</w:t>
            </w:r>
          </w:p>
        </w:tc>
        <w:tc>
          <w:tcPr>
            <w:tcW w:w="0" w:type="dxa"/>
            <w:vAlign w:val="bottom"/>
          </w:tcPr>
          <w:p>
            <w:pPr>
              <w:spacing w:after="0"/>
              <w:rPr>
                <w:sz w:val="1"/>
                <w:szCs w:val="1"/>
                <w:color w:val="auto"/>
              </w:rPr>
            </w:pPr>
          </w:p>
        </w:tc>
      </w:tr>
      <w:tr>
        <w:trPr>
          <w:trHeight w:val="196"/>
        </w:trPr>
        <w:tc>
          <w:tcPr>
            <w:tcW w:w="62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14,903,106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893,415</w:t>
            </w: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(649,036)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(341,800)</w:t>
            </w:r>
          </w:p>
        </w:tc>
        <w:tc>
          <w:tcPr>
            <w:tcW w:w="0" w:type="dxa"/>
            <w:vAlign w:val="bottom"/>
          </w:tcPr>
          <w:p>
            <w:pPr>
              <w:spacing w:after="0"/>
              <w:rPr>
                <w:sz w:val="1"/>
                <w:szCs w:val="1"/>
                <w:color w:val="auto"/>
              </w:rPr>
            </w:pPr>
          </w:p>
        </w:tc>
      </w:tr>
      <w:tr>
        <w:trPr>
          <w:trHeight w:val="200"/>
        </w:trPr>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of cash into Trust Account</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(207,372,020)</w:t>
            </w:r>
          </w:p>
        </w:tc>
        <w:tc>
          <w:tcPr>
            <w:tcW w:w="0" w:type="dxa"/>
            <w:vAlign w:val="bottom"/>
          </w:tcPr>
          <w:p>
            <w:pPr>
              <w:spacing w:after="0"/>
              <w:rPr>
                <w:sz w:val="1"/>
                <w:szCs w:val="1"/>
                <w:color w:val="auto"/>
              </w:rPr>
            </w:pPr>
          </w:p>
        </w:tc>
      </w:tr>
      <w:tr>
        <w:trPr>
          <w:trHeight w:val="205"/>
        </w:trPr>
        <w:tc>
          <w:tcPr>
            <w:tcW w:w="628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0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(207,372,020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Units, net of underwriting discount paid</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203,224,580</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Private Placement Units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6,147,440</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Payment of offering costs</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(397,793)</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 of promissory note – related party</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(82,729)</w:t>
            </w:r>
          </w:p>
        </w:tc>
        <w:tc>
          <w:tcPr>
            <w:tcW w:w="0" w:type="dxa"/>
            <w:vAlign w:val="bottom"/>
          </w:tcPr>
          <w:p>
            <w:pPr>
              <w:spacing w:after="0"/>
              <w:rPr>
                <w:sz w:val="1"/>
                <w:szCs w:val="1"/>
                <w:color w:val="auto"/>
              </w:rPr>
            </w:pPr>
          </w:p>
        </w:tc>
      </w:tr>
      <w:tr>
        <w:trPr>
          <w:trHeight w:val="201"/>
        </w:trPr>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0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208,891,498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Change in Cash</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(649,036)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1,177,678</w:t>
            </w:r>
          </w:p>
        </w:tc>
        <w:tc>
          <w:tcPr>
            <w:tcW w:w="0" w:type="dxa"/>
            <w:vAlign w:val="bottom"/>
          </w:tcPr>
          <w:p>
            <w:pPr>
              <w:spacing w:after="0"/>
              <w:rPr>
                <w:sz w:val="1"/>
                <w:szCs w:val="1"/>
                <w:color w:val="auto"/>
              </w:rPr>
            </w:pPr>
          </w:p>
        </w:tc>
      </w:tr>
      <w:tr>
        <w:trPr>
          <w:trHeight w:val="201"/>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Cash – Beginning of period</w:t>
            </w:r>
          </w:p>
        </w:tc>
        <w:tc>
          <w:tcPr>
            <w:tcW w:w="10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1,177,678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 End of period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528,642</w:t>
            </w:r>
          </w:p>
        </w:tc>
        <w:tc>
          <w:tcPr>
            <w:tcW w:w="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1,177,678</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Initial classification of warrant liabilities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underwriting fee payable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20,960,000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Offering costs paid through promissory note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7,258,021</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Offering costs paid by sponsor in exchange for issuance of Founder Shares</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Offering costs included in accrued offering costs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18,394</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Offering costs included in accrued offering costs</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4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color w:val="auto"/>
        </w:rPr>
        <w:t>F-61</w:t>
      </w:r>
    </w:p>
    <w:p>
      <w:pPr>
        <w:sectPr>
          <w:pgSz w:w="11900" w:h="16838" w:orient="portrait"/>
          <w:cols w:equalWidth="0" w:num="1">
            <w:col w:w="10620"/>
          </w:cols>
          <w:pgMar w:left="320" w:top="453" w:right="959" w:bottom="1440" w:gutter="0" w:footer="0" w:header="0"/>
        </w:sectPr>
      </w:pPr>
    </w:p>
    <w:bookmarkStart w:id="215" w:name="page216"/>
    <w:bookmarkEnd w:id="21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60" w:right="218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NOTE 1—DESCRIPTION OF ORGANIZATION AND BUSINESS OPERATIONS</w:t>
      </w:r>
    </w:p>
    <w:p>
      <w:pPr>
        <w:spacing w:after="0" w:line="114" w:lineRule="exact"/>
        <w:rPr>
          <w:sz w:val="20"/>
          <w:szCs w:val="20"/>
          <w:color w:val="auto"/>
        </w:rPr>
      </w:pPr>
    </w:p>
    <w:p>
      <w:pPr>
        <w:ind w:left="620" w:right="120" w:firstLine="400"/>
        <w:spacing w:after="0" w:line="273" w:lineRule="auto"/>
        <w:rPr>
          <w:sz w:val="20"/>
          <w:szCs w:val="20"/>
          <w:color w:val="auto"/>
        </w:rPr>
      </w:pPr>
      <w:r>
        <w:rPr>
          <w:rFonts w:ascii="Times New Roman" w:cs="Times New Roman" w:eastAsia="Times New Roman" w:hAnsi="Times New Roman"/>
          <w:sz w:val="16"/>
          <w:szCs w:val="16"/>
          <w:color w:val="auto"/>
        </w:rPr>
        <w:t>VPC Impact Acquisition Holdings (now known as BAKKT holdings Inc.)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57" w:lineRule="exact"/>
        <w:rPr>
          <w:sz w:val="20"/>
          <w:szCs w:val="20"/>
          <w:color w:val="auto"/>
        </w:rPr>
      </w:pPr>
    </w:p>
    <w:p>
      <w:pPr>
        <w:ind w:left="620" w:right="20" w:firstLine="400"/>
        <w:spacing w:after="0" w:line="267" w:lineRule="auto"/>
        <w:rPr>
          <w:sz w:val="20"/>
          <w:szCs w:val="20"/>
          <w:color w:val="auto"/>
        </w:rPr>
      </w:pPr>
      <w:r>
        <w:rPr>
          <w:rFonts w:ascii="Times New Roman" w:cs="Times New Roman" w:eastAsia="Times New Roman" w:hAnsi="Times New Roman"/>
          <w:sz w:val="16"/>
          <w:szCs w:val="16"/>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 (see Note 6).</w:t>
      </w:r>
    </w:p>
    <w:p>
      <w:pPr>
        <w:spacing w:after="0" w:line="162" w:lineRule="exact"/>
        <w:rPr>
          <w:sz w:val="20"/>
          <w:szCs w:val="20"/>
          <w:color w:val="auto"/>
        </w:rPr>
      </w:pPr>
    </w:p>
    <w:p>
      <w:pPr>
        <w:ind w:left="620" w:firstLine="400"/>
        <w:spacing w:after="0" w:line="291" w:lineRule="auto"/>
        <w:rPr>
          <w:sz w:val="20"/>
          <w:szCs w:val="20"/>
          <w:color w:val="auto"/>
        </w:rPr>
      </w:pPr>
      <w:r>
        <w:rPr>
          <w:rFonts w:ascii="Times New Roman" w:cs="Times New Roman" w:eastAsia="Times New Roman" w:hAnsi="Times New Roman"/>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w:t>
      </w:r>
    </w:p>
    <w:p>
      <w:pPr>
        <w:spacing w:after="0" w:line="114" w:lineRule="exact"/>
        <w:rPr>
          <w:sz w:val="20"/>
          <w:szCs w:val="20"/>
          <w:color w:val="auto"/>
        </w:rPr>
      </w:pPr>
    </w:p>
    <w:p>
      <w:pPr>
        <w:ind w:left="620" w:right="140" w:firstLine="400"/>
        <w:spacing w:after="0" w:line="264" w:lineRule="auto"/>
        <w:rPr>
          <w:sz w:val="20"/>
          <w:szCs w:val="20"/>
          <w:color w:val="auto"/>
        </w:rPr>
      </w:pPr>
      <w:r>
        <w:rPr>
          <w:rFonts w:ascii="Times New Roman" w:cs="Times New Roman" w:eastAsia="Times New Roman" w:hAnsi="Times New Roman"/>
          <w:sz w:val="16"/>
          <w:szCs w:val="16"/>
          <w:color w:val="auto"/>
        </w:rPr>
        <w:t>On October 15, 2021 (the “Closing Date”), VPC Impact Acquisition Holdings (“VIH”) consummated the previously announced merger (the “Merger”) pursuant to that certain Agreement and Plan of Merger, dated as of January 11, 2021 (as amended, the “Merger Agreement”), by and among VIH, Pylon Merger Company LLC, a Delaware corporation and direct wholly owned subsidiary of VIH (“Merger Sub”), and Bakkt Opco Holdings, LLC, a Delaware limited liability corporation (f/k/a Bakkt Holdings, LLC) (“Opco”) (the Merger and other transactions contemplated by the Merger Agreement, collectively the “Business Combination”).</w:t>
      </w:r>
    </w:p>
    <w:p>
      <w:pPr>
        <w:spacing w:after="0" w:line="165" w:lineRule="exact"/>
        <w:rPr>
          <w:sz w:val="20"/>
          <w:szCs w:val="20"/>
          <w:color w:val="auto"/>
        </w:rPr>
      </w:pPr>
    </w:p>
    <w:p>
      <w:pPr>
        <w:ind w:left="620" w:right="120" w:firstLine="400"/>
        <w:spacing w:after="0" w:line="263" w:lineRule="auto"/>
        <w:rPr>
          <w:sz w:val="20"/>
          <w:szCs w:val="20"/>
          <w:color w:val="auto"/>
        </w:rPr>
      </w:pPr>
      <w:r>
        <w:rPr>
          <w:rFonts w:ascii="Times New Roman" w:cs="Times New Roman" w:eastAsia="Times New Roman" w:hAnsi="Times New Roman"/>
          <w:sz w:val="16"/>
          <w:szCs w:val="16"/>
          <w:color w:val="auto"/>
        </w:rPr>
        <w:t>As contemplated by the Merger Agreement and described in the section entitled “Domestication Proposal” beginning on page 167 of the final prospectus and definitive proxy statement, dated September 17, 2021 (the “Proxy Statement”) as filed with the Securities and Exchange Commission (the “SEC”), VIH filed on October 14, 2021 a notice of deregistration and necessary accompanying documents with the Cayman Islands Registrar of Companies, and on the Closing Date, a certificate of incorporation (the “Certificate of Incorporation”) and a certificate of corporate domestication with the Secretary of State of the State of Delaware, under which VIH was domesticated and continues as a Delaware corporation (the “Domestication”), changing its name to “Bakkt Holdings, Inc.” (the “Company,” “we,” “us,” and “our”).</w:t>
      </w:r>
    </w:p>
    <w:p>
      <w:pPr>
        <w:spacing w:after="0" w:line="163" w:lineRule="exact"/>
        <w:rPr>
          <w:sz w:val="20"/>
          <w:szCs w:val="20"/>
          <w:color w:val="auto"/>
        </w:rPr>
      </w:pPr>
    </w:p>
    <w:p>
      <w:pPr>
        <w:ind w:left="620" w:right="40" w:firstLine="400"/>
        <w:spacing w:after="0" w:line="260" w:lineRule="auto"/>
        <w:rPr>
          <w:sz w:val="20"/>
          <w:szCs w:val="20"/>
          <w:color w:val="auto"/>
        </w:rPr>
      </w:pPr>
      <w:r>
        <w:rPr>
          <w:rFonts w:ascii="Times New Roman" w:cs="Times New Roman" w:eastAsia="Times New Roman" w:hAnsi="Times New Roman"/>
          <w:sz w:val="16"/>
          <w:szCs w:val="16"/>
          <w:color w:val="auto"/>
        </w:rPr>
        <w:t>As a result of and upon the effective time of the Domestication (the “Effective Time”), (a) each unit of VIH issued and outstanding immediately prior to the Effective Time was automatically separated into the underlying Class A Ordinary Share, par value $0.0001 per share, of VIH (each, a “VIH Class A Ordinary Share”) and one-half of a redeemable warrant exercisable for a VIH Class A Ordinary Share (“VIH Warrants”); (b) each VIH Class A Ordinary Share issued and outstanding immediately prior to the Effective Time automatically converted into one share of the Company’s Class A Common Stock, par value $0.0001 per share (“Class A Common Stock”), (provided that each VIH Class A Ordinary Share owned by Public Shareholders (as defined in the Proxy Statement) who validly elected to redeem their VIH Class A Ordinary Shares was redeemed for cash in an amount equal to approximately $10.01 per VIH Class A Ordinary Share (collectively, the “Redemption”)); (c) each Class B Ordinary Share, par value $0.0001 per share, of VIH issued and outstanding immediately prior to the Effective Time was automatically converted into one share of Class A Common Stock; (d) each VIH Warrant was automatically converted into a redeemable warrant exercisable for</w:t>
      </w:r>
    </w:p>
    <w:p>
      <w:pPr>
        <w:spacing w:after="0" w:line="10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F-62</w:t>
      </w:r>
    </w:p>
    <w:p>
      <w:pPr>
        <w:sectPr>
          <w:pgSz w:w="11900" w:h="16838" w:orient="portrait"/>
          <w:cols w:equalWidth="0" w:num="1">
            <w:col w:w="10620"/>
          </w:cols>
          <w:pgMar w:left="320" w:top="453" w:right="959" w:bottom="1440" w:gutter="0" w:footer="0" w:header="0"/>
        </w:sectPr>
      </w:pPr>
    </w:p>
    <w:bookmarkStart w:id="216" w:name="page217"/>
    <w:bookmarkEnd w:id="21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80" w:right="216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78" w:lineRule="exact"/>
        <w:rPr>
          <w:sz w:val="20"/>
          <w:szCs w:val="20"/>
          <w:color w:val="auto"/>
        </w:rPr>
      </w:pPr>
    </w:p>
    <w:p>
      <w:pPr>
        <w:ind w:left="620" w:right="20"/>
        <w:spacing w:after="0" w:line="267" w:lineRule="auto"/>
        <w:rPr>
          <w:sz w:val="20"/>
          <w:szCs w:val="20"/>
          <w:color w:val="auto"/>
        </w:rPr>
      </w:pPr>
      <w:r>
        <w:rPr>
          <w:rFonts w:ascii="Times New Roman" w:cs="Times New Roman" w:eastAsia="Times New Roman" w:hAnsi="Times New Roman"/>
          <w:sz w:val="16"/>
          <w:szCs w:val="16"/>
          <w:color w:val="auto"/>
        </w:rPr>
        <w:t>one share of Class A Common Stock (“Public Warrants”) on the same terms as and subject to the same conditions as were in effect prior to such conversion; and (e) each Private Placement Warrant (as defined in the Proxy Statement and, together with the Public Warrants, the “Warrants”) issued and outstanding prior to the Effective Time was automatically converted into a warrant exercisable for one share of Class A Common Stock on the same terms and subject to the same conditions as were in effect prior to such conversion.</w:t>
      </w:r>
    </w:p>
    <w:p>
      <w:pPr>
        <w:spacing w:after="0" w:line="162"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color w:val="auto"/>
        </w:rPr>
        <w:t>In connection with the Merger, all outstanding membership interests and rights to acquire membership interests in Opco were exchanged for an aggregate of 208,200,000 common units of Opco (“Opco Common Units”) and an equal number of newly issued shares of the Company’s Class V Common Stock, par value $0.0001 per share (“Class V Common Stock”), which are non-economic, voting shares of the Company, of which 207,406,648 are outstanding and 793,352 reserved for issuance upon the exercise of a warrant agreement. Each Opco Common Unit, when coupled with one share of Class V Common Stock is referred to as a “Paired Interest.” Paired Interests may be exchanged for one share of Class A Common Stock or the Cash Amount (as defined in the Proxy Statement) in accordance with the Third Amended and Restated Limited Liability Company Agreement of Opco (the “Opco LLC Agreement”) and the Exchange Agreement (the “Exchange Agreement”).</w:t>
      </w:r>
    </w:p>
    <w:p>
      <w:pPr>
        <w:spacing w:after="0" w:line="168" w:lineRule="exact"/>
        <w:rPr>
          <w:sz w:val="20"/>
          <w:szCs w:val="20"/>
          <w:color w:val="auto"/>
        </w:rPr>
      </w:pPr>
    </w:p>
    <w:p>
      <w:pPr>
        <w:ind w:left="620" w:right="40" w:firstLine="400"/>
        <w:spacing w:after="0" w:line="264" w:lineRule="auto"/>
        <w:rPr>
          <w:sz w:val="20"/>
          <w:szCs w:val="20"/>
          <w:color w:val="auto"/>
        </w:rPr>
      </w:pPr>
      <w:r>
        <w:rPr>
          <w:rFonts w:ascii="Times New Roman" w:cs="Times New Roman" w:eastAsia="Times New Roman" w:hAnsi="Times New Roman"/>
          <w:sz w:val="16"/>
          <w:szCs w:val="16"/>
          <w:color w:val="auto"/>
        </w:rPr>
        <w:t>Following the closing of the Business Combination (the “Closing”), the Company became organized in what is commonly referred to as an umbrella partnership corporation, or “up-C,” structure in which substantially all of the assets and the business of the Company are held by Opco and its subsidiaries, and the Company’s only direct assets consist of Opco Common Units and its managing member interest in Opco. Following the Closing, the Company owned approximately 19.4% of the Opco Common Units and with the remaining Opco Common Units being owned by the equity owners of Opco prior to the Merger.</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PIPE Investment</w:t>
      </w:r>
    </w:p>
    <w:p>
      <w:pPr>
        <w:spacing w:after="0" w:line="114" w:lineRule="exact"/>
        <w:rPr>
          <w:sz w:val="20"/>
          <w:szCs w:val="20"/>
          <w:color w:val="auto"/>
        </w:rPr>
      </w:pPr>
    </w:p>
    <w:p>
      <w:pPr>
        <w:ind w:left="620" w:right="60" w:firstLine="400"/>
        <w:spacing w:after="0" w:line="263" w:lineRule="auto"/>
        <w:rPr>
          <w:sz w:val="20"/>
          <w:szCs w:val="20"/>
          <w:color w:val="auto"/>
        </w:rPr>
      </w:pPr>
      <w:r>
        <w:rPr>
          <w:rFonts w:ascii="Times New Roman" w:cs="Times New Roman" w:eastAsia="Times New Roman" w:hAnsi="Times New Roman"/>
          <w:sz w:val="16"/>
          <w:szCs w:val="16"/>
          <w:color w:val="auto"/>
        </w:rPr>
        <w:t>On the Closing Date, a number of purchasers (the “PIPE Investors,” which included certain equity holders of VIH and Opco) purchased from the Company an aggregate of 32,500,000 shares of Class A Common Stock (the “PIPE Shares”), for a purchase price of $10.00 per share and an aggregate purchase price of $325 million (the “PIPE Investment”), pursuant to separate subscription agreements (each, a “Subscription Agreement”) entered into on January 11, 2021. Pursuant to the Subscription Agreements, the Company gave certain registration rights to the PIPE Investors with respect to the PIPE Shares. The offering of the PIPE Shares was not registered under the Securities Act, in reliance upon the exemption provided in Section 4(a)(2) of the Securities Act. The PIPE Investment was consummated following the Effective Time and immediately prior to the Closing.</w:t>
      </w: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Business Prior to the Business Combination</w:t>
      </w:r>
    </w:p>
    <w:p>
      <w:pPr>
        <w:spacing w:after="0" w:line="114" w:lineRule="exact"/>
        <w:rPr>
          <w:sz w:val="20"/>
          <w:szCs w:val="20"/>
          <w:color w:val="auto"/>
        </w:rPr>
      </w:pPr>
    </w:p>
    <w:p>
      <w:pPr>
        <w:ind w:left="620" w:right="120" w:firstLine="400"/>
        <w:spacing w:after="0" w:line="273" w:lineRule="auto"/>
        <w:rPr>
          <w:sz w:val="20"/>
          <w:szCs w:val="20"/>
          <w:color w:val="auto"/>
        </w:rPr>
      </w:pPr>
      <w:r>
        <w:rPr>
          <w:rFonts w:ascii="Times New Roman" w:cs="Times New Roman" w:eastAsia="Times New Roman" w:hAnsi="Times New Roman"/>
          <w:sz w:val="16"/>
          <w:szCs w:val="16"/>
          <w:color w:val="auto"/>
        </w:rPr>
        <w:t>All activity from inception through October 14, 2021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and consummating the acquisition of BAKKT Holdings Inc.</w:t>
      </w:r>
    </w:p>
    <w:p>
      <w:pPr>
        <w:spacing w:after="0" w:line="157" w:lineRule="exact"/>
        <w:rPr>
          <w:sz w:val="20"/>
          <w:szCs w:val="20"/>
          <w:color w:val="auto"/>
        </w:rPr>
      </w:pPr>
    </w:p>
    <w:p>
      <w:pPr>
        <w:ind w:left="620" w:right="200" w:firstLine="400"/>
        <w:spacing w:after="0" w:line="273" w:lineRule="auto"/>
        <w:rPr>
          <w:sz w:val="20"/>
          <w:szCs w:val="20"/>
          <w:color w:val="auto"/>
        </w:rPr>
      </w:pPr>
      <w:r>
        <w:rPr>
          <w:rFonts w:ascii="Times New Roman" w:cs="Times New Roman" w:eastAsia="Times New Roman" w:hAnsi="Times New Roman"/>
          <w:sz w:val="16"/>
          <w:szCs w:val="16"/>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3.</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F-63</w:t>
      </w:r>
    </w:p>
    <w:p>
      <w:pPr>
        <w:sectPr>
          <w:pgSz w:w="11900" w:h="16838" w:orient="portrait"/>
          <w:cols w:equalWidth="0" w:num="1">
            <w:col w:w="10600"/>
          </w:cols>
          <w:pgMar w:left="320" w:top="453" w:right="979" w:bottom="1440" w:gutter="0" w:footer="0" w:header="0"/>
        </w:sectPr>
      </w:pPr>
    </w:p>
    <w:bookmarkStart w:id="217" w:name="page218"/>
    <w:bookmarkEnd w:id="21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60" w:right="218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78" w:lineRule="exact"/>
        <w:rPr>
          <w:sz w:val="20"/>
          <w:szCs w:val="20"/>
          <w:color w:val="auto"/>
        </w:rPr>
      </w:pPr>
    </w:p>
    <w:p>
      <w:pPr>
        <w:jc w:val="both"/>
        <w:ind w:left="620" w:firstLine="400"/>
        <w:spacing w:after="0" w:line="273" w:lineRule="auto"/>
        <w:rPr>
          <w:sz w:val="20"/>
          <w:szCs w:val="20"/>
          <w:color w:val="auto"/>
        </w:rPr>
      </w:pPr>
      <w:r>
        <w:rPr>
          <w:rFonts w:ascii="Times New Roman" w:cs="Times New Roman" w:eastAsia="Times New Roman" w:hAnsi="Times New Roman"/>
          <w:sz w:val="16"/>
          <w:szCs w:val="16"/>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4.</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On September 29, 2020, the underwriters notified the Company of their intention to partially exercise their over-allotment option on October 1,</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2020. As such, on October 1, 2020, the Company consummated the sale of an additional 737,202 Units, at $10.00 per Unit, and the sale of an additional</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147,440 Private Placement Warrants, at $1.00 per Private Warrant, generating total gross proceeds of $7,519,460.</w:t>
      </w:r>
    </w:p>
    <w:p>
      <w:pPr>
        <w:spacing w:after="0" w:line="193" w:lineRule="exact"/>
        <w:rPr>
          <w:sz w:val="20"/>
          <w:szCs w:val="20"/>
          <w:color w:val="auto"/>
        </w:rPr>
      </w:pPr>
    </w:p>
    <w:p>
      <w:pPr>
        <w:ind w:left="620" w:right="60" w:firstLine="400"/>
        <w:spacing w:after="0" w:line="291" w:lineRule="auto"/>
        <w:rPr>
          <w:sz w:val="20"/>
          <w:szCs w:val="20"/>
          <w:color w:val="auto"/>
        </w:rPr>
      </w:pPr>
      <w:r>
        <w:rPr>
          <w:rFonts w:ascii="Times New Roman" w:cs="Times New Roman" w:eastAsia="Times New Roman" w:hAnsi="Times New Roman"/>
          <w:sz w:val="16"/>
          <w:szCs w:val="16"/>
          <w:color w:val="auto"/>
        </w:rPr>
        <w:t>Transaction costs charged to equity amounted to $11,906,607, consisting of $4,147,440 of underwriting fees, $7,258,021 of deferred underwriting fees and $501,146 of other offering costs.</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Following the closing of the Initial Public Offering on September 25, 2020 and the partial exercise of the underwriter’s over-allotment on</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October 1, 2020, an amount of $207,372,020 ($10.00 per Unit) from the net proceeds of the sale of the Units in the Initial Public Offering and the sale of</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Private Placement Warrants was placed in a trust account (the “Trust Account”) and invested in U.S. government securities, within the meaning set</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forth in Section 2(a)(16) of the Investment Company Act of 1940, as amended (the “Investment Company Act”), with a maturity of 185 days or less, or</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in any open-ended investment company that holds itself out as a money market fund investing solely in U.S. Treasuries and meeting certain conditions</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under Rule 2a-7 of the Investment Company Act, as determined by the Company, until the earliest of: (i) the completion of a Business Combination and</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(ii) the distribution of the funds in the Trust Account.</w:t>
      </w:r>
    </w:p>
    <w:p>
      <w:pPr>
        <w:spacing w:after="0" w:line="2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Liquidity and Capital Resources</w:t>
      </w:r>
    </w:p>
    <w:p>
      <w:pPr>
        <w:spacing w:after="0" w:line="1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As of October 14, 2021, the Company had $528,642 in its operating bank accounts and working capital deficit of $15,270,109 million.</w:t>
      </w:r>
    </w:p>
    <w:p>
      <w:pPr>
        <w:spacing w:after="0" w:line="208" w:lineRule="exact"/>
        <w:rPr>
          <w:sz w:val="20"/>
          <w:szCs w:val="20"/>
          <w:color w:val="auto"/>
        </w:rPr>
      </w:pPr>
    </w:p>
    <w:p>
      <w:pPr>
        <w:ind w:left="620" w:right="180" w:firstLine="400"/>
        <w:spacing w:after="0" w:line="267" w:lineRule="auto"/>
        <w:rPr>
          <w:sz w:val="20"/>
          <w:szCs w:val="20"/>
          <w:color w:val="auto"/>
        </w:rPr>
      </w:pPr>
      <w:r>
        <w:rPr>
          <w:rFonts w:ascii="Times New Roman" w:cs="Times New Roman" w:eastAsia="Times New Roman" w:hAnsi="Times New Roman"/>
          <w:sz w:val="16"/>
          <w:szCs w:val="16"/>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5), and the proceeds from the consummation of the Private Placement not held in the Trust Account. The Note was repaid on September 25, 2020.</w:t>
      </w:r>
    </w:p>
    <w:p>
      <w:pPr>
        <w:spacing w:after="0" w:line="162" w:lineRule="exact"/>
        <w:rPr>
          <w:sz w:val="20"/>
          <w:szCs w:val="20"/>
          <w:color w:val="auto"/>
        </w:rPr>
      </w:pPr>
    </w:p>
    <w:p>
      <w:pPr>
        <w:ind w:left="620" w:right="160" w:firstLine="400"/>
        <w:spacing w:after="0" w:line="264" w:lineRule="auto"/>
        <w:rPr>
          <w:sz w:val="20"/>
          <w:szCs w:val="20"/>
          <w:color w:val="auto"/>
        </w:rPr>
      </w:pPr>
      <w:r>
        <w:rPr>
          <w:rFonts w:ascii="Times New Roman" w:cs="Times New Roman" w:eastAsia="Times New Roman" w:hAnsi="Times New Roman"/>
          <w:sz w:val="16"/>
          <w:szCs w:val="16"/>
          <w:color w:val="auto"/>
        </w:rPr>
        <w:t>Until the consummation of the Business Combination, the Company used the funds not held in the Trust Account for identifying and evaluating target businesses, performing due diligence on prospective target businesses, traveling to and from the offices, plants or similar location of prospective target businesses or their representatives or owners, reviewing corporate documents and material agreements of prospective target businesses and structuring, negotiating and completing a Business Combination, which was the Business Combination with BAKKT Holdings Inc. The Company completed its Business Combination on October 15, 2021 and has raised sufficient capital for its operations.</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NOTE 2—SUMMARY OF SIGNIFICANT ACCOUNTING POLICIES</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14" w:lineRule="exact"/>
        <w:rPr>
          <w:sz w:val="20"/>
          <w:szCs w:val="20"/>
          <w:color w:val="auto"/>
        </w:rPr>
      </w:pPr>
    </w:p>
    <w:p>
      <w:pPr>
        <w:ind w:left="620" w:right="160" w:firstLine="400"/>
        <w:spacing w:after="0" w:line="291" w:lineRule="auto"/>
        <w:rPr>
          <w:sz w:val="20"/>
          <w:szCs w:val="20"/>
          <w:color w:val="auto"/>
        </w:rPr>
      </w:pPr>
      <w:r>
        <w:rPr>
          <w:rFonts w:ascii="Times New Roman" w:cs="Times New Roman" w:eastAsia="Times New Roman" w:hAnsi="Times New Roman"/>
          <w:sz w:val="16"/>
          <w:szCs w:val="16"/>
          <w:color w:val="auto"/>
        </w:rPr>
        <w:t>The accompanying audited consolidated financial statements have been prepared in accordance with accounting principles generally accepted in the United States of America (“GAAP”) for interim financial</w:t>
      </w:r>
    </w:p>
    <w:p>
      <w:pPr>
        <w:spacing w:after="0" w:line="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F-64</w:t>
      </w:r>
    </w:p>
    <w:p>
      <w:pPr>
        <w:sectPr>
          <w:pgSz w:w="11900" w:h="16838" w:orient="portrait"/>
          <w:cols w:equalWidth="0" w:num="1">
            <w:col w:w="10620"/>
          </w:cols>
          <w:pgMar w:left="320" w:top="453" w:right="959" w:bottom="1440" w:gutter="0" w:footer="0" w:header="0"/>
        </w:sectPr>
      </w:pPr>
    </w:p>
    <w:bookmarkStart w:id="218" w:name="page219"/>
    <w:bookmarkEnd w:id="21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60" w:right="218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78"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color w:val="auto"/>
        </w:rPr>
        <w:t>information and in accordance with the instructions to Form 10-Q and Article 8 of Regulation S-X of the U.S. Securities and Exchange Commission (the “SEC”). Certain information or footnote disclosures normally included in financial statements prepared in accordance with GAAP have been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audited consolidated financial statements include all adjustments, consisting of a normal recurring nature, which are necessary for a fair presentation of the financial position, operating results and cash flows for the periods presented.</w:t>
      </w:r>
    </w:p>
    <w:p>
      <w:pPr>
        <w:spacing w:after="0" w:line="163" w:lineRule="exact"/>
        <w:rPr>
          <w:sz w:val="20"/>
          <w:szCs w:val="20"/>
          <w:color w:val="auto"/>
        </w:rPr>
      </w:pPr>
    </w:p>
    <w:p>
      <w:pPr>
        <w:ind w:left="620" w:right="120" w:firstLine="400"/>
        <w:spacing w:after="0" w:line="267" w:lineRule="auto"/>
        <w:rPr>
          <w:sz w:val="20"/>
          <w:szCs w:val="20"/>
          <w:color w:val="auto"/>
        </w:rPr>
      </w:pPr>
      <w:r>
        <w:rPr>
          <w:rFonts w:ascii="Times New Roman" w:cs="Times New Roman" w:eastAsia="Times New Roman" w:hAnsi="Times New Roman"/>
          <w:sz w:val="16"/>
          <w:szCs w:val="16"/>
          <w:color w:val="auto"/>
        </w:rPr>
        <w:t>The accompanying audited consolidated financial statements should be read in conjunction with the Company’s Annual Report on Form 10-K originally filed with the SEC on March 31, 2021 (as amended and restated on May 24, 2021 and December 7, 2021). The interim results for the period from October 1, 2021 through October 14, 2021 are not necessarily indicative of the results to be expected for the period ending December 31, 2021 or for any future interim periods.</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14" w:lineRule="exact"/>
        <w:rPr>
          <w:sz w:val="20"/>
          <w:szCs w:val="20"/>
          <w:color w:val="auto"/>
        </w:rPr>
      </w:pPr>
    </w:p>
    <w:p>
      <w:pPr>
        <w:ind w:left="620" w:right="500" w:firstLine="400"/>
        <w:spacing w:after="0" w:line="291"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the accounts of the Company and its wholly owned subsidiary. All significant intercompany balances and transactions have been eliminated in consolidation.</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Emerging Growth Company</w:t>
      </w:r>
    </w:p>
    <w:p>
      <w:pPr>
        <w:spacing w:after="0" w:line="114" w:lineRule="exact"/>
        <w:rPr>
          <w:sz w:val="20"/>
          <w:szCs w:val="20"/>
          <w:color w:val="auto"/>
        </w:rPr>
      </w:pPr>
    </w:p>
    <w:p>
      <w:pPr>
        <w:ind w:left="620" w:right="20" w:firstLine="400"/>
        <w:spacing w:after="0" w:line="263" w:lineRule="auto"/>
        <w:rPr>
          <w:sz w:val="20"/>
          <w:szCs w:val="20"/>
          <w:color w:val="auto"/>
        </w:rPr>
      </w:pPr>
      <w:r>
        <w:rPr>
          <w:rFonts w:ascii="Times New Roman" w:cs="Times New Roman" w:eastAsia="Times New Roman" w:hAnsi="Times New Roman"/>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63" w:lineRule="exact"/>
        <w:rPr>
          <w:sz w:val="20"/>
          <w:szCs w:val="20"/>
          <w:color w:val="auto"/>
        </w:rPr>
      </w:pPr>
    </w:p>
    <w:p>
      <w:pPr>
        <w:ind w:left="620" w:right="140" w:firstLine="400"/>
        <w:spacing w:after="0" w:line="260" w:lineRule="auto"/>
        <w:rPr>
          <w:sz w:val="20"/>
          <w:szCs w:val="20"/>
          <w:color w:val="auto"/>
        </w:rPr>
      </w:pPr>
      <w:r>
        <w:rPr>
          <w:rFonts w:ascii="Times New Roman" w:cs="Times New Roman" w:eastAsia="Times New Roman" w:hAnsi="Times New Roman"/>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14" w:lineRule="exact"/>
        <w:rPr>
          <w:sz w:val="20"/>
          <w:szCs w:val="20"/>
          <w:color w:val="auto"/>
        </w:rPr>
      </w:pPr>
    </w:p>
    <w:p>
      <w:pPr>
        <w:ind w:left="620" w:right="460" w:firstLine="400"/>
        <w:spacing w:after="0" w:line="291"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GAAP requires the Company’s management to make estimates and assumptions that affect the reported amounts of assets and liabilities and</w:t>
      </w:r>
    </w:p>
    <w:p>
      <w:pPr>
        <w:spacing w:after="0" w:line="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F-65</w:t>
      </w:r>
    </w:p>
    <w:p>
      <w:pPr>
        <w:sectPr>
          <w:pgSz w:w="11900" w:h="16838" w:orient="portrait"/>
          <w:cols w:equalWidth="0" w:num="1">
            <w:col w:w="10620"/>
          </w:cols>
          <w:pgMar w:left="320" w:top="453" w:right="959" w:bottom="1440" w:gutter="0" w:footer="0" w:header="0"/>
        </w:sectPr>
      </w:pPr>
    </w:p>
    <w:bookmarkStart w:id="219" w:name="page220"/>
    <w:bookmarkEnd w:id="21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60" w:right="218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78" w:lineRule="exact"/>
        <w:rPr>
          <w:sz w:val="20"/>
          <w:szCs w:val="20"/>
          <w:color w:val="auto"/>
        </w:rPr>
      </w:pPr>
    </w:p>
    <w:p>
      <w:pPr>
        <w:ind w:left="620" w:right="340"/>
        <w:spacing w:after="0" w:line="291" w:lineRule="auto"/>
        <w:rPr>
          <w:sz w:val="20"/>
          <w:szCs w:val="20"/>
          <w:color w:val="auto"/>
        </w:rPr>
      </w:pPr>
      <w:r>
        <w:rPr>
          <w:rFonts w:ascii="Times New Roman" w:cs="Times New Roman" w:eastAsia="Times New Roman" w:hAnsi="Times New Roman"/>
          <w:sz w:val="16"/>
          <w:szCs w:val="16"/>
          <w:color w:val="auto"/>
        </w:rPr>
        <w:t>disclosure of contingent assets and liabilities at the date of the consolidated financial statements and the reported amounts of revenues and expenses during the reporting period.</w:t>
      </w:r>
    </w:p>
    <w:p>
      <w:pPr>
        <w:spacing w:after="0" w:line="142" w:lineRule="exact"/>
        <w:rPr>
          <w:sz w:val="20"/>
          <w:szCs w:val="20"/>
          <w:color w:val="auto"/>
        </w:rPr>
      </w:pPr>
    </w:p>
    <w:p>
      <w:pPr>
        <w:ind w:left="620" w:right="480" w:firstLine="400"/>
        <w:spacing w:after="0" w:line="267" w:lineRule="auto"/>
        <w:rPr>
          <w:sz w:val="20"/>
          <w:szCs w:val="20"/>
          <w:color w:val="auto"/>
        </w:rPr>
      </w:pPr>
      <w:r>
        <w:rPr>
          <w:rFonts w:ascii="Times New Roman" w:cs="Times New Roman" w:eastAsia="Times New Roman" w:hAnsi="Times New Roman"/>
          <w:sz w:val="16"/>
          <w:szCs w:val="16"/>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62" w:lineRule="exact"/>
        <w:rPr>
          <w:sz w:val="20"/>
          <w:szCs w:val="20"/>
          <w:color w:val="auto"/>
        </w:rPr>
      </w:pPr>
    </w:p>
    <w:p>
      <w:pPr>
        <w:ind w:left="620" w:right="200" w:firstLine="400"/>
        <w:spacing w:after="0" w:line="273" w:lineRule="auto"/>
        <w:rPr>
          <w:sz w:val="20"/>
          <w:szCs w:val="20"/>
          <w:color w:val="auto"/>
        </w:rPr>
      </w:pPr>
      <w:r>
        <w:rPr>
          <w:rFonts w:ascii="Times New Roman" w:cs="Times New Roman" w:eastAsia="Times New Roman" w:hAnsi="Times New Roman"/>
          <w:sz w:val="16"/>
          <w:szCs w:val="16"/>
          <w:color w:val="auto"/>
        </w:rPr>
        <w:t>One of the more significant accounting estimates included in these consolidated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14" w:lineRule="exact"/>
        <w:rPr>
          <w:sz w:val="20"/>
          <w:szCs w:val="20"/>
          <w:color w:val="auto"/>
        </w:rPr>
      </w:pPr>
    </w:p>
    <w:p>
      <w:pPr>
        <w:ind w:left="620" w:right="160" w:firstLine="400"/>
        <w:spacing w:after="0" w:line="291" w:lineRule="auto"/>
        <w:rPr>
          <w:sz w:val="20"/>
          <w:szCs w:val="20"/>
          <w:color w:val="auto"/>
        </w:rPr>
      </w:pPr>
      <w:r>
        <w:rPr>
          <w:rFonts w:ascii="Times New Roman" w:cs="Times New Roman" w:eastAsia="Times New Roman" w:hAnsi="Times New Roman"/>
          <w:sz w:val="16"/>
          <w:szCs w:val="16"/>
          <w:color w:val="auto"/>
        </w:rPr>
        <w:t>The Company considers all short-term investments with an original maturity of three months or less when purchased to be cash equivalents. The Company did not have any cash equivalents as of October 14, 2021 and December 31, 2020.</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Investments held in Trust Account</w:t>
      </w:r>
    </w:p>
    <w:p>
      <w:pPr>
        <w:spacing w:after="0" w:line="114" w:lineRule="exact"/>
        <w:rPr>
          <w:sz w:val="20"/>
          <w:szCs w:val="20"/>
          <w:color w:val="auto"/>
        </w:rPr>
      </w:pPr>
    </w:p>
    <w:p>
      <w:pPr>
        <w:ind w:left="620" w:right="180" w:firstLine="400"/>
        <w:spacing w:after="0" w:line="264" w:lineRule="auto"/>
        <w:rPr>
          <w:sz w:val="20"/>
          <w:szCs w:val="20"/>
          <w:color w:val="auto"/>
        </w:rPr>
      </w:pPr>
      <w:r>
        <w:rPr>
          <w:rFonts w:ascii="Times New Roman" w:cs="Times New Roman" w:eastAsia="Times New Roman" w:hAnsi="Times New Roman"/>
          <w:sz w:val="16"/>
          <w:szCs w:val="16"/>
          <w:color w:val="auto"/>
        </w:rPr>
        <w:t>The Company’s portfolio of investments held in trust is comprised solely of investments in money market funds that invest in U.S. government securities,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investments are included in interest earned on marketable securities held in Trust Account in the accompanying consolidated statements of operations. The estimated fair values of investments held in the Trust Account are determined using available market information.</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Warrant Liabilities</w:t>
      </w:r>
    </w:p>
    <w:p>
      <w:pPr>
        <w:spacing w:after="0" w:line="114" w:lineRule="exact"/>
        <w:rPr>
          <w:sz w:val="20"/>
          <w:szCs w:val="20"/>
          <w:color w:val="auto"/>
        </w:rPr>
      </w:pPr>
    </w:p>
    <w:p>
      <w:pPr>
        <w:ind w:left="620" w:right="20" w:firstLine="400"/>
        <w:spacing w:after="0" w:line="261" w:lineRule="auto"/>
        <w:rPr>
          <w:sz w:val="20"/>
          <w:szCs w:val="20"/>
          <w:color w:val="auto"/>
        </w:rPr>
      </w:pPr>
      <w:r>
        <w:rPr>
          <w:rFonts w:ascii="Times New Roman" w:cs="Times New Roman" w:eastAsia="Times New Roman" w:hAnsi="Times New Roman"/>
          <w:sz w:val="16"/>
          <w:szCs w:val="16"/>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8" w:lineRule="exact"/>
        <w:rPr>
          <w:sz w:val="20"/>
          <w:szCs w:val="20"/>
          <w:color w:val="auto"/>
        </w:rPr>
      </w:pPr>
    </w:p>
    <w:p>
      <w:pPr>
        <w:ind w:left="620" w:firstLine="400"/>
        <w:spacing w:after="0" w:line="263" w:lineRule="auto"/>
        <w:rPr>
          <w:sz w:val="20"/>
          <w:szCs w:val="20"/>
          <w:color w:val="auto"/>
        </w:rPr>
      </w:pPr>
      <w:r>
        <w:rPr>
          <w:rFonts w:ascii="Times New Roman" w:cs="Times New Roman" w:eastAsia="Times New Roman" w:hAnsi="Times New Roman"/>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The fair value of the Private Placement Warrants was estimated using a Black-Scholes Option Pricing Model (see Note 9). For periods subsequent to the detachment of the Public Warrants from the Units, the close price of the Public Warrant price was used as the fair value of the Public Warrants as each relevant date.</w:t>
      </w:r>
    </w:p>
    <w:p>
      <w:pPr>
        <w:spacing w:after="0" w:line="10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F-66</w:t>
      </w:r>
    </w:p>
    <w:p>
      <w:pPr>
        <w:sectPr>
          <w:pgSz w:w="11900" w:h="16838" w:orient="portrait"/>
          <w:cols w:equalWidth="0" w:num="1">
            <w:col w:w="10620"/>
          </w:cols>
          <w:pgMar w:left="320" w:top="453" w:right="959" w:bottom="1440" w:gutter="0" w:footer="0" w:header="0"/>
        </w:sectPr>
      </w:pPr>
    </w:p>
    <w:bookmarkStart w:id="220" w:name="page221"/>
    <w:bookmarkEnd w:id="22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60" w:right="218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Class A Ordinary Shares Subject to Possible Redemption</w:t>
      </w:r>
    </w:p>
    <w:p>
      <w:pPr>
        <w:spacing w:after="0" w:line="114"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color w:val="auto"/>
        </w:rPr>
        <w:t>The Company accounts for its Class A ordinary shares subject to possible redemption in accordance with the guidance in ASC 480.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at October 14, 2021 and December 31, 2020, Class A ordinary shares subject to possible redemption are presented as temporary equity, outside of the shareholders’ equity section of the Company’s consolidated balance sheets.</w:t>
      </w:r>
    </w:p>
    <w:p>
      <w:pPr>
        <w:spacing w:after="0" w:line="364" w:lineRule="exact"/>
        <w:rPr>
          <w:sz w:val="20"/>
          <w:szCs w:val="20"/>
          <w:color w:val="auto"/>
        </w:rPr>
      </w:pPr>
    </w:p>
    <w:p>
      <w:pPr>
        <w:ind w:left="620" w:right="40" w:firstLine="400"/>
        <w:spacing w:after="0" w:line="267" w:lineRule="auto"/>
        <w:rPr>
          <w:sz w:val="20"/>
          <w:szCs w:val="20"/>
          <w:color w:val="auto"/>
        </w:rPr>
      </w:pPr>
      <w:r>
        <w:rPr>
          <w:rFonts w:ascii="Times New Roman" w:cs="Times New Roman" w:eastAsia="Times New Roman" w:hAnsi="Times New Roman"/>
          <w:sz w:val="16"/>
          <w:szCs w:val="16"/>
          <w:color w:val="auto"/>
        </w:rPr>
        <w:t>The Company recognizes changes in redemption value immediately as they occur and adjusts the carrying value of redeemable ordinary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At October 14, 2021 and December 31, 2020, the Class A ordinary shares reflected in the balance sheets are reconciled in the following table:</w:t>
      </w:r>
    </w:p>
    <w:p>
      <w:pPr>
        <w:spacing w:after="0" w:line="249" w:lineRule="exact"/>
        <w:rPr>
          <w:sz w:val="20"/>
          <w:szCs w:val="20"/>
          <w:color w:val="auto"/>
        </w:rPr>
      </w:pPr>
    </w:p>
    <w:tbl>
      <w:tblPr>
        <w:tblLayout w:type="fixed"/>
        <w:tblInd w:w="22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proceeds</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207,372,020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allocated to Public Warrants</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(13,275,495)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Class A ordinary shares issuance costs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(11,138,216)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Plus:</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Accretion of carrying value to redemption value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24,413,711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A ordinary shares subject to possible redemption</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207,372,020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Offering Costs</w:t>
      </w:r>
    </w:p>
    <w:p>
      <w:pPr>
        <w:spacing w:after="0" w:line="114" w:lineRule="exact"/>
        <w:rPr>
          <w:sz w:val="20"/>
          <w:szCs w:val="20"/>
          <w:color w:val="auto"/>
        </w:rPr>
      </w:pPr>
    </w:p>
    <w:p>
      <w:pPr>
        <w:jc w:val="both"/>
        <w:ind w:left="620" w:firstLine="400"/>
        <w:spacing w:after="0" w:line="273" w:lineRule="auto"/>
        <w:rPr>
          <w:sz w:val="20"/>
          <w:szCs w:val="20"/>
          <w:color w:val="auto"/>
        </w:rPr>
      </w:pPr>
      <w:r>
        <w:rPr>
          <w:rFonts w:ascii="Times New Roman" w:cs="Times New Roman" w:eastAsia="Times New Roman" w:hAnsi="Times New Roman"/>
          <w:sz w:val="16"/>
          <w:szCs w:val="16"/>
          <w:color w:val="auto"/>
        </w:rPr>
        <w:t>Offering costs consist of legal, accounting, underwriting fees and other costs incurred through the Initial Public Offering that are directly related to the Initial Public Offering. Offering costs amounting to $11,906,606, of which $11,138,216 were charged to shareholders’ equity upon the completion of the Initial Public Offering and $768,391 were expensed to the consolidated statements of operations.</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14" w:lineRule="exact"/>
        <w:rPr>
          <w:sz w:val="20"/>
          <w:szCs w:val="20"/>
          <w:color w:val="auto"/>
        </w:rPr>
      </w:pPr>
    </w:p>
    <w:p>
      <w:pPr>
        <w:ind w:left="620" w:right="20" w:firstLine="400"/>
        <w:spacing w:after="0" w:line="261" w:lineRule="auto"/>
        <w:rPr>
          <w:sz w:val="20"/>
          <w:szCs w:val="20"/>
          <w:color w:val="auto"/>
        </w:rPr>
      </w:pPr>
      <w:r>
        <w:rPr>
          <w:rFonts w:ascii="Times New Roman" w:cs="Times New Roman" w:eastAsia="Times New Roman" w:hAnsi="Times New Roman"/>
          <w:sz w:val="16"/>
          <w:szCs w:val="16"/>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October 14, 2021 and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F-67</w:t>
      </w:r>
    </w:p>
    <w:p>
      <w:pPr>
        <w:sectPr>
          <w:pgSz w:w="11900" w:h="16838" w:orient="portrait"/>
          <w:cols w:equalWidth="0" w:num="1">
            <w:col w:w="10620"/>
          </w:cols>
          <w:pgMar w:left="320" w:top="453" w:right="959" w:bottom="1440" w:gutter="0" w:footer="0" w:header="0"/>
        </w:sectPr>
      </w:pPr>
    </w:p>
    <w:bookmarkStart w:id="221" w:name="page222"/>
    <w:bookmarkEnd w:id="22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1040" w:right="210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78" w:lineRule="exact"/>
        <w:rPr>
          <w:sz w:val="20"/>
          <w:szCs w:val="20"/>
          <w:color w:val="auto"/>
        </w:rPr>
      </w:pPr>
    </w:p>
    <w:p>
      <w:pPr>
        <w:ind w:left="620" w:firstLine="400"/>
        <w:spacing w:after="0" w:line="271" w:lineRule="auto"/>
        <w:rPr>
          <w:sz w:val="20"/>
          <w:szCs w:val="20"/>
          <w:color w:val="auto"/>
        </w:rPr>
      </w:pPr>
      <w:r>
        <w:rPr>
          <w:rFonts w:ascii="Times New Roman" w:cs="Times New Roman" w:eastAsia="Times New Roman" w:hAnsi="Times New Roman"/>
          <w:sz w:val="16"/>
          <w:szCs w:val="16"/>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200" w:lineRule="exact"/>
        <w:rPr>
          <w:sz w:val="20"/>
          <w:szCs w:val="20"/>
          <w:color w:val="auto"/>
        </w:rPr>
      </w:pP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Net Income (Loss) Per Ordinary Share (Restated)</w:t>
      </w:r>
    </w:p>
    <w:p>
      <w:pPr>
        <w:spacing w:after="0" w:line="114" w:lineRule="exact"/>
        <w:rPr>
          <w:sz w:val="20"/>
          <w:szCs w:val="20"/>
          <w:color w:val="auto"/>
        </w:rPr>
      </w:pPr>
    </w:p>
    <w:p>
      <w:pPr>
        <w:ind w:left="620" w:right="60" w:firstLine="400"/>
        <w:spacing w:after="0" w:line="264" w:lineRule="auto"/>
        <w:rPr>
          <w:sz w:val="20"/>
          <w:szCs w:val="20"/>
          <w:color w:val="auto"/>
        </w:rPr>
      </w:pPr>
      <w:r>
        <w:rPr>
          <w:rFonts w:ascii="Times New Roman" w:cs="Times New Roman" w:eastAsia="Times New Roman" w:hAnsi="Times New Roman"/>
          <w:sz w:val="16"/>
          <w:szCs w:val="16"/>
          <w:color w:val="auto"/>
        </w:rPr>
        <w:t>The Company complies with accounting and disclosure requirements of FASB ASC Topic 260, “Earnings Per Share”. The Company has two classes of ordinary shares, which are referred to as Class A ordinary shares and Class B ordinary shares. Income and losses are shared pro rata between the two classes of ordinary shares. Net income (loss) per ordinary share is computed by dividing net income (loss) by the weighted average number of ordinary shares outstanding for the period. The Company applies the two-class method in calculating earnings per share. Accretion associated with the redeemable shares of Class A ordinary shares is excluded from earnings per share as the redemption value approximates fair value.</w:t>
      </w:r>
    </w:p>
    <w:p>
      <w:pPr>
        <w:spacing w:after="0" w:line="165" w:lineRule="exact"/>
        <w:rPr>
          <w:sz w:val="20"/>
          <w:szCs w:val="20"/>
          <w:color w:val="auto"/>
        </w:rPr>
      </w:pPr>
    </w:p>
    <w:p>
      <w:pPr>
        <w:ind w:left="620" w:right="220" w:firstLine="400"/>
        <w:spacing w:after="0" w:line="264" w:lineRule="auto"/>
        <w:rPr>
          <w:sz w:val="20"/>
          <w:szCs w:val="20"/>
          <w:color w:val="auto"/>
        </w:rPr>
      </w:pPr>
      <w:r>
        <w:rPr>
          <w:rFonts w:ascii="Times New Roman" w:cs="Times New Roman" w:eastAsia="Times New Roman" w:hAnsi="Times New Roman"/>
          <w:sz w:val="16"/>
          <w:szCs w:val="16"/>
          <w:color w:val="auto"/>
        </w:rPr>
        <w:t>The calculation of diluted income (loss) per share does not consider the effect of the warrants issued in connection with the (i) Initial Public Offering, and (ii) the private placement since the exercise of the warrants is contingent upon the occurrence of future events. The warrants are exercisable to purchase 16,516,041 Class A ordinary shares in the aggregate. As of October 14, 2021 and 2020, the Company did not have any other dilutive securities or other contracts that could, potentially, be exercised or converted into ordinary shares and then share in the earnings of the Company. As a result, diluted net loss per ordinary share is the same as basic net loss per ordinary share for the periods presented.</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following table reflects the calculation of basic and diluted net loss per ordinary share (in dollars, except per share amounts):</w:t>
      </w:r>
    </w:p>
    <w:p>
      <w:pPr>
        <w:spacing w:after="0" w:line="212"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For The Period From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For The Period From</w:t>
            </w:r>
          </w:p>
        </w:tc>
      </w:tr>
      <w:tr>
        <w:trPr>
          <w:trHeight w:val="135"/>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5"/>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January 1, 2021 To</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July 31, 2020 (inception) through</w:t>
            </w:r>
          </w:p>
        </w:tc>
      </w:tr>
      <w:tr>
        <w:trPr>
          <w:trHeight w:val="157"/>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October 14, 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December 31, 2020</w:t>
            </w:r>
          </w:p>
        </w:tc>
      </w:tr>
      <w:tr>
        <w:trPr>
          <w:trHeight w:val="127"/>
        </w:trPr>
        <w:tc>
          <w:tcPr>
            <w:tcW w:w="4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520"/>
              <w:spacing w:after="0" w:line="12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22"/>
              <w:spacing w:after="0" w:line="12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580"/>
              <w:spacing w:after="0" w:line="12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62"/>
              <w:spacing w:after="0" w:line="12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00" w:type="dxa"/>
            <w:vAlign w:val="bottom"/>
          </w:tcPr>
          <w:p>
            <w:pPr>
              <w:spacing w:after="0"/>
              <w:rPr>
                <w:sz w:val="11"/>
                <w:szCs w:val="11"/>
                <w:color w:val="auto"/>
              </w:rPr>
            </w:pPr>
          </w:p>
        </w:tc>
      </w:tr>
      <w:tr>
        <w:trPr>
          <w:trHeight w:val="176"/>
        </w:trPr>
        <w:tc>
          <w:tcPr>
            <w:tcW w:w="468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i w:val="1"/>
                <w:iCs w:val="1"/>
                <w:color w:val="auto"/>
              </w:rPr>
              <w:t>Basic and diluted net loss per ordinary share</w:t>
            </w: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Numerator: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Allocation of net loss, as adjusted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(20,077,260)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(5,019,315)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(3,520,953)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(1,340,237)</w:t>
            </w: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Denominator: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and diluted weighted average shares outstanding</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20,737,202</w:t>
            </w: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5,184,300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13,429,289</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5,111,809</w:t>
            </w:r>
          </w:p>
        </w:tc>
        <w:tc>
          <w:tcPr>
            <w:tcW w:w="100" w:type="dxa"/>
            <w:vAlign w:val="bottom"/>
            <w:shd w:val="clear" w:color="auto" w:fill="CCEEFF"/>
          </w:tcPr>
          <w:p>
            <w:pPr>
              <w:spacing w:after="0"/>
              <w:rPr>
                <w:sz w:val="17"/>
                <w:szCs w:val="17"/>
                <w:color w:val="auto"/>
              </w:rPr>
            </w:pPr>
          </w:p>
        </w:tc>
      </w:tr>
      <w:tr>
        <w:trPr>
          <w:trHeight w:val="204"/>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net loss per ordinary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(0.97)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17"/>
                <w:szCs w:val="17"/>
                <w:color w:val="auto"/>
              </w:rPr>
            </w:pPr>
          </w:p>
        </w:tc>
      </w:tr>
    </w:tbl>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Credit Risk</w:t>
      </w:r>
    </w:p>
    <w:p>
      <w:pPr>
        <w:spacing w:after="0" w:line="114" w:lineRule="exact"/>
        <w:rPr>
          <w:sz w:val="20"/>
          <w:szCs w:val="20"/>
          <w:color w:val="auto"/>
        </w:rPr>
      </w:pPr>
    </w:p>
    <w:p>
      <w:pPr>
        <w:jc w:val="both"/>
        <w:ind w:left="620" w:right="260" w:firstLine="400"/>
        <w:spacing w:after="0" w:line="273"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concentrations of credit risk consist of a cash account in a financial institution, which, at times, may exceed the Federal Depository Insurance Corporation Coverage of $250,000. The Company has not experienced losses on this account and management believes the Company is not exposed to significant risks on such account.</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F-68</w:t>
      </w:r>
    </w:p>
    <w:p>
      <w:pPr>
        <w:sectPr>
          <w:pgSz w:w="11900" w:h="16838" w:orient="portrait"/>
          <w:cols w:equalWidth="0" w:num="1">
            <w:col w:w="10540"/>
          </w:cols>
          <w:pgMar w:left="320" w:top="453" w:right="1039" w:bottom="1440" w:gutter="0" w:footer="0" w:header="0"/>
        </w:sectPr>
      </w:pPr>
    </w:p>
    <w:bookmarkStart w:id="222" w:name="page223"/>
    <w:bookmarkEnd w:id="22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80" w:right="216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114" w:lineRule="exact"/>
        <w:rPr>
          <w:sz w:val="20"/>
          <w:szCs w:val="20"/>
          <w:color w:val="auto"/>
        </w:rPr>
      </w:pPr>
    </w:p>
    <w:p>
      <w:pPr>
        <w:ind w:left="620" w:right="200" w:firstLine="400"/>
        <w:spacing w:after="0" w:line="273" w:lineRule="auto"/>
        <w:rPr>
          <w:sz w:val="20"/>
          <w:szCs w:val="20"/>
          <w:color w:val="auto"/>
        </w:rPr>
      </w:pPr>
      <w:r>
        <w:rPr>
          <w:rFonts w:ascii="Times New Roman" w:cs="Times New Roman" w:eastAsia="Times New Roman" w:hAnsi="Times New Roman"/>
          <w:sz w:val="16"/>
          <w:szCs w:val="16"/>
          <w:color w:val="auto"/>
        </w:rPr>
        <w:t>The fair value of the Company’s assets and liabilities, which qualify as financial instruments under ASC Topic 820, “Fair Value Measurement,” approximates the carrying amounts represented in the Company’s consolidated balance sheets, primarily due to their short-term nature, with the exception of the warrant liabilities (see Note 9).</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Standards</w:t>
      </w:r>
    </w:p>
    <w:p>
      <w:pPr>
        <w:spacing w:after="0" w:line="114"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color w:val="auto"/>
        </w:rPr>
        <w:t>In August 2020, the FASB issued Accounting Standards Update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The Company adopted ASU 2020-06 effective as of January 1, 2021. The adoption of ASU 2020-06 did not have an impact on the Company’s consolidated financial statements.</w:t>
      </w:r>
    </w:p>
    <w:p>
      <w:pPr>
        <w:spacing w:after="0" w:line="168" w:lineRule="exact"/>
        <w:rPr>
          <w:sz w:val="20"/>
          <w:szCs w:val="20"/>
          <w:color w:val="auto"/>
        </w:rPr>
      </w:pPr>
    </w:p>
    <w:p>
      <w:pPr>
        <w:ind w:left="620" w:right="500" w:firstLine="400"/>
        <w:spacing w:after="0" w:line="291" w:lineRule="auto"/>
        <w:rPr>
          <w:sz w:val="20"/>
          <w:szCs w:val="20"/>
          <w:color w:val="auto"/>
        </w:rPr>
      </w:pPr>
      <w:r>
        <w:rPr>
          <w:rFonts w:ascii="Times New Roman" w:cs="Times New Roman" w:eastAsia="Times New Roman" w:hAnsi="Times New Roman"/>
          <w:sz w:val="16"/>
          <w:szCs w:val="16"/>
          <w:color w:val="auto"/>
        </w:rPr>
        <w:t>Management does not believe that any other recently issued, but not yet effective, accounting standards, if currently adopted, would have a material effect on the Company’s consolidated financial statements.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NOTE 3—INITIAL PUBLIC OFFERING</w:t>
      </w:r>
    </w:p>
    <w:p>
      <w:pPr>
        <w:spacing w:after="0" w:line="114" w:lineRule="exact"/>
        <w:rPr>
          <w:sz w:val="20"/>
          <w:szCs w:val="20"/>
          <w:color w:val="auto"/>
        </w:rPr>
      </w:pPr>
    </w:p>
    <w:p>
      <w:pPr>
        <w:ind w:left="620" w:right="280" w:firstLine="400"/>
        <w:spacing w:after="0" w:line="267" w:lineRule="auto"/>
        <w:rPr>
          <w:sz w:val="20"/>
          <w:szCs w:val="20"/>
          <w:color w:val="auto"/>
        </w:rPr>
      </w:pPr>
      <w:r>
        <w:rPr>
          <w:rFonts w:ascii="Times New Roman" w:cs="Times New Roman" w:eastAsia="Times New Roman" w:hAnsi="Times New Roman"/>
          <w:sz w:val="16"/>
          <w:szCs w:val="16"/>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8).</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NOTE 4—PRIVATE PLACEMENT</w:t>
      </w:r>
    </w:p>
    <w:p>
      <w:pPr>
        <w:spacing w:after="0" w:line="114"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8).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10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F-69</w:t>
      </w:r>
    </w:p>
    <w:p>
      <w:pPr>
        <w:sectPr>
          <w:pgSz w:w="11900" w:h="16838" w:orient="portrait"/>
          <w:cols w:equalWidth="0" w:num="1">
            <w:col w:w="10600"/>
          </w:cols>
          <w:pgMar w:left="320" w:top="453" w:right="979" w:bottom="1440" w:gutter="0" w:footer="0" w:header="0"/>
        </w:sectPr>
      </w:pPr>
    </w:p>
    <w:bookmarkStart w:id="223" w:name="page224"/>
    <w:bookmarkEnd w:id="22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60" w:right="218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NOTE 5—RELATED PARTY TRANSACTIONS</w:t>
      </w:r>
    </w:p>
    <w:p>
      <w:pPr>
        <w:spacing w:after="0" w:line="1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i w:val="1"/>
          <w:iCs w:val="1"/>
          <w:color w:val="auto"/>
        </w:rPr>
        <w:t>Founder Shares</w:t>
      </w:r>
    </w:p>
    <w:p>
      <w:pPr>
        <w:spacing w:after="0" w:line="114" w:lineRule="exact"/>
        <w:rPr>
          <w:sz w:val="20"/>
          <w:szCs w:val="20"/>
          <w:color w:val="auto"/>
        </w:rPr>
      </w:pPr>
    </w:p>
    <w:p>
      <w:pPr>
        <w:ind w:left="620" w:firstLine="400"/>
        <w:spacing w:after="0" w:line="260" w:lineRule="auto"/>
        <w:rPr>
          <w:sz w:val="20"/>
          <w:szCs w:val="20"/>
          <w:color w:val="auto"/>
        </w:rPr>
      </w:pPr>
      <w:r>
        <w:rPr>
          <w:rFonts w:ascii="Times New Roman" w:cs="Times New Roman" w:eastAsia="Times New Roman" w:hAnsi="Times New Roman"/>
          <w:sz w:val="16"/>
          <w:szCs w:val="16"/>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w:t>
      </w:r>
    </w:p>
    <w:p>
      <w:pPr>
        <w:spacing w:after="0" w:line="170" w:lineRule="exact"/>
        <w:rPr>
          <w:sz w:val="20"/>
          <w:szCs w:val="20"/>
          <w:color w:val="auto"/>
        </w:rPr>
      </w:pPr>
    </w:p>
    <w:p>
      <w:pPr>
        <w:ind w:left="620" w:right="160" w:firstLine="400"/>
        <w:spacing w:after="0" w:line="263" w:lineRule="auto"/>
        <w:rPr>
          <w:sz w:val="20"/>
          <w:szCs w:val="20"/>
          <w:color w:val="auto"/>
        </w:rPr>
      </w:pPr>
      <w:r>
        <w:rPr>
          <w:rFonts w:ascii="Times New Roman" w:cs="Times New Roman" w:eastAsia="Times New Roman" w:hAnsi="Times New Roman"/>
          <w:sz w:val="16"/>
          <w:szCs w:val="16"/>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Administrative Services Agreement</w:t>
      </w:r>
    </w:p>
    <w:p>
      <w:pPr>
        <w:spacing w:after="0" w:line="114" w:lineRule="exact"/>
        <w:rPr>
          <w:sz w:val="20"/>
          <w:szCs w:val="20"/>
          <w:color w:val="auto"/>
        </w:rPr>
      </w:pPr>
    </w:p>
    <w:p>
      <w:pPr>
        <w:ind w:left="620" w:right="40" w:firstLine="400"/>
        <w:spacing w:after="0" w:line="264" w:lineRule="auto"/>
        <w:rPr>
          <w:sz w:val="20"/>
          <w:szCs w:val="20"/>
          <w:color w:val="auto"/>
        </w:rPr>
      </w:pPr>
      <w:r>
        <w:rPr>
          <w:rFonts w:ascii="Times New Roman" w:cs="Times New Roman" w:eastAsia="Times New Roman" w:hAnsi="Times New Roman"/>
          <w:sz w:val="16"/>
          <w:szCs w:val="16"/>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For the period ended October 14, 2021 and for the period from July 31, 2020 (inception) through September 30, 2020, the Company incurred $30,000, $90,000 and $0 in fees for these services, respectively. As of October 14, 2021 and December 31, 2020, $110,000 and $30,000 remained unpaid in the accrued expenses line item on the balance sheets, respectively.</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NOTE 6—COMMITMENTS AND CONTINGENCIES</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Risks and Uncertainties</w:t>
      </w:r>
    </w:p>
    <w:p>
      <w:pPr>
        <w:spacing w:after="0" w:line="114" w:lineRule="exact"/>
        <w:rPr>
          <w:sz w:val="20"/>
          <w:szCs w:val="20"/>
          <w:color w:val="auto"/>
        </w:rPr>
      </w:pPr>
    </w:p>
    <w:p>
      <w:pPr>
        <w:ind w:left="620" w:right="20" w:firstLine="400"/>
        <w:spacing w:after="0" w:line="267" w:lineRule="auto"/>
        <w:rPr>
          <w:sz w:val="20"/>
          <w:szCs w:val="20"/>
          <w:color w:val="auto"/>
        </w:rPr>
      </w:pPr>
      <w:r>
        <w:rPr>
          <w:rFonts w:ascii="Times New Roman" w:cs="Times New Roman" w:eastAsia="Times New Roman" w:hAnsi="Times New Roman"/>
          <w:sz w:val="16"/>
          <w:szCs w:val="16"/>
          <w:color w:val="auto"/>
        </w:rPr>
        <w:t>Management continues to evaluate the impact of the COVID-19 global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Registration and Shareholders Rights</w:t>
      </w:r>
    </w:p>
    <w:p>
      <w:pPr>
        <w:spacing w:after="0" w:line="114" w:lineRule="exact"/>
        <w:rPr>
          <w:sz w:val="20"/>
          <w:szCs w:val="20"/>
          <w:color w:val="auto"/>
        </w:rPr>
      </w:pPr>
    </w:p>
    <w:p>
      <w:pPr>
        <w:ind w:left="620" w:firstLine="400"/>
        <w:spacing w:after="0" w:line="273" w:lineRule="auto"/>
        <w:rPr>
          <w:sz w:val="20"/>
          <w:szCs w:val="20"/>
          <w:color w:val="auto"/>
        </w:rPr>
      </w:pPr>
      <w:r>
        <w:rPr>
          <w:rFonts w:ascii="Times New Roman" w:cs="Times New Roman" w:eastAsia="Times New Roman" w:hAnsi="Times New Roman"/>
          <w:sz w:val="16"/>
          <w:szCs w:val="16"/>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F-70</w:t>
      </w:r>
    </w:p>
    <w:p>
      <w:pPr>
        <w:sectPr>
          <w:pgSz w:w="11900" w:h="16838" w:orient="portrait"/>
          <w:cols w:equalWidth="0" w:num="1">
            <w:col w:w="10620"/>
          </w:cols>
          <w:pgMar w:left="320" w:top="453" w:right="959" w:bottom="1440" w:gutter="0" w:footer="0" w:header="0"/>
        </w:sectPr>
      </w:pPr>
    </w:p>
    <w:bookmarkStart w:id="224" w:name="page225"/>
    <w:bookmarkEnd w:id="22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60" w:right="218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78" w:lineRule="exact"/>
        <w:rPr>
          <w:sz w:val="20"/>
          <w:szCs w:val="20"/>
          <w:color w:val="auto"/>
        </w:rPr>
      </w:pPr>
    </w:p>
    <w:p>
      <w:pPr>
        <w:ind w:left="620" w:right="40"/>
        <w:spacing w:after="0" w:line="264" w:lineRule="auto"/>
        <w:rPr>
          <w:sz w:val="20"/>
          <w:szCs w:val="20"/>
          <w:color w:val="auto"/>
        </w:rPr>
      </w:pPr>
      <w:r>
        <w:rPr>
          <w:rFonts w:ascii="Times New Roman" w:cs="Times New Roman" w:eastAsia="Times New Roman" w:hAnsi="Times New Roman"/>
          <w:sz w:val="16"/>
          <w:szCs w:val="16"/>
          <w:color w:val="auto"/>
        </w:rPr>
        <w:t>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Underwriting Agreement</w:t>
      </w:r>
    </w:p>
    <w:p>
      <w:pPr>
        <w:spacing w:after="0" w:line="114" w:lineRule="exact"/>
        <w:rPr>
          <w:sz w:val="20"/>
          <w:szCs w:val="20"/>
          <w:color w:val="auto"/>
        </w:rPr>
      </w:pPr>
    </w:p>
    <w:p>
      <w:pPr>
        <w:ind w:left="620" w:right="140" w:firstLine="400"/>
        <w:spacing w:after="0" w:line="291" w:lineRule="auto"/>
        <w:rPr>
          <w:sz w:val="20"/>
          <w:szCs w:val="20"/>
          <w:color w:val="auto"/>
        </w:rPr>
      </w:pPr>
      <w:r>
        <w:rPr>
          <w:rFonts w:ascii="Times New Roman" w:cs="Times New Roman" w:eastAsia="Times New Roman" w:hAnsi="Times New Roman"/>
          <w:sz w:val="16"/>
          <w:szCs w:val="16"/>
          <w:color w:val="auto"/>
        </w:rPr>
        <w:t>The underwriters are entitled to a deferred fee of $0.35 per Unit, or $7,258,021 in the aggregate. The deferred fee was paid to the underwriters at the closing of the Business Combination on October 15, 2021.</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Merger Agreement</w:t>
      </w:r>
    </w:p>
    <w:p>
      <w:pPr>
        <w:spacing w:after="0" w:line="114" w:lineRule="exact"/>
        <w:rPr>
          <w:sz w:val="20"/>
          <w:szCs w:val="20"/>
          <w:color w:val="auto"/>
        </w:rPr>
      </w:pPr>
    </w:p>
    <w:p>
      <w:pPr>
        <w:ind w:left="620" w:right="20" w:firstLine="400"/>
        <w:spacing w:after="0" w:line="267" w:lineRule="auto"/>
        <w:rPr>
          <w:sz w:val="20"/>
          <w:szCs w:val="20"/>
          <w:color w:val="auto"/>
        </w:rPr>
      </w:pPr>
      <w:r>
        <w:rPr>
          <w:rFonts w:ascii="Times New Roman" w:cs="Times New Roman" w:eastAsia="Times New Roman" w:hAnsi="Times New Roman"/>
          <w:sz w:val="16"/>
          <w:szCs w:val="16"/>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62" w:lineRule="exact"/>
        <w:rPr>
          <w:sz w:val="20"/>
          <w:szCs w:val="20"/>
          <w:color w:val="auto"/>
        </w:rPr>
      </w:pPr>
    </w:p>
    <w:p>
      <w:pPr>
        <w:ind w:left="620" w:right="20" w:firstLine="400"/>
        <w:spacing w:after="0" w:line="260" w:lineRule="auto"/>
        <w:rPr>
          <w:sz w:val="20"/>
          <w:szCs w:val="20"/>
          <w:color w:val="auto"/>
        </w:rPr>
      </w:pPr>
      <w:r>
        <w:rPr>
          <w:rFonts w:ascii="Times New Roman" w:cs="Times New Roman" w:eastAsia="Times New Roman" w:hAnsi="Times New Roman"/>
          <w:sz w:val="16"/>
          <w:szCs w:val="16"/>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 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2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Subscription Agreements</w:t>
      </w:r>
    </w:p>
    <w:p>
      <w:pPr>
        <w:spacing w:after="0" w:line="114" w:lineRule="exact"/>
        <w:rPr>
          <w:sz w:val="20"/>
          <w:szCs w:val="20"/>
          <w:color w:val="auto"/>
        </w:rPr>
      </w:pPr>
    </w:p>
    <w:p>
      <w:pPr>
        <w:ind w:left="620" w:firstLine="400"/>
        <w:spacing w:after="0" w:line="261" w:lineRule="auto"/>
        <w:rPr>
          <w:sz w:val="20"/>
          <w:szCs w:val="20"/>
          <w:color w:val="auto"/>
        </w:rPr>
      </w:pPr>
      <w:r>
        <w:rPr>
          <w:rFonts w:ascii="Times New Roman" w:cs="Times New Roman" w:eastAsia="Times New Roman" w:hAnsi="Times New Roman"/>
          <w:sz w:val="16"/>
          <w:szCs w:val="16"/>
          <w:color w:val="auto"/>
        </w:rPr>
        <w:t>On January 11, 2021, concurrently with the execution of the Merger Agreement, the Company entered into subscription agreements (the “Subscription Agreements”) with certain investors (collectively, the “PIPE Investors” which include certain existing equity holders of the Company and Bakkt), pursuant to, and on the terms and subject to the conditions of which, the PIPE Investors have collectively subscribed for 32,500,000 Bakkt 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pacing w:after="0" w:line="3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F-71</w:t>
      </w:r>
    </w:p>
    <w:p>
      <w:pPr>
        <w:sectPr>
          <w:pgSz w:w="11900" w:h="16838" w:orient="portrait"/>
          <w:cols w:equalWidth="0" w:num="1">
            <w:col w:w="10620"/>
          </w:cols>
          <w:pgMar w:left="320" w:top="453" w:right="959" w:bottom="1440" w:gutter="0" w:footer="0" w:header="0"/>
        </w:sectPr>
      </w:pPr>
    </w:p>
    <w:bookmarkStart w:id="225" w:name="page226"/>
    <w:bookmarkEnd w:id="22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60" w:right="218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NOTE 7 — SHAREHOLDERS’ EQUITY</w:t>
      </w:r>
    </w:p>
    <w:p>
      <w:pPr>
        <w:spacing w:after="0" w:line="110" w:lineRule="exact"/>
        <w:rPr>
          <w:sz w:val="20"/>
          <w:szCs w:val="20"/>
          <w:color w:val="auto"/>
        </w:rPr>
      </w:pPr>
    </w:p>
    <w:p>
      <w:pPr>
        <w:ind w:left="620" w:right="200" w:firstLine="40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Preference Shares</w:t>
      </w:r>
      <w:r>
        <w:rPr>
          <w:rFonts w:ascii="Times New Roman" w:cs="Times New Roman" w:eastAsia="Times New Roman" w:hAnsi="Times New Roman"/>
          <w:sz w:val="16"/>
          <w:szCs w:val="16"/>
          <w:color w:val="auto"/>
        </w:rPr>
        <w:t>—The Company is authorized to issue 1,000,000 preference shares with a par value of $0.0001 per share, with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designations, voting and other rights and preferences as may be determined from time to time by the Company’s board of directors. As of October 14, 2021 and December 31, 2020, there were no preference shares issued or outstanding.</w:t>
      </w:r>
    </w:p>
    <w:p>
      <w:pPr>
        <w:spacing w:after="0" w:line="150" w:lineRule="exact"/>
        <w:rPr>
          <w:sz w:val="20"/>
          <w:szCs w:val="20"/>
          <w:color w:val="auto"/>
        </w:rPr>
      </w:pPr>
    </w:p>
    <w:p>
      <w:pPr>
        <w:ind w:left="620" w:right="80" w:firstLine="400"/>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Class A Ordinary Shares</w:t>
      </w:r>
      <w:r>
        <w:rPr>
          <w:rFonts w:ascii="Times New Roman" w:cs="Times New Roman" w:eastAsia="Times New Roman" w:hAnsi="Times New Roman"/>
          <w:sz w:val="16"/>
          <w:szCs w:val="16"/>
          <w:color w:val="auto"/>
        </w:rPr>
        <w:t>— At October 14, 2021 and December 31, 2020, there were 20,737,202 Class A ordinary shares issued and outstanding,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Class A ordinary shares subject to possible redemption which are presented as temporary equity.</w:t>
      </w:r>
    </w:p>
    <w:p>
      <w:pPr>
        <w:spacing w:after="0" w:line="1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Class B Ordinary Shares</w:t>
      </w:r>
      <w:r>
        <w:rPr>
          <w:rFonts w:ascii="Times New Roman" w:cs="Times New Roman" w:eastAsia="Times New Roman" w:hAnsi="Times New Roman"/>
          <w:sz w:val="16"/>
          <w:szCs w:val="16"/>
          <w:color w:val="auto"/>
        </w:rPr>
        <w:t>—The Company is authorized to issue 20,000,000 Class B ordinary shares, with a par value of $0.0001 per share.</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Holders of the Class B ordinary shares are entitled to one vote for each share. As of October 14, 2021 and December 31, 2020, there were 5,184,300</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Class B ordinary shares issued and outstanding.</w:t>
      </w:r>
    </w:p>
    <w:p>
      <w:pPr>
        <w:spacing w:after="0" w:line="193" w:lineRule="exact"/>
        <w:rPr>
          <w:sz w:val="20"/>
          <w:szCs w:val="20"/>
          <w:color w:val="auto"/>
        </w:rPr>
      </w:pPr>
    </w:p>
    <w:p>
      <w:pPr>
        <w:ind w:left="620" w:right="40" w:firstLine="400"/>
        <w:spacing w:after="0" w:line="267" w:lineRule="auto"/>
        <w:rPr>
          <w:sz w:val="20"/>
          <w:szCs w:val="20"/>
          <w:color w:val="auto"/>
        </w:rPr>
      </w:pPr>
      <w:r>
        <w:rPr>
          <w:rFonts w:ascii="Times New Roman" w:cs="Times New Roman" w:eastAsia="Times New Roman" w:hAnsi="Times New Roman"/>
          <w:sz w:val="16"/>
          <w:szCs w:val="16"/>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62" w:lineRule="exact"/>
        <w:rPr>
          <w:sz w:val="20"/>
          <w:szCs w:val="20"/>
          <w:color w:val="auto"/>
        </w:rPr>
      </w:pPr>
    </w:p>
    <w:p>
      <w:pPr>
        <w:ind w:left="620" w:right="40" w:firstLine="400"/>
        <w:spacing w:after="0" w:line="260" w:lineRule="auto"/>
        <w:rPr>
          <w:sz w:val="20"/>
          <w:szCs w:val="20"/>
          <w:color w:val="auto"/>
        </w:rPr>
      </w:pPr>
      <w:r>
        <w:rPr>
          <w:rFonts w:ascii="Times New Roman" w:cs="Times New Roman" w:eastAsia="Times New Roman" w:hAnsi="Times New Roman"/>
          <w:sz w:val="16"/>
          <w:szCs w:val="16"/>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NOTE 8 — WARRANTS LIABILITIES</w:t>
      </w:r>
    </w:p>
    <w:p>
      <w:pPr>
        <w:spacing w:after="0" w:line="114" w:lineRule="exact"/>
        <w:rPr>
          <w:sz w:val="20"/>
          <w:szCs w:val="20"/>
          <w:color w:val="auto"/>
        </w:rPr>
      </w:pPr>
    </w:p>
    <w:p>
      <w:pPr>
        <w:ind w:left="620" w:firstLine="400"/>
        <w:spacing w:after="0" w:line="264" w:lineRule="auto"/>
        <w:rPr>
          <w:sz w:val="20"/>
          <w:szCs w:val="20"/>
          <w:color w:val="auto"/>
        </w:rPr>
      </w:pPr>
      <w:r>
        <w:rPr>
          <w:rFonts w:ascii="Times New Roman" w:cs="Times New Roman" w:eastAsia="Times New Roman" w:hAnsi="Times New Roman"/>
          <w:sz w:val="16"/>
          <w:szCs w:val="16"/>
          <w:color w:val="auto"/>
        </w:rPr>
        <w:t>At October 14, 2021 and December 31, 2020, the fair value of the Public Warrants was $17,211,878 and $11,509,147, respectively and the fair value of the Private Placement Warrants was $14,618,000 and $11,003,918 respectively. Public Warrants may only be exercised for a whole number of shares. No fractional shares will be issued upon exercise of the Public Warrants. The Public Warrants will become exercisable on the later of (a) 30 days after the completion of a Business Combination or (b) one year from the closing of the Initial Public Offering. The Public Warrants will expire five years from the completion of a Business Combination or earlier upon redemption or liquidation.</w:t>
      </w:r>
    </w:p>
    <w:p>
      <w:pPr>
        <w:spacing w:after="0" w:line="165" w:lineRule="exact"/>
        <w:rPr>
          <w:sz w:val="20"/>
          <w:szCs w:val="20"/>
          <w:color w:val="auto"/>
        </w:rPr>
      </w:pPr>
    </w:p>
    <w:p>
      <w:pPr>
        <w:ind w:left="620" w:right="340" w:firstLine="400"/>
        <w:spacing w:after="0" w:line="291" w:lineRule="auto"/>
        <w:rPr>
          <w:sz w:val="20"/>
          <w:szCs w:val="20"/>
          <w:color w:val="auto"/>
        </w:rPr>
      </w:pPr>
      <w:r>
        <w:rPr>
          <w:rFonts w:ascii="Times New Roman" w:cs="Times New Roman" w:eastAsia="Times New Roman" w:hAnsi="Times New Roman"/>
          <w:sz w:val="16"/>
          <w:szCs w:val="16"/>
          <w:color w:val="auto"/>
        </w:rPr>
        <w:t>The Company will not be obligated to deliver any Class A ordinary shares pursuant to the exercise of a warrant and will have no obligation to settle such warrant exercise unless a registration statement under the</w:t>
      </w:r>
    </w:p>
    <w:p>
      <w:pPr>
        <w:spacing w:after="0" w:line="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F-72</w:t>
      </w:r>
    </w:p>
    <w:p>
      <w:pPr>
        <w:sectPr>
          <w:pgSz w:w="11900" w:h="16838" w:orient="portrait"/>
          <w:cols w:equalWidth="0" w:num="1">
            <w:col w:w="10620"/>
          </w:cols>
          <w:pgMar w:left="320" w:top="453" w:right="959" w:bottom="1440" w:gutter="0" w:footer="0" w:header="0"/>
        </w:sectPr>
      </w:pPr>
    </w:p>
    <w:bookmarkStart w:id="226" w:name="page227"/>
    <w:bookmarkEnd w:id="22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60" w:right="218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78" w:lineRule="exact"/>
        <w:rPr>
          <w:sz w:val="20"/>
          <w:szCs w:val="20"/>
          <w:color w:val="auto"/>
        </w:rPr>
      </w:pPr>
    </w:p>
    <w:p>
      <w:pPr>
        <w:ind w:left="620"/>
        <w:spacing w:after="0" w:line="267" w:lineRule="auto"/>
        <w:rPr>
          <w:sz w:val="20"/>
          <w:szCs w:val="20"/>
          <w:color w:val="auto"/>
        </w:rPr>
      </w:pPr>
      <w:r>
        <w:rPr>
          <w:rFonts w:ascii="Times New Roman" w:cs="Times New Roman" w:eastAsia="Times New Roman" w:hAnsi="Times New Roman"/>
          <w:sz w:val="16"/>
          <w:szCs w:val="16"/>
          <w:color w:val="auto"/>
        </w:rPr>
        <w:t>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62" w:lineRule="exact"/>
        <w:rPr>
          <w:sz w:val="20"/>
          <w:szCs w:val="20"/>
          <w:color w:val="auto"/>
        </w:rPr>
      </w:pPr>
    </w:p>
    <w:p>
      <w:pPr>
        <w:ind w:left="620" w:right="20" w:firstLine="400"/>
        <w:spacing w:after="0" w:line="258" w:lineRule="auto"/>
        <w:rPr>
          <w:sz w:val="20"/>
          <w:szCs w:val="20"/>
          <w:color w:val="auto"/>
        </w:rPr>
      </w:pPr>
      <w:r>
        <w:rPr>
          <w:rFonts w:ascii="Times New Roman" w:cs="Times New Roman" w:eastAsia="Times New Roman" w:hAnsi="Times New Roman"/>
          <w:sz w:val="16"/>
          <w:szCs w:val="16"/>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Redemption of warrants when the price per Class A ordinary share equals or exceeds $18.00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Once the warrants become exercisable, the</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Company may redeem the outstanding warrants (except as described with respect to the Private Placement Warrants):</w:t>
      </w:r>
    </w:p>
    <w:p>
      <w:pPr>
        <w:spacing w:after="0" w:line="107" w:lineRule="exact"/>
        <w:rPr>
          <w:sz w:val="20"/>
          <w:szCs w:val="20"/>
          <w:color w:val="auto"/>
        </w:rPr>
      </w:pPr>
    </w:p>
    <w:p>
      <w:pPr>
        <w:ind w:left="1500" w:hanging="387"/>
        <w:spacing w:after="0"/>
        <w:tabs>
          <w:tab w:leader="none" w:pos="15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price of $0.01 per warrant;</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 minimum of 30 days’ prior written notice of redemption to each warrant holder; and</w:t>
      </w:r>
    </w:p>
    <w:p>
      <w:pPr>
        <w:spacing w:after="0" w:line="122" w:lineRule="exact"/>
        <w:rPr>
          <w:rFonts w:ascii="Times New Roman" w:cs="Times New Roman" w:eastAsia="Times New Roman" w:hAnsi="Times New Roman"/>
          <w:sz w:val="16"/>
          <w:szCs w:val="16"/>
          <w:color w:val="auto"/>
        </w:rPr>
      </w:pPr>
    </w:p>
    <w:p>
      <w:pPr>
        <w:ind w:left="1500" w:right="320" w:hanging="387"/>
        <w:spacing w:after="0" w:line="291" w:lineRule="auto"/>
        <w:tabs>
          <w:tab w:leader="none" w:pos="15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pacing w:after="0" w:line="142" w:lineRule="exact"/>
        <w:rPr>
          <w:sz w:val="20"/>
          <w:szCs w:val="20"/>
          <w:color w:val="auto"/>
        </w:rPr>
      </w:pPr>
    </w:p>
    <w:p>
      <w:pPr>
        <w:ind w:left="620" w:right="220" w:firstLine="400"/>
        <w:spacing w:after="0" w:line="291" w:lineRule="auto"/>
        <w:rPr>
          <w:sz w:val="20"/>
          <w:szCs w:val="20"/>
          <w:color w:val="auto"/>
        </w:rPr>
      </w:pPr>
      <w:r>
        <w:rPr>
          <w:rFonts w:ascii="Times New Roman" w:cs="Times New Roman" w:eastAsia="Times New Roman" w:hAnsi="Times New Roman"/>
          <w:sz w:val="16"/>
          <w:szCs w:val="16"/>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i w:val="1"/>
          <w:iCs w:val="1"/>
          <w:color w:val="auto"/>
        </w:rPr>
        <w:t>Redemption of warrants when the price per Class A ordinary share equals or exceeds $10.00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Once the warrants become exercisable, the</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Company may redeem the outstanding warrants (except as described with respect to the Private Placement Warrants):</w:t>
      </w:r>
    </w:p>
    <w:p>
      <w:pPr>
        <w:spacing w:after="0" w:line="107" w:lineRule="exact"/>
        <w:rPr>
          <w:sz w:val="20"/>
          <w:szCs w:val="20"/>
          <w:color w:val="auto"/>
        </w:rPr>
      </w:pPr>
    </w:p>
    <w:p>
      <w:pPr>
        <w:ind w:left="1500" w:hanging="387"/>
        <w:spacing w:after="0"/>
        <w:tabs>
          <w:tab w:leader="none" w:pos="15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120" w:lineRule="exact"/>
        <w:rPr>
          <w:rFonts w:ascii="Times New Roman" w:cs="Times New Roman" w:eastAsia="Times New Roman" w:hAnsi="Times New Roman"/>
          <w:sz w:val="16"/>
          <w:szCs w:val="16"/>
          <w:color w:val="auto"/>
        </w:rPr>
      </w:pPr>
    </w:p>
    <w:p>
      <w:pPr>
        <w:ind w:left="1500" w:right="240" w:hanging="387"/>
        <w:spacing w:after="0" w:line="294" w:lineRule="auto"/>
        <w:tabs>
          <w:tab w:leader="none" w:pos="15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$0.10 per warrant upon a minimum of 30 days’ prior written notice of redemption;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holders will be able to exercise their warrants on a cashless basis prior to redemption and receive that</w:t>
      </w:r>
    </w:p>
    <w:p>
      <w:pPr>
        <w:spacing w:after="0" w:line="7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F-73</w:t>
      </w:r>
    </w:p>
    <w:p>
      <w:pPr>
        <w:sectPr>
          <w:pgSz w:w="11900" w:h="16838" w:orient="portrait"/>
          <w:cols w:equalWidth="0" w:num="1">
            <w:col w:w="10620"/>
          </w:cols>
          <w:pgMar w:left="320" w:top="453" w:right="959" w:bottom="1440" w:gutter="0" w:footer="0" w:header="0"/>
        </w:sectPr>
      </w:pPr>
    </w:p>
    <w:bookmarkStart w:id="227" w:name="page228"/>
    <w:bookmarkEnd w:id="22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80" w:right="216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7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number of shares based on the redemption date and the “fair market value” of the Company’s Class A ordinary shares;</w:t>
      </w:r>
    </w:p>
    <w:p>
      <w:pPr>
        <w:spacing w:after="0" w:line="122" w:lineRule="exact"/>
        <w:rPr>
          <w:sz w:val="20"/>
          <w:szCs w:val="20"/>
          <w:color w:val="auto"/>
        </w:rPr>
      </w:pPr>
    </w:p>
    <w:p>
      <w:pPr>
        <w:ind w:left="1500" w:right="60" w:hanging="387"/>
        <w:spacing w:after="0" w:line="273" w:lineRule="auto"/>
        <w:tabs>
          <w:tab w:leader="none" w:pos="150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 closing price of the Class A ordinary shares equals or exceeds $10.00 per public share (as adjusted) for any 20 trading days within the 30-trading day period ending three trading days before the Company send the notice of redemption of the warrant holders; and</w:t>
      </w:r>
    </w:p>
    <w:p>
      <w:pPr>
        <w:spacing w:after="0" w:line="70" w:lineRule="exact"/>
        <w:rPr>
          <w:rFonts w:ascii="Times New Roman" w:cs="Times New Roman" w:eastAsia="Times New Roman" w:hAnsi="Times New Roman"/>
          <w:sz w:val="16"/>
          <w:szCs w:val="16"/>
          <w:color w:val="auto"/>
        </w:rPr>
      </w:pPr>
    </w:p>
    <w:p>
      <w:pPr>
        <w:jc w:val="both"/>
        <w:ind w:left="1500" w:right="180" w:hanging="387"/>
        <w:spacing w:after="0" w:line="267" w:lineRule="auto"/>
        <w:tabs>
          <w:tab w:leader="none" w:pos="150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62" w:lineRule="exact"/>
        <w:rPr>
          <w:sz w:val="20"/>
          <w:szCs w:val="20"/>
          <w:color w:val="auto"/>
        </w:rPr>
      </w:pPr>
    </w:p>
    <w:p>
      <w:pPr>
        <w:ind w:left="620" w:right="80" w:firstLine="400"/>
        <w:spacing w:after="0" w:line="260" w:lineRule="auto"/>
        <w:rPr>
          <w:sz w:val="20"/>
          <w:szCs w:val="20"/>
          <w:color w:val="auto"/>
        </w:rPr>
      </w:pPr>
      <w:r>
        <w:rPr>
          <w:rFonts w:ascii="Times New Roman" w:cs="Times New Roman" w:eastAsia="Times New Roman" w:hAnsi="Times New Roman"/>
          <w:sz w:val="16"/>
          <w:szCs w:val="16"/>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367" w:lineRule="exact"/>
        <w:rPr>
          <w:sz w:val="20"/>
          <w:szCs w:val="20"/>
          <w:color w:val="auto"/>
        </w:rPr>
      </w:pPr>
    </w:p>
    <w:p>
      <w:pPr>
        <w:ind w:left="620" w:firstLine="400"/>
        <w:spacing w:after="0" w:line="259" w:lineRule="auto"/>
        <w:rPr>
          <w:sz w:val="20"/>
          <w:szCs w:val="20"/>
          <w:color w:val="auto"/>
        </w:rPr>
      </w:pPr>
      <w:r>
        <w:rPr>
          <w:rFonts w:ascii="Times New Roman" w:cs="Times New Roman" w:eastAsia="Times New Roman" w:hAnsi="Times New Roman"/>
          <w:sz w:val="16"/>
          <w:szCs w:val="16"/>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69" w:lineRule="exact"/>
        <w:rPr>
          <w:sz w:val="20"/>
          <w:szCs w:val="20"/>
          <w:color w:val="auto"/>
        </w:rPr>
      </w:pPr>
    </w:p>
    <w:p>
      <w:pPr>
        <w:ind w:left="620" w:firstLine="400"/>
        <w:spacing w:after="0" w:line="263" w:lineRule="auto"/>
        <w:rPr>
          <w:sz w:val="20"/>
          <w:szCs w:val="20"/>
          <w:color w:val="auto"/>
        </w:rPr>
      </w:pPr>
      <w:r>
        <w:rPr>
          <w:rFonts w:ascii="Times New Roman" w:cs="Times New Roman" w:eastAsia="Times New Roman" w:hAnsi="Times New Roman"/>
          <w:sz w:val="16"/>
          <w:szCs w:val="16"/>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0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F-74</w:t>
      </w:r>
    </w:p>
    <w:p>
      <w:pPr>
        <w:sectPr>
          <w:pgSz w:w="11900" w:h="16838" w:orient="portrait"/>
          <w:cols w:equalWidth="0" w:num="1">
            <w:col w:w="10600"/>
          </w:cols>
          <w:pgMar w:left="320" w:top="453" w:right="979" w:bottom="1440" w:gutter="0" w:footer="0" w:header="0"/>
        </w:sectPr>
      </w:pPr>
    </w:p>
    <w:bookmarkStart w:id="228" w:name="page229"/>
    <w:bookmarkEnd w:id="22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1020" w:right="212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NOTE 9 — FAIR VALUE MEASUREMENTS</w:t>
      </w:r>
    </w:p>
    <w:p>
      <w:pPr>
        <w:spacing w:after="0" w:line="114" w:lineRule="exact"/>
        <w:rPr>
          <w:sz w:val="20"/>
          <w:szCs w:val="20"/>
          <w:color w:val="auto"/>
        </w:rPr>
      </w:pPr>
    </w:p>
    <w:p>
      <w:pPr>
        <w:ind w:left="620" w:firstLine="400"/>
        <w:spacing w:after="0" w:line="263" w:lineRule="auto"/>
        <w:rPr>
          <w:sz w:val="20"/>
          <w:szCs w:val="20"/>
          <w:color w:val="auto"/>
        </w:rPr>
      </w:pPr>
      <w:r>
        <w:rPr>
          <w:rFonts w:ascii="Times New Roman" w:cs="Times New Roman" w:eastAsia="Times New Roman" w:hAnsi="Times New Roman"/>
          <w:sz w:val="16"/>
          <w:szCs w:val="16"/>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75" w:lineRule="exact"/>
        <w:rPr>
          <w:sz w:val="20"/>
          <w:szCs w:val="20"/>
          <w:color w:val="auto"/>
        </w:rPr>
      </w:pPr>
    </w:p>
    <w:p>
      <w:pPr>
        <w:ind w:left="1720" w:right="200" w:hanging="1102"/>
        <w:spacing w:after="0" w:line="291" w:lineRule="auto"/>
        <w:tabs>
          <w:tab w:leader="none" w:pos="1700" w:val="left"/>
        </w:tabs>
        <w:rPr>
          <w:sz w:val="20"/>
          <w:szCs w:val="20"/>
          <w:color w:val="auto"/>
        </w:rPr>
      </w:pPr>
      <w:r>
        <w:rPr>
          <w:rFonts w:ascii="Times New Roman" w:cs="Times New Roman" w:eastAsia="Times New Roman" w:hAnsi="Times New Roman"/>
          <w:sz w:val="16"/>
          <w:szCs w:val="16"/>
          <w:color w:val="auto"/>
        </w:rPr>
        <w:t>Level 1:</w:t>
      </w:r>
      <w:r>
        <w:rPr>
          <w:sz w:val="20"/>
          <w:szCs w:val="20"/>
          <w:color w:val="auto"/>
        </w:rPr>
        <w:tab/>
      </w:r>
      <w:r>
        <w:rPr>
          <w:rFonts w:ascii="Times New Roman" w:cs="Times New Roman" w:eastAsia="Times New Roman" w:hAnsi="Times New Roman"/>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44" w:lineRule="exact"/>
        <w:rPr>
          <w:sz w:val="20"/>
          <w:szCs w:val="20"/>
          <w:color w:val="auto"/>
        </w:rPr>
      </w:pPr>
    </w:p>
    <w:p>
      <w:pPr>
        <w:ind w:left="1720" w:right="180" w:hanging="1102"/>
        <w:spacing w:after="0" w:line="291" w:lineRule="auto"/>
        <w:tabs>
          <w:tab w:leader="none" w:pos="1700" w:val="left"/>
        </w:tabs>
        <w:rPr>
          <w:sz w:val="20"/>
          <w:szCs w:val="20"/>
          <w:color w:val="auto"/>
        </w:rPr>
      </w:pPr>
      <w:r>
        <w:rPr>
          <w:rFonts w:ascii="Times New Roman" w:cs="Times New Roman" w:eastAsia="Times New Roman" w:hAnsi="Times New Roman"/>
          <w:sz w:val="16"/>
          <w:szCs w:val="16"/>
          <w:color w:val="auto"/>
        </w:rPr>
        <w:t>Level 2:</w:t>
      </w:r>
      <w:r>
        <w:rPr>
          <w:sz w:val="20"/>
          <w:szCs w:val="20"/>
          <w:color w:val="auto"/>
        </w:rPr>
        <w:tab/>
      </w:r>
      <w:r>
        <w:rPr>
          <w:rFonts w:ascii="Times New Roman" w:cs="Times New Roman" w:eastAsia="Times New Roman" w:hAnsi="Times New Roman"/>
          <w:sz w:val="16"/>
          <w:szCs w:val="16"/>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44" w:lineRule="exact"/>
        <w:rPr>
          <w:sz w:val="20"/>
          <w:szCs w:val="20"/>
          <w:color w:val="auto"/>
        </w:rPr>
      </w:pPr>
    </w:p>
    <w:p>
      <w:pPr>
        <w:ind w:left="620"/>
        <w:spacing w:after="0"/>
        <w:tabs>
          <w:tab w:leader="none" w:pos="1700" w:val="left"/>
        </w:tabs>
        <w:rPr>
          <w:sz w:val="20"/>
          <w:szCs w:val="20"/>
          <w:color w:val="auto"/>
        </w:rPr>
      </w:pPr>
      <w:r>
        <w:rPr>
          <w:rFonts w:ascii="Times New Roman" w:cs="Times New Roman" w:eastAsia="Times New Roman" w:hAnsi="Times New Roman"/>
          <w:sz w:val="16"/>
          <w:szCs w:val="16"/>
          <w:color w:val="auto"/>
        </w:rPr>
        <w:t>Level 3:</w:t>
      </w:r>
      <w:r>
        <w:rPr>
          <w:sz w:val="20"/>
          <w:szCs w:val="20"/>
          <w:color w:val="auto"/>
        </w:rPr>
        <w:tab/>
      </w:r>
      <w:r>
        <w:rPr>
          <w:rFonts w:ascii="Times New Roman" w:cs="Times New Roman" w:eastAsia="Times New Roman" w:hAnsi="Times New Roman"/>
          <w:sz w:val="16"/>
          <w:szCs w:val="16"/>
          <w:color w:val="auto"/>
        </w:rPr>
        <w:t>Unobservable inputs based on our assessment of the assumptions that market participants would use in pricing the asset or liability.</w:t>
      </w:r>
    </w:p>
    <w:p>
      <w:pPr>
        <w:spacing w:after="0" w:line="208" w:lineRule="exact"/>
        <w:rPr>
          <w:sz w:val="20"/>
          <w:szCs w:val="20"/>
          <w:color w:val="auto"/>
        </w:rPr>
      </w:pPr>
    </w:p>
    <w:p>
      <w:pPr>
        <w:jc w:val="both"/>
        <w:ind w:left="620" w:right="280" w:firstLine="400"/>
        <w:spacing w:after="0" w:line="273" w:lineRule="auto"/>
        <w:rPr>
          <w:sz w:val="20"/>
          <w:szCs w:val="20"/>
          <w:color w:val="auto"/>
        </w:rPr>
      </w:pPr>
      <w:r>
        <w:rPr>
          <w:rFonts w:ascii="Times New Roman" w:cs="Times New Roman" w:eastAsia="Times New Roman" w:hAnsi="Times New Roman"/>
          <w:sz w:val="16"/>
          <w:szCs w:val="16"/>
          <w:color w:val="auto"/>
        </w:rPr>
        <w:t>At October 14, 2021 and December 31, 2020, assets held in the Trust Account were comprised of $207,396,459 and $207,376,213 in money market funds which are invested primarily in U.S. Treasury Securities, respectively. Through October 14, 2021, the Company did not withdraw any interest income from the Trust Account.</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At October 14, 2021 and December 31, 2020, there were 10,368,601 Public Warrants and 6,147,440 Private Placement Warrants outstanding.</w:t>
      </w:r>
    </w:p>
    <w:p>
      <w:pPr>
        <w:spacing w:after="0" w:line="208" w:lineRule="exact"/>
        <w:rPr>
          <w:sz w:val="20"/>
          <w:szCs w:val="20"/>
          <w:color w:val="auto"/>
        </w:rPr>
      </w:pPr>
    </w:p>
    <w:p>
      <w:pPr>
        <w:ind w:left="620" w:right="320" w:firstLine="400"/>
        <w:spacing w:after="0" w:line="273" w:lineRule="auto"/>
        <w:rPr>
          <w:sz w:val="20"/>
          <w:szCs w:val="20"/>
          <w:color w:val="auto"/>
        </w:rPr>
      </w:pPr>
      <w:r>
        <w:rPr>
          <w:rFonts w:ascii="Times New Roman" w:cs="Times New Roman" w:eastAsia="Times New Roman" w:hAnsi="Times New Roman"/>
          <w:sz w:val="16"/>
          <w:szCs w:val="16"/>
          <w:color w:val="auto"/>
        </w:rPr>
        <w:t>The following table presents information about the Company’s assets and liabilities that are measured at fair value on a recurring basis at October 14, 2021 and December 31, 2020 and indicates the fair value hierarchy of the valuation inputs the Company utilized to determine such fair value. The gross holding gains and fair value of held-to-maturity securities at October 14, 2021 and December 31, 2020 are as follows:</w:t>
      </w:r>
    </w:p>
    <w:p>
      <w:pPr>
        <w:spacing w:after="0" w:line="161"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Quoted Prices</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2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 Active</w:t>
            </w: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320" w:type="dxa"/>
            <w:vAlign w:val="bottom"/>
          </w:tcPr>
          <w:p>
            <w:pPr>
              <w:spacing w:after="0"/>
              <w:rPr>
                <w:sz w:val="11"/>
                <w:szCs w:val="11"/>
                <w:color w:val="auto"/>
              </w:rPr>
            </w:pPr>
          </w:p>
        </w:tc>
        <w:tc>
          <w:tcPr>
            <w:tcW w:w="90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October 14,</w:t>
            </w:r>
          </w:p>
        </w:tc>
        <w:tc>
          <w:tcPr>
            <w:tcW w:w="100" w:type="dxa"/>
            <w:vAlign w:val="bottom"/>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Markets</w:t>
            </w:r>
          </w:p>
        </w:tc>
        <w:tc>
          <w:tcPr>
            <w:tcW w:w="80" w:type="dxa"/>
            <w:vAlign w:val="bottom"/>
          </w:tcPr>
          <w:p>
            <w:pPr>
              <w:spacing w:after="0"/>
              <w:rPr>
                <w:sz w:val="11"/>
                <w:szCs w:val="11"/>
                <w:color w:val="auto"/>
              </w:rPr>
            </w:pPr>
          </w:p>
        </w:tc>
        <w:tc>
          <w:tcPr>
            <w:tcW w:w="56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157"/>
        </w:trPr>
        <w:tc>
          <w:tcPr>
            <w:tcW w:w="37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80" w:type="dxa"/>
            <w:vAlign w:val="bottom"/>
          </w:tcPr>
          <w:p>
            <w:pPr>
              <w:spacing w:after="0"/>
              <w:rPr>
                <w:sz w:val="13"/>
                <w:szCs w:val="13"/>
                <w:color w:val="auto"/>
              </w:rPr>
            </w:pPr>
          </w:p>
        </w:tc>
        <w:tc>
          <w:tcPr>
            <w:tcW w:w="56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0" w:type="dxa"/>
            <w:vAlign w:val="bottom"/>
          </w:tcPr>
          <w:p>
            <w:pPr>
              <w:spacing w:after="0"/>
              <w:rPr>
                <w:sz w:val="1"/>
                <w:szCs w:val="1"/>
                <w:color w:val="auto"/>
              </w:rPr>
            </w:pPr>
          </w:p>
        </w:tc>
      </w:tr>
      <w:tr>
        <w:trPr>
          <w:trHeight w:val="176"/>
        </w:trPr>
        <w:tc>
          <w:tcPr>
            <w:tcW w:w="3780" w:type="dxa"/>
            <w:vAlign w:val="bottom"/>
            <w:tcBorders>
              <w:top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6"/>
                <w:szCs w:val="16"/>
                <w:color w:val="auto"/>
              </w:rPr>
              <w:t>Assets:</w:t>
            </w:r>
          </w:p>
        </w:tc>
        <w:tc>
          <w:tcPr>
            <w:tcW w:w="1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Cash and Investments held in Trust Account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207,396,459</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207,396,459</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Liabilities:</w:t>
            </w: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Liability – Public Warrants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17,211,878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17,211,878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Liability – Private Placement Warrants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14,630,907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14,630,907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378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F-75</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320" w:top="453" w:right="1019" w:bottom="1440" w:gutter="0" w:footer="0" w:header="0"/>
        </w:sectPr>
      </w:pPr>
    </w:p>
    <w:bookmarkStart w:id="229" w:name="page230"/>
    <w:bookmarkEnd w:id="22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1000" w:right="214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58"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Quoted Prices</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 Active</w:t>
            </w: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Observable</w:t>
            </w:r>
          </w:p>
        </w:tc>
        <w:tc>
          <w:tcPr>
            <w:tcW w:w="320" w:type="dxa"/>
            <w:vAlign w:val="bottom"/>
          </w:tcPr>
          <w:p>
            <w:pPr>
              <w:spacing w:after="0"/>
              <w:rPr>
                <w:sz w:val="11"/>
                <w:szCs w:val="11"/>
                <w:color w:val="auto"/>
              </w:rPr>
            </w:pPr>
          </w:p>
        </w:tc>
        <w:tc>
          <w:tcPr>
            <w:tcW w:w="90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35"/>
        </w:trPr>
        <w:tc>
          <w:tcPr>
            <w:tcW w:w="40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8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Markets</w:t>
            </w:r>
          </w:p>
        </w:tc>
        <w:tc>
          <w:tcPr>
            <w:tcW w:w="80" w:type="dxa"/>
            <w:vAlign w:val="bottom"/>
          </w:tcPr>
          <w:p>
            <w:pPr>
              <w:spacing w:after="0"/>
              <w:rPr>
                <w:sz w:val="11"/>
                <w:szCs w:val="11"/>
                <w:color w:val="auto"/>
              </w:rPr>
            </w:pPr>
          </w:p>
        </w:tc>
        <w:tc>
          <w:tcPr>
            <w:tcW w:w="56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157"/>
        </w:trPr>
        <w:tc>
          <w:tcPr>
            <w:tcW w:w="400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2020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80" w:type="dxa"/>
            <w:vAlign w:val="bottom"/>
          </w:tcPr>
          <w:p>
            <w:pPr>
              <w:spacing w:after="0"/>
              <w:rPr>
                <w:sz w:val="13"/>
                <w:szCs w:val="13"/>
                <w:color w:val="auto"/>
              </w:rPr>
            </w:pPr>
          </w:p>
        </w:tc>
        <w:tc>
          <w:tcPr>
            <w:tcW w:w="56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0" w:type="dxa"/>
            <w:vAlign w:val="bottom"/>
          </w:tcPr>
          <w:p>
            <w:pPr>
              <w:spacing w:after="0"/>
              <w:rPr>
                <w:sz w:val="1"/>
                <w:szCs w:val="1"/>
                <w:color w:val="auto"/>
              </w:rPr>
            </w:pPr>
          </w:p>
        </w:tc>
      </w:tr>
      <w:tr>
        <w:trPr>
          <w:trHeight w:val="176"/>
        </w:trPr>
        <w:tc>
          <w:tcPr>
            <w:tcW w:w="4000" w:type="dxa"/>
            <w:vAlign w:val="bottom"/>
            <w:tcBorders>
              <w:top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6"/>
                <w:szCs w:val="16"/>
                <w:color w:val="auto"/>
              </w:rPr>
              <w:t>Assets:</w:t>
            </w:r>
          </w:p>
        </w:tc>
        <w:tc>
          <w:tcPr>
            <w:tcW w:w="8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Cash and Investments held in Trust Account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207,376,213</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207,376,213</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Liabilities:</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Liability – Public Warrants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11,509,147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11,509,147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Liability – Private Placement Warrants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11,003,918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11,003,918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620" w:right="60" w:firstLine="400"/>
        <w:spacing w:after="0" w:line="273" w:lineRule="auto"/>
        <w:rPr>
          <w:sz w:val="20"/>
          <w:szCs w:val="20"/>
          <w:color w:val="auto"/>
        </w:rPr>
      </w:pPr>
      <w:r>
        <w:rPr>
          <w:rFonts w:ascii="Times New Roman" w:cs="Times New Roman" w:eastAsia="Times New Roman" w:hAnsi="Times New Roman"/>
          <w:sz w:val="16"/>
          <w:szCs w:val="16"/>
          <w:color w:val="auto"/>
        </w:rPr>
        <w:t>The Warrants were accounted for as liabilities in accordance with ASC 815-40 and are presented within warrant liabilities on the accompanying consolidated balance sheets. The warrant liabilities are measured at fair value at inception and on a recurring basis, with changes in fair value presented within the change in fair value of warrant liabilities in the consolidated statements of operations.</w:t>
      </w:r>
    </w:p>
    <w:p>
      <w:pPr>
        <w:spacing w:after="0" w:line="157" w:lineRule="exact"/>
        <w:rPr>
          <w:sz w:val="20"/>
          <w:szCs w:val="20"/>
          <w:color w:val="auto"/>
        </w:rPr>
      </w:pPr>
    </w:p>
    <w:p>
      <w:pPr>
        <w:ind w:left="620" w:firstLine="400"/>
        <w:spacing w:after="0" w:line="267" w:lineRule="auto"/>
        <w:rPr>
          <w:sz w:val="20"/>
          <w:szCs w:val="20"/>
          <w:color w:val="auto"/>
        </w:rPr>
      </w:pPr>
      <w:r>
        <w:rPr>
          <w:rFonts w:ascii="Times New Roman" w:cs="Times New Roman" w:eastAsia="Times New Roman" w:hAnsi="Times New Roman"/>
          <w:sz w:val="16"/>
          <w:szCs w:val="16"/>
          <w:color w:val="auto"/>
        </w:rPr>
        <w:t>The Private Placement Warrants were valued using a Black-Scholes Option Pricing Model, which is considered to be a Level 3 fair value measurement. The measurement of the Public Warrants after the detachment of the Public Warrants from the Units is classified as Level 1 due to the use of an observable market quote in an active market. For periods subsequent to the detachment of the Public Warrants from the Units, the close price of the Public Warrant price was used as the fair value of the Public Warrants as of each relevant date.</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The following table presents the quantitative information regarding Level 3 fair value measurements:</w:t>
      </w:r>
    </w:p>
    <w:p>
      <w:pPr>
        <w:spacing w:after="0" w:line="212"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October 14,</w:t>
            </w:r>
          </w:p>
        </w:tc>
        <w:tc>
          <w:tcPr>
            <w:tcW w:w="100" w:type="dxa"/>
            <w:vAlign w:val="bottom"/>
          </w:tcPr>
          <w:p>
            <w:pPr>
              <w:spacing w:after="0"/>
              <w:rPr>
                <w:sz w:val="12"/>
                <w:szCs w:val="12"/>
                <w:color w:val="auto"/>
              </w:rPr>
            </w:pPr>
          </w:p>
        </w:tc>
        <w:tc>
          <w:tcPr>
            <w:tcW w:w="134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3"/>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2021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4"/>
          </w:tcPr>
          <w:p>
            <w:pPr>
              <w:ind w:left="34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4"/>
          </w:tcPr>
          <w:p>
            <w:pPr>
              <w:jc w:val="right"/>
              <w:ind w:right="578"/>
              <w:spacing w:after="0"/>
              <w:rPr>
                <w:sz w:val="20"/>
                <w:szCs w:val="20"/>
                <w:color w:val="auto"/>
              </w:rPr>
            </w:pPr>
            <w:r>
              <w:rPr>
                <w:rFonts w:ascii="Times New Roman" w:cs="Times New Roman" w:eastAsia="Times New Roman" w:hAnsi="Times New Roman"/>
                <w:sz w:val="16"/>
                <w:szCs w:val="16"/>
                <w:color w:val="auto"/>
              </w:rPr>
              <w:t>11.50</w:t>
            </w:r>
          </w:p>
        </w:tc>
        <w:tc>
          <w:tcPr>
            <w:tcW w:w="140" w:type="dxa"/>
            <w:vAlign w:val="bottom"/>
          </w:tcPr>
          <w:p>
            <w:pPr>
              <w:spacing w:after="0"/>
              <w:rPr>
                <w:sz w:val="17"/>
                <w:szCs w:val="17"/>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11.50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rPr>
              <w:t>1.13%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4"/>
          </w:tcPr>
          <w:p>
            <w:pPr>
              <w:jc w:val="right"/>
              <w:ind w:right="438"/>
              <w:spacing w:after="0"/>
              <w:rPr>
                <w:sz w:val="20"/>
                <w:szCs w:val="20"/>
                <w:color w:val="auto"/>
              </w:rPr>
            </w:pPr>
            <w:r>
              <w:rPr>
                <w:rFonts w:ascii="Times New Roman" w:cs="Times New Roman" w:eastAsia="Times New Roman" w:hAnsi="Times New Roman"/>
                <w:sz w:val="16"/>
                <w:szCs w:val="16"/>
                <w:color w:val="auto"/>
              </w:rPr>
              <w:t>35.0%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(in years)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578"/>
              <w:spacing w:after="0"/>
              <w:rPr>
                <w:sz w:val="20"/>
                <w:szCs w:val="20"/>
                <w:color w:val="auto"/>
              </w:rPr>
            </w:pPr>
            <w:r>
              <w:rPr>
                <w:rFonts w:ascii="Times New Roman" w:cs="Times New Roman" w:eastAsia="Times New Roman" w:hAnsi="Times New Roman"/>
                <w:sz w:val="16"/>
                <w:szCs w:val="16"/>
                <w:color w:val="auto"/>
                <w:w w:val="89"/>
              </w:rPr>
              <w:t>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38"/>
              <w:spacing w:after="0"/>
              <w:rPr>
                <w:sz w:val="20"/>
                <w:szCs w:val="20"/>
                <w:color w:val="auto"/>
              </w:rPr>
            </w:pPr>
            <w:r>
              <w:rPr>
                <w:rFonts w:ascii="Times New Roman" w:cs="Times New Roman" w:eastAsia="Times New Roman" w:hAnsi="Times New Roman"/>
                <w:sz w:val="16"/>
                <w:szCs w:val="16"/>
                <w:color w:val="auto"/>
                <w:w w:val="95"/>
              </w:rPr>
              <w:t>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5800" w:type="dxa"/>
            <w:vAlign w:val="bottom"/>
            <w:gridSpan w:val="6"/>
          </w:tcPr>
          <w:p>
            <w:pPr>
              <w:jc w:val="right"/>
              <w:ind w:right="22"/>
              <w:spacing w:after="0"/>
              <w:rPr>
                <w:sz w:val="20"/>
                <w:szCs w:val="20"/>
                <w:color w:val="auto"/>
              </w:rPr>
            </w:pPr>
            <w:r>
              <w:rPr>
                <w:rFonts w:ascii="Times New Roman" w:cs="Times New Roman" w:eastAsia="Times New Roman" w:hAnsi="Times New Roman"/>
                <w:sz w:val="16"/>
                <w:szCs w:val="16"/>
                <w:color w:val="auto"/>
              </w:rPr>
              <w:t>The following table presents the changes in the fair value of Level 3 warrant liabilities: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Private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Public</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Warrant</w:t>
            </w:r>
          </w:p>
        </w:tc>
        <w:tc>
          <w:tcPr>
            <w:tcW w:w="0" w:type="dxa"/>
            <w:vAlign w:val="bottom"/>
          </w:tcPr>
          <w:p>
            <w:pPr>
              <w:spacing w:after="0"/>
              <w:rPr>
                <w:sz w:val="1"/>
                <w:szCs w:val="1"/>
                <w:color w:val="auto"/>
              </w:rPr>
            </w:pPr>
          </w:p>
        </w:tc>
      </w:tr>
      <w:tr>
        <w:trPr>
          <w:trHeight w:val="157"/>
        </w:trPr>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Placement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0" w:type="dxa"/>
            <w:vAlign w:val="bottom"/>
          </w:tcPr>
          <w:p>
            <w:pPr>
              <w:spacing w:after="0"/>
              <w:rPr>
                <w:sz w:val="1"/>
                <w:szCs w:val="1"/>
                <w:color w:val="auto"/>
              </w:rPr>
            </w:pPr>
          </w:p>
        </w:tc>
      </w:tr>
      <w:tr>
        <w:trPr>
          <w:trHeight w:val="188"/>
        </w:trPr>
        <w:tc>
          <w:tcPr>
            <w:tcW w:w="420" w:type="dxa"/>
            <w:vAlign w:val="bottom"/>
          </w:tcPr>
          <w:p>
            <w:pPr>
              <w:spacing w:after="0"/>
              <w:rPr>
                <w:sz w:val="16"/>
                <w:szCs w:val="16"/>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September 25, 2020 (IPO)</w:t>
            </w:r>
          </w:p>
        </w:tc>
        <w:tc>
          <w:tcPr>
            <w:tcW w:w="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8,160,000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12,800,000</w:t>
            </w:r>
          </w:p>
        </w:tc>
        <w:tc>
          <w:tcPr>
            <w:tcW w:w="1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20,960,000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Measurement on October 1, 2020 (Overa-Allotment)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475,495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676,013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2,643,400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Transfer to Level 1 from Level 3</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(13,375,495)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(13,375,495)</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January 1, 2021</w:t>
            </w:r>
          </w:p>
        </w:tc>
        <w:tc>
          <w:tcPr>
            <w:tcW w:w="7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11,003,918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11,003,918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1,725,421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1,725,421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October 14, 2021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14,630,907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14,630,907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80" w:type="dxa"/>
            <w:vAlign w:val="bottom"/>
            <w:gridSpan w:val="2"/>
          </w:tcPr>
          <w:p>
            <w:pPr>
              <w:jc w:val="right"/>
              <w:ind w:right="198"/>
              <w:spacing w:after="0"/>
              <w:rPr>
                <w:sz w:val="20"/>
                <w:szCs w:val="20"/>
                <w:color w:val="auto"/>
              </w:rPr>
            </w:pPr>
            <w:r>
              <w:rPr>
                <w:rFonts w:ascii="Times New Roman" w:cs="Times New Roman" w:eastAsia="Times New Roman" w:hAnsi="Times New Roman"/>
                <w:sz w:val="16"/>
                <w:szCs w:val="16"/>
                <w:color w:val="auto"/>
              </w:rPr>
              <w:t>F-76</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320" w:top="453" w:right="999" w:bottom="1440" w:gutter="0" w:footer="0" w:header="0"/>
        </w:sectPr>
      </w:pPr>
    </w:p>
    <w:bookmarkStart w:id="230" w:name="page231"/>
    <w:bookmarkEnd w:id="23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left="960" w:right="2180"/>
        <w:spacing w:after="0" w:line="276" w:lineRule="auto"/>
        <w:rPr>
          <w:sz w:val="20"/>
          <w:szCs w:val="20"/>
          <w:color w:val="auto"/>
        </w:rPr>
      </w:pPr>
      <w:r>
        <w:rPr>
          <w:rFonts w:ascii="Times New Roman" w:cs="Times New Roman" w:eastAsia="Times New Roman" w:hAnsi="Times New Roman"/>
          <w:sz w:val="16"/>
          <w:szCs w:val="16"/>
          <w:b w:val="1"/>
          <w:bCs w:val="1"/>
          <w:color w:val="auto"/>
        </w:rPr>
        <w:t>BAKKT HOLDINGS INC. (F/K/A VPC IMPACT ACQUISITION HOLDINGS) NOTES TO AUDITED CONSOLIDATED FINANCIAL STATEMENTS OCTOBER 14, 2021</w:t>
      </w:r>
    </w:p>
    <w:p>
      <w:pPr>
        <w:spacing w:after="0" w:line="178" w:lineRule="exact"/>
        <w:rPr>
          <w:sz w:val="20"/>
          <w:szCs w:val="20"/>
          <w:color w:val="auto"/>
        </w:rPr>
      </w:pPr>
    </w:p>
    <w:p>
      <w:pPr>
        <w:ind w:left="620" w:right="40" w:firstLine="400"/>
        <w:spacing w:after="0" w:line="267" w:lineRule="auto"/>
        <w:rPr>
          <w:sz w:val="20"/>
          <w:szCs w:val="20"/>
          <w:color w:val="auto"/>
        </w:rPr>
      </w:pPr>
      <w:r>
        <w:rPr>
          <w:rFonts w:ascii="Times New Roman" w:cs="Times New Roman" w:eastAsia="Times New Roman" w:hAnsi="Times New Roman"/>
          <w:sz w:val="16"/>
          <w:szCs w:val="16"/>
          <w:color w:val="auto"/>
        </w:rPr>
        <w:t>Transfers to/from Levels 1, 2 and 3 are recognized at the end of the reporting period. There were no transfers between levels for the three and nine months ended October 14, 2021. Due to the use of quoted prices in an active market (Level 1) to measure the fair value of the Public Warrants, subsequent to initial measurement, the Company had transfers out of Level 3 totaling $13,275,495 during the period from September 25, 2020 through December 31, 2020.</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NOTE 10 — SUBSEQUENT EVENTS</w:t>
      </w:r>
    </w:p>
    <w:p>
      <w:pPr>
        <w:spacing w:after="0" w:line="114" w:lineRule="exact"/>
        <w:rPr>
          <w:sz w:val="20"/>
          <w:szCs w:val="20"/>
          <w:color w:val="auto"/>
        </w:rPr>
      </w:pPr>
    </w:p>
    <w:p>
      <w:pPr>
        <w:ind w:left="620" w:firstLine="400"/>
        <w:spacing w:after="0" w:line="273" w:lineRule="auto"/>
        <w:rPr>
          <w:sz w:val="20"/>
          <w:szCs w:val="20"/>
          <w:color w:val="auto"/>
        </w:rPr>
      </w:pPr>
      <w:r>
        <w:rPr>
          <w:rFonts w:ascii="Times New Roman" w:cs="Times New Roman" w:eastAsia="Times New Roman" w:hAnsi="Times New Roman"/>
          <w:sz w:val="16"/>
          <w:szCs w:val="16"/>
          <w:color w:val="auto"/>
        </w:rPr>
        <w:t>The Company evaluated subsequent events and transactions that occurred after the balance sheet date up to the date that the audited consolidated financial statements were issued. Based upon this review, the Company did not identify, other than as described below, any subsequent events that would have required adjustment or disclosure in the audited consolidated financial statements.</w:t>
      </w:r>
    </w:p>
    <w:p>
      <w:pPr>
        <w:spacing w:after="0" w:line="157" w:lineRule="exact"/>
        <w:rPr>
          <w:sz w:val="20"/>
          <w:szCs w:val="20"/>
          <w:color w:val="auto"/>
        </w:rPr>
      </w:pPr>
    </w:p>
    <w:p>
      <w:pPr>
        <w:ind w:left="620" w:right="40" w:firstLine="400"/>
        <w:spacing w:after="0" w:line="263" w:lineRule="auto"/>
        <w:rPr>
          <w:sz w:val="20"/>
          <w:szCs w:val="20"/>
          <w:color w:val="auto"/>
        </w:rPr>
      </w:pPr>
      <w:r>
        <w:rPr>
          <w:rFonts w:ascii="Times New Roman" w:cs="Times New Roman" w:eastAsia="Times New Roman" w:hAnsi="Times New Roman"/>
          <w:sz w:val="16"/>
          <w:szCs w:val="16"/>
          <w:color w:val="auto"/>
        </w:rPr>
        <w:t>At a special meeting of stockholders on October 14, 2021 (the “Special Meeting”), the stockholders of the Company voted and approved Proposal Nos. 1 through 8, including the Bakkt Business Combination. On October 15, 2021, subsequent to October 15, 2021, the Company consummated the previously announced merger (the “Merger”), among other transactions (the Merger and other transactions contemplated by the Merger Agreement, collectively the “Business Combination”), pursuant to that certain Agreement and Plan of Merger, dated as of January 11, 2021 (as amended, the “Merger Agreement”), by and among the Company, Pylon Merger Company LLC, a Delaware corporation and direct wholly owned subsidiary of the Company (“Meger Sub”), and Bakkt Opco Holdings, LLC, a Delaware limited liability corporation (f/k/a Bakkt Holdings, LLC) (“Opco”).</w:t>
      </w:r>
    </w:p>
    <w:p>
      <w:pPr>
        <w:spacing w:after="0" w:line="10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F-77</w:t>
      </w:r>
    </w:p>
    <w:p>
      <w:pPr>
        <w:sectPr>
          <w:pgSz w:w="11900" w:h="16838" w:orient="portrait"/>
          <w:cols w:equalWidth="0" w:num="1">
            <w:col w:w="10620"/>
          </w:cols>
          <w:pgMar w:left="320" w:top="453" w:right="959" w:bottom="1440" w:gutter="0" w:footer="0" w:header="0"/>
        </w:sectPr>
      </w:pPr>
    </w:p>
    <w:bookmarkStart w:id="231" w:name="page232"/>
    <w:bookmarkEnd w:id="23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0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INFORMATION NOT REQUIRED IN PROSPECTUS</w:t>
      </w:r>
    </w:p>
    <w:p>
      <w:pPr>
        <w:spacing w:after="0" w:line="233" w:lineRule="exact"/>
        <w:rPr>
          <w:sz w:val="20"/>
          <w:szCs w:val="20"/>
          <w:color w:val="auto"/>
        </w:rPr>
      </w:pPr>
    </w:p>
    <w:p>
      <w:pPr>
        <w:ind w:left="620"/>
        <w:spacing w:after="0"/>
        <w:tabs>
          <w:tab w:leader="none" w:pos="160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Other Expenses of Issuance and Distribution</w:t>
      </w:r>
    </w:p>
    <w:p>
      <w:pPr>
        <w:spacing w:after="0" w:line="114" w:lineRule="exact"/>
        <w:rPr>
          <w:sz w:val="20"/>
          <w:szCs w:val="20"/>
          <w:color w:val="auto"/>
        </w:rPr>
      </w:pPr>
    </w:p>
    <w:p>
      <w:pPr>
        <w:ind w:left="620" w:right="120" w:firstLine="400"/>
        <w:spacing w:after="0" w:line="291" w:lineRule="auto"/>
        <w:rPr>
          <w:sz w:val="20"/>
          <w:szCs w:val="20"/>
          <w:color w:val="auto"/>
        </w:rPr>
      </w:pPr>
      <w:r>
        <w:rPr>
          <w:rFonts w:ascii="Times New Roman" w:cs="Times New Roman" w:eastAsia="Times New Roman" w:hAnsi="Times New Roman"/>
          <w:sz w:val="16"/>
          <w:szCs w:val="16"/>
          <w:color w:val="auto"/>
        </w:rPr>
        <w:t>The following table sets forth all expenses to be paid by us in connection with this registration statement and the listing of our Class A Common Stock and Warrants, other than underwriting discounts and commissions.</w:t>
      </w:r>
    </w:p>
    <w:p>
      <w:pPr>
        <w:sectPr>
          <w:pgSz w:w="11900" w:h="16838" w:orient="portrait"/>
          <w:cols w:equalWidth="0" w:num="1">
            <w:col w:w="10560"/>
          </w:cols>
          <w:pgMar w:left="320" w:top="453" w:right="101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6"/>
          <w:szCs w:val="16"/>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-105410</wp:posOffset>
            </wp:positionV>
            <wp:extent cx="4311650" cy="1320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1650" cy="132080"/>
                    </a:xfrm>
                    <a:prstGeom prst="rect">
                      <a:avLst/>
                    </a:prstGeom>
                    <a:noFill/>
                  </pic:spPr>
                </pic:pic>
              </a:graphicData>
            </a:graphic>
          </wp:anchor>
        </w:drawing>
      </w:r>
    </w:p>
    <w:p>
      <w:pPr>
        <w:spacing w:after="0" w:line="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6"/>
          <w:szCs w:val="16"/>
          <w:color w:val="auto"/>
        </w:rPr>
        <w:t>Stock exchange listing fee</w:t>
      </w:r>
    </w:p>
    <w:p>
      <w:pPr>
        <w:spacing w:after="0" w:line="2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6"/>
          <w:szCs w:val="16"/>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-115570</wp:posOffset>
            </wp:positionV>
            <wp:extent cx="4311650" cy="1244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1650" cy="124460"/>
                    </a:xfrm>
                    <a:prstGeom prst="rect">
                      <a:avLst/>
                    </a:prstGeom>
                    <a:noFill/>
                  </pic:spPr>
                </pic:pic>
              </a:graphicData>
            </a:graphic>
          </wp:anchor>
        </w:drawing>
      </w:r>
    </w:p>
    <w:p>
      <w:pPr>
        <w:ind w:left="2220"/>
        <w:spacing w:after="0"/>
        <w:rPr>
          <w:sz w:val="20"/>
          <w:szCs w:val="20"/>
          <w:color w:val="auto"/>
        </w:rPr>
      </w:pPr>
      <w:r>
        <w:rPr>
          <w:rFonts w:ascii="Times New Roman" w:cs="Times New Roman" w:eastAsia="Times New Roman" w:hAnsi="Times New Roman"/>
          <w:sz w:val="16"/>
          <w:szCs w:val="16"/>
          <w:color w:val="auto"/>
        </w:rPr>
        <w:t>Accounting fees and expenses</w:t>
      </w:r>
    </w:p>
    <w:p>
      <w:pPr>
        <w:spacing w:after="0" w:line="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6"/>
          <w:szCs w:val="16"/>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-115570</wp:posOffset>
            </wp:positionV>
            <wp:extent cx="4311650" cy="1244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11650" cy="124460"/>
                    </a:xfrm>
                    <a:prstGeom prst="rect">
                      <a:avLst/>
                    </a:prstGeom>
                    <a:noFill/>
                  </pic:spPr>
                </pic:pic>
              </a:graphicData>
            </a:graphic>
          </wp:anchor>
        </w:drawing>
      </w:r>
    </w:p>
    <w:p>
      <w:pPr>
        <w:ind w:left="2220"/>
        <w:spacing w:after="0"/>
        <w:rPr>
          <w:sz w:val="20"/>
          <w:szCs w:val="20"/>
          <w:color w:val="auto"/>
        </w:rPr>
      </w:pPr>
      <w:r>
        <w:rPr>
          <w:rFonts w:ascii="Times New Roman" w:cs="Times New Roman" w:eastAsia="Times New Roman" w:hAnsi="Times New Roman"/>
          <w:sz w:val="16"/>
          <w:szCs w:val="16"/>
          <w:color w:val="auto"/>
        </w:rPr>
        <w:t>Transfer agent and registrar fees and expenses</w:t>
      </w:r>
    </w:p>
    <w:p>
      <w:pPr>
        <w:spacing w:after="0" w:line="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6"/>
          <w:szCs w:val="16"/>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-115570</wp:posOffset>
            </wp:positionV>
            <wp:extent cx="4311650" cy="1244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1650" cy="124460"/>
                    </a:xfrm>
                    <a:prstGeom prst="rect">
                      <a:avLst/>
                    </a:prstGeom>
                    <a:noFill/>
                  </pic:spPr>
                </pic:pic>
              </a:graphicData>
            </a:graphic>
          </wp:anchor>
        </w:drawing>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127000</wp:posOffset>
            </wp:positionV>
            <wp:extent cx="70040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3"/>
          <w:szCs w:val="13"/>
          <w:b w:val="1"/>
          <w:bCs w:val="1"/>
          <w:color w:val="auto"/>
        </w:rPr>
        <w:t>Amount Paid or</w:t>
      </w:r>
    </w:p>
    <w:p>
      <w:pPr>
        <w:spacing w:after="0" w:line="1"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3"/>
          <w:szCs w:val="13"/>
          <w:b w:val="1"/>
          <w:bCs w:val="1"/>
          <w:color w:val="auto"/>
        </w:rPr>
        <w:t>to be Paid</w:t>
      </w:r>
    </w:p>
    <w:p>
      <w:pPr>
        <w:spacing w:after="0" w:line="5" w:lineRule="exact"/>
        <w:rPr>
          <w:sz w:val="20"/>
          <w:szCs w:val="20"/>
          <w:color w:val="auto"/>
        </w:rPr>
      </w:pPr>
    </w:p>
    <w:p>
      <w:pPr>
        <w:ind w:left="180" w:hanging="170"/>
        <w:spacing w:after="0"/>
        <w:tabs>
          <w:tab w:leader="none" w:pos="18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560,293.59</w:t>
      </w:r>
    </w:p>
    <w:p>
      <w:pPr>
        <w:spacing w:after="0" w:line="9" w:lineRule="exact"/>
        <w:rPr>
          <w:rFonts w:ascii="Times New Roman" w:cs="Times New Roman" w:eastAsia="Times New Roman" w:hAnsi="Times New Roman"/>
          <w:sz w:val="16"/>
          <w:szCs w:val="16"/>
          <w:color w:val="auto"/>
        </w:rPr>
      </w:pP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2" w:lineRule="exact"/>
        <w:rPr>
          <w:rFonts w:ascii="Times New Roman" w:cs="Times New Roman" w:eastAsia="Times New Roman" w:hAnsi="Times New Roman"/>
          <w:sz w:val="16"/>
          <w:szCs w:val="16"/>
          <w:color w:val="auto"/>
        </w:rPr>
      </w:pP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2" w:lineRule="exact"/>
        <w:rPr>
          <w:rFonts w:ascii="Times New Roman" w:cs="Times New Roman" w:eastAsia="Times New Roman" w:hAnsi="Times New Roman"/>
          <w:sz w:val="16"/>
          <w:szCs w:val="16"/>
          <w:color w:val="auto"/>
        </w:rPr>
      </w:pP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2" w:lineRule="exact"/>
        <w:rPr>
          <w:rFonts w:ascii="Times New Roman" w:cs="Times New Roman" w:eastAsia="Times New Roman" w:hAnsi="Times New Roman"/>
          <w:sz w:val="16"/>
          <w:szCs w:val="16"/>
          <w:color w:val="auto"/>
        </w:rPr>
      </w:pP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2" w:lineRule="exact"/>
        <w:rPr>
          <w:rFonts w:ascii="Times New Roman" w:cs="Times New Roman" w:eastAsia="Times New Roman" w:hAnsi="Times New Roman"/>
          <w:sz w:val="16"/>
          <w:szCs w:val="16"/>
          <w:color w:val="auto"/>
        </w:rPr>
      </w:pP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2" w:lineRule="exact"/>
        <w:rPr>
          <w:rFonts w:ascii="Times New Roman" w:cs="Times New Roman" w:eastAsia="Times New Roman" w:hAnsi="Times New Roman"/>
          <w:sz w:val="16"/>
          <w:szCs w:val="16"/>
          <w:color w:val="auto"/>
        </w:rPr>
      </w:pP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7594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5945" cy="7620"/>
                    </a:xfrm>
                    <a:prstGeom prst="rect">
                      <a:avLst/>
                    </a:prstGeom>
                    <a:noFill/>
                  </pic:spPr>
                </pic:pic>
              </a:graphicData>
            </a:graphic>
          </wp:anchor>
        </w:drawing>
      </w:r>
    </w:p>
    <w:p>
      <w:pPr>
        <w:spacing w:after="0" w:line="1" w:lineRule="exact"/>
        <w:rPr>
          <w:sz w:val="20"/>
          <w:szCs w:val="20"/>
          <w:color w:val="auto"/>
        </w:rPr>
      </w:pPr>
    </w:p>
    <w:p>
      <w:pPr>
        <w:ind w:left="920" w:hanging="910"/>
        <w:spacing w:after="0"/>
        <w:tabs>
          <w:tab w:leader="none" w:pos="9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18415</wp:posOffset>
            </wp:positionV>
            <wp:extent cx="57594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5945"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7594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594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2580"/>
          </w:cols>
          <w:pgMar w:left="320" w:top="453" w:right="1019" w:bottom="1440" w:gutter="0" w:footer="0" w:header="0"/>
          <w:type w:val="continuous"/>
        </w:sectPr>
      </w:pPr>
    </w:p>
    <w:p>
      <w:pPr>
        <w:spacing w:after="0" w:line="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  These fees are calculated based on the securities offered and the number of issuances and accordingly cannot be defined at this time.</w:t>
      </w:r>
    </w:p>
    <w:p>
      <w:pPr>
        <w:spacing w:after="0" w:line="339" w:lineRule="exact"/>
        <w:rPr>
          <w:sz w:val="20"/>
          <w:szCs w:val="20"/>
          <w:color w:val="auto"/>
        </w:rPr>
      </w:pPr>
    </w:p>
    <w:p>
      <w:pPr>
        <w:ind w:left="620"/>
        <w:spacing w:after="0"/>
        <w:tabs>
          <w:tab w:leader="none" w:pos="160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Indemnification of Directors and Officers</w:t>
      </w:r>
    </w:p>
    <w:p>
      <w:pPr>
        <w:spacing w:after="0" w:line="114" w:lineRule="exact"/>
        <w:rPr>
          <w:sz w:val="20"/>
          <w:szCs w:val="20"/>
          <w:color w:val="auto"/>
        </w:rPr>
      </w:pPr>
    </w:p>
    <w:p>
      <w:pPr>
        <w:ind w:left="620" w:right="280"/>
        <w:spacing w:after="0" w:line="291" w:lineRule="auto"/>
        <w:rPr>
          <w:sz w:val="20"/>
          <w:szCs w:val="20"/>
          <w:color w:val="auto"/>
        </w:rPr>
      </w:pPr>
      <w:r>
        <w:rPr>
          <w:rFonts w:ascii="Times New Roman" w:cs="Times New Roman" w:eastAsia="Times New Roman" w:hAnsi="Times New Roman"/>
          <w:sz w:val="16"/>
          <w:szCs w:val="16"/>
          <w:color w:val="auto"/>
        </w:rPr>
        <w:t>Section 145 of the DGCL authorizes a corporation’s board of directors to grant, and authorizes a court to award, indemnity to officers, directors and other corporate agents.</w:t>
      </w:r>
    </w:p>
    <w:p>
      <w:pPr>
        <w:spacing w:after="0" w:line="142" w:lineRule="exact"/>
        <w:rPr>
          <w:sz w:val="20"/>
          <w:szCs w:val="20"/>
          <w:color w:val="auto"/>
        </w:rPr>
      </w:pPr>
    </w:p>
    <w:p>
      <w:pPr>
        <w:jc w:val="both"/>
        <w:ind w:left="620" w:right="160"/>
        <w:spacing w:after="0" w:line="273" w:lineRule="auto"/>
        <w:rPr>
          <w:sz w:val="20"/>
          <w:szCs w:val="20"/>
          <w:color w:val="auto"/>
        </w:rPr>
      </w:pPr>
      <w:r>
        <w:rPr>
          <w:rFonts w:ascii="Times New Roman" w:cs="Times New Roman" w:eastAsia="Times New Roman" w:hAnsi="Times New Roman"/>
          <w:sz w:val="16"/>
          <w:szCs w:val="16"/>
          <w:color w:val="auto"/>
        </w:rPr>
        <w:t>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71" w:lineRule="exact"/>
        <w:rPr>
          <w:sz w:val="20"/>
          <w:szCs w:val="20"/>
          <w:color w:val="auto"/>
        </w:rPr>
      </w:pPr>
    </w:p>
    <w:p>
      <w:pPr>
        <w:ind w:left="1500" w:hanging="387"/>
        <w:spacing w:after="0"/>
        <w:tabs>
          <w:tab w:leader="none" w:pos="150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breach of their duty of loyalty to our company or our stockholders;</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 or omission not in good faith or that involves intentional misconduct or a knowing violation of law;</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unlawful payments of dividends or unlawful stock repurchases or redemptions as provided in Section 174 of the DGCL; or</w:t>
      </w:r>
    </w:p>
    <w:p>
      <w:pPr>
        <w:spacing w:after="0" w:line="122" w:lineRule="exact"/>
        <w:rPr>
          <w:rFonts w:ascii="Times New Roman" w:cs="Times New Roman" w:eastAsia="Times New Roman" w:hAnsi="Times New Roman"/>
          <w:sz w:val="16"/>
          <w:szCs w:val="16"/>
          <w:color w:val="auto"/>
        </w:rPr>
      </w:pPr>
    </w:p>
    <w:p>
      <w:pPr>
        <w:ind w:left="1500" w:hanging="387"/>
        <w:spacing w:after="0"/>
        <w:tabs>
          <w:tab w:leader="none" w:pos="150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 from which they derived an improper personal benefit.</w:t>
      </w:r>
    </w:p>
    <w:p>
      <w:pPr>
        <w:spacing w:after="0" w:line="208" w:lineRule="exact"/>
        <w:rPr>
          <w:sz w:val="20"/>
          <w:szCs w:val="20"/>
          <w:color w:val="auto"/>
        </w:rPr>
      </w:pPr>
    </w:p>
    <w:p>
      <w:pPr>
        <w:jc w:val="both"/>
        <w:ind w:left="620" w:right="160"/>
        <w:spacing w:after="0" w:line="273" w:lineRule="auto"/>
        <w:rPr>
          <w:sz w:val="20"/>
          <w:szCs w:val="20"/>
          <w:color w:val="auto"/>
        </w:rPr>
      </w:pPr>
      <w:r>
        <w:rPr>
          <w:rFonts w:ascii="Times New Roman" w:cs="Times New Roman" w:eastAsia="Times New Roman" w:hAnsi="Times New Roman"/>
          <w:sz w:val="16"/>
          <w:szCs w:val="16"/>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w:t>
      </w:r>
    </w:p>
    <w:p>
      <w:pPr>
        <w:spacing w:after="0" w:line="157"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6"/>
          <w:szCs w:val="16"/>
          <w:color w:val="auto"/>
        </w:rPr>
        <w:t>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II-1</w:t>
      </w:r>
    </w:p>
    <w:p>
      <w:pPr>
        <w:sectPr>
          <w:pgSz w:w="11900" w:h="16838" w:orient="portrait"/>
          <w:cols w:equalWidth="0" w:num="1">
            <w:col w:w="10560"/>
          </w:cols>
          <w:pgMar w:left="320" w:top="453" w:right="1019" w:bottom="1440" w:gutter="0" w:footer="0" w:header="0"/>
          <w:type w:val="continuous"/>
        </w:sectPr>
      </w:pPr>
    </w:p>
    <w:bookmarkStart w:id="232" w:name="page233"/>
    <w:bookmarkEnd w:id="23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right="20"/>
        <w:spacing w:after="0" w:line="264" w:lineRule="auto"/>
        <w:rPr>
          <w:sz w:val="20"/>
          <w:szCs w:val="20"/>
          <w:color w:val="auto"/>
        </w:rPr>
      </w:pPr>
      <w:r>
        <w:rPr>
          <w:rFonts w:ascii="Times New Roman" w:cs="Times New Roman" w:eastAsia="Times New Roman" w:hAnsi="Times New Roman"/>
          <w:sz w:val="16"/>
          <w:szCs w:val="16"/>
          <w:color w:val="auto"/>
        </w:rPr>
        <w:t>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65"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6"/>
          <w:szCs w:val="16"/>
          <w:color w:val="auto"/>
        </w:rPr>
        <w:t>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365" w:lineRule="exact"/>
        <w:rPr>
          <w:sz w:val="20"/>
          <w:szCs w:val="20"/>
          <w:color w:val="auto"/>
        </w:rPr>
      </w:pPr>
    </w:p>
    <w:p>
      <w:pPr>
        <w:ind w:left="620" w:right="60"/>
        <w:spacing w:after="0" w:line="267" w:lineRule="auto"/>
        <w:rPr>
          <w:sz w:val="20"/>
          <w:szCs w:val="20"/>
          <w:color w:val="auto"/>
        </w:rPr>
      </w:pPr>
      <w:r>
        <w:rPr>
          <w:rFonts w:ascii="Times New Roman" w:cs="Times New Roman" w:eastAsia="Times New Roman" w:hAnsi="Times New Roman"/>
          <w:sz w:val="16"/>
          <w:szCs w:val="16"/>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62" w:lineRule="exact"/>
        <w:rPr>
          <w:sz w:val="20"/>
          <w:szCs w:val="20"/>
          <w:color w:val="auto"/>
        </w:rPr>
      </w:pPr>
    </w:p>
    <w:p>
      <w:pPr>
        <w:ind w:left="620" w:right="260"/>
        <w:spacing w:after="0" w:line="291" w:lineRule="auto"/>
        <w:rPr>
          <w:sz w:val="20"/>
          <w:szCs w:val="20"/>
          <w:color w:val="auto"/>
        </w:rPr>
      </w:pPr>
      <w:r>
        <w:rPr>
          <w:rFonts w:ascii="Times New Roman" w:cs="Times New Roman" w:eastAsia="Times New Roman" w:hAnsi="Times New Roman"/>
          <w:sz w:val="16"/>
          <w:szCs w:val="16"/>
          <w:color w:val="auto"/>
        </w:rPr>
        <w:t>Certain of our non-employee directors may, through their relationships with their employers, be insured and/or indemnified against certain liabilities incurred in their capacity as members of the Board.</w:t>
      </w:r>
    </w:p>
    <w:p>
      <w:pPr>
        <w:spacing w:after="0" w:line="142" w:lineRule="exact"/>
        <w:rPr>
          <w:sz w:val="20"/>
          <w:szCs w:val="20"/>
          <w:color w:val="auto"/>
        </w:rPr>
      </w:pPr>
    </w:p>
    <w:p>
      <w:pPr>
        <w:ind w:left="620" w:right="80"/>
        <w:spacing w:after="0" w:line="273"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87" w:lineRule="exact"/>
        <w:rPr>
          <w:sz w:val="20"/>
          <w:szCs w:val="20"/>
          <w:color w:val="auto"/>
        </w:rPr>
      </w:pPr>
    </w:p>
    <w:p>
      <w:pPr>
        <w:ind w:left="620"/>
        <w:spacing w:after="0"/>
        <w:tabs>
          <w:tab w:leader="none" w:pos="160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Recent Sales of Unregistered Securities</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Class B Ordinary Shares</w:t>
      </w:r>
    </w:p>
    <w:p>
      <w:pPr>
        <w:spacing w:after="0" w:line="114" w:lineRule="exact"/>
        <w:rPr>
          <w:sz w:val="20"/>
          <w:szCs w:val="20"/>
          <w:color w:val="auto"/>
        </w:rPr>
      </w:pPr>
    </w:p>
    <w:p>
      <w:pPr>
        <w:ind w:left="620" w:right="60"/>
        <w:spacing w:after="0" w:line="264" w:lineRule="auto"/>
        <w:rPr>
          <w:sz w:val="20"/>
          <w:szCs w:val="20"/>
          <w:color w:val="auto"/>
        </w:rPr>
      </w:pPr>
      <w:r>
        <w:rPr>
          <w:rFonts w:ascii="Times New Roman" w:cs="Times New Roman" w:eastAsia="Times New Roman" w:hAnsi="Times New Roman"/>
          <w:sz w:val="16"/>
          <w:szCs w:val="16"/>
          <w:color w:val="auto"/>
        </w:rPr>
        <w:t>In August 2020, the Sponsor purchased 5,750,000 Class B Ordinary Shares for an aggregate purchase price of $25,000, or approximately $0.004 per share. In September 2020, the Sponsor transferred an aggregate of 60,000 Class B Ordinary Shares to the then-members of the Board, resulting in the Sponsor holding 5,690,000 Class B Ordinary Shares. As a result of the underwriters’ not exercising the over-allotment option in full in connection with the IPO, 585,700 Class B Ordinary Shares were forfeited, resulting in an aggregate of 5,184,300 Class B Ordinary Shares then-issued and outstanding. In connection with the Closing, such Class B Ordinary Shares automatically converted into shares of Class A Common Stock on a one-for-one basis.</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Private Placement of Warrants</w:t>
      </w:r>
    </w:p>
    <w:p>
      <w:pPr>
        <w:spacing w:after="0" w:line="114" w:lineRule="exact"/>
        <w:rPr>
          <w:sz w:val="20"/>
          <w:szCs w:val="20"/>
          <w:color w:val="auto"/>
        </w:rPr>
      </w:pPr>
    </w:p>
    <w:p>
      <w:pPr>
        <w:ind w:left="620" w:right="40"/>
        <w:spacing w:after="0" w:line="291" w:lineRule="auto"/>
        <w:rPr>
          <w:sz w:val="20"/>
          <w:szCs w:val="20"/>
          <w:color w:val="auto"/>
        </w:rPr>
      </w:pPr>
      <w:r>
        <w:rPr>
          <w:rFonts w:ascii="Times New Roman" w:cs="Times New Roman" w:eastAsia="Times New Roman" w:hAnsi="Times New Roman"/>
          <w:sz w:val="16"/>
          <w:szCs w:val="16"/>
          <w:color w:val="auto"/>
        </w:rPr>
        <w:t>Simultaneously with the IPO, we consummated the sale to the Sponsor of the 6,147,440 Private Placement Warrants, at a price of at a price of $1.00 per Private Placement Warrant, for aggregate gross proceeds of $6,147,440.</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PIPE Shares</w:t>
      </w:r>
    </w:p>
    <w:p>
      <w:pPr>
        <w:spacing w:after="0" w:line="114" w:lineRule="exact"/>
        <w:rPr>
          <w:sz w:val="20"/>
          <w:szCs w:val="20"/>
          <w:color w:val="auto"/>
        </w:rPr>
      </w:pPr>
    </w:p>
    <w:p>
      <w:pPr>
        <w:ind w:left="620" w:right="60"/>
        <w:spacing w:after="0" w:line="273" w:lineRule="auto"/>
        <w:rPr>
          <w:sz w:val="20"/>
          <w:szCs w:val="20"/>
          <w:color w:val="auto"/>
        </w:rPr>
      </w:pPr>
      <w:r>
        <w:rPr>
          <w:rFonts w:ascii="Times New Roman" w:cs="Times New Roman" w:eastAsia="Times New Roman" w:hAnsi="Times New Roman"/>
          <w:sz w:val="16"/>
          <w:szCs w:val="16"/>
          <w:color w:val="auto"/>
        </w:rPr>
        <w:t>Concurrently with the execution of the Merger Agreement, we entered into Subscription Agreements with certain qualified institutional buyers and accredited investors, pursuant to which, at the Closing, the investors purchased an aggregate of 32,500,000 shares of Class A Common Stock, at a price of $10.00 per share, for aggregate gross proceeds of $325 million.</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II-2</w:t>
      </w:r>
    </w:p>
    <w:p>
      <w:pPr>
        <w:sectPr>
          <w:pgSz w:w="11900" w:h="16838" w:orient="portrait"/>
          <w:cols w:equalWidth="0" w:num="1">
            <w:col w:w="10580"/>
          </w:cols>
          <w:pgMar w:left="320" w:top="453" w:right="999" w:bottom="1440" w:gutter="0" w:footer="0" w:header="0"/>
        </w:sectPr>
      </w:pPr>
    </w:p>
    <w:bookmarkStart w:id="233" w:name="page234"/>
    <w:bookmarkEnd w:id="23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Merger Consideration</w:t>
      </w:r>
    </w:p>
    <w:p>
      <w:pPr>
        <w:spacing w:after="0" w:line="114" w:lineRule="exact"/>
        <w:rPr>
          <w:sz w:val="20"/>
          <w:szCs w:val="20"/>
          <w:color w:val="auto"/>
        </w:rPr>
      </w:pPr>
    </w:p>
    <w:p>
      <w:pPr>
        <w:ind w:left="620" w:right="140"/>
        <w:spacing w:after="0" w:line="267" w:lineRule="auto"/>
        <w:rPr>
          <w:sz w:val="20"/>
          <w:szCs w:val="20"/>
          <w:color w:val="auto"/>
        </w:rPr>
      </w:pPr>
      <w:r>
        <w:rPr>
          <w:rFonts w:ascii="Times New Roman" w:cs="Times New Roman" w:eastAsia="Times New Roman" w:hAnsi="Times New Roman"/>
          <w:sz w:val="16"/>
          <w:szCs w:val="16"/>
          <w:color w:val="auto"/>
        </w:rPr>
        <w:t>In connection with the Merger, we issued or reserved for issuance an aggregate of 208,200,000 shares of Class V Common Stock (paired with an equal number of Opco Common Units) to Opco Equity Holders in exchange for all outstanding limited liability units of Opco prior to the Business Combination, and as of March 25, 2022, 206,003,270 of which were outstanding and 793,352 of which could have been acquired upon the exercise of outstanding of warrants of Opco.</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“Cashless Exercise” of Private Placement Warrants</w:t>
      </w:r>
    </w:p>
    <w:p>
      <w:pPr>
        <w:spacing w:after="0" w:line="114" w:lineRule="exact"/>
        <w:rPr>
          <w:sz w:val="20"/>
          <w:szCs w:val="20"/>
          <w:color w:val="auto"/>
        </w:rPr>
      </w:pPr>
    </w:p>
    <w:p>
      <w:pPr>
        <w:ind w:left="620" w:right="160"/>
        <w:spacing w:after="0" w:line="273" w:lineRule="auto"/>
        <w:rPr>
          <w:sz w:val="20"/>
          <w:szCs w:val="20"/>
          <w:color w:val="auto"/>
        </w:rPr>
      </w:pPr>
      <w:r>
        <w:rPr>
          <w:rFonts w:ascii="Times New Roman" w:cs="Times New Roman" w:eastAsia="Times New Roman" w:hAnsi="Times New Roman"/>
          <w:sz w:val="16"/>
          <w:szCs w:val="16"/>
          <w:color w:val="auto"/>
        </w:rPr>
        <w:t>On November 17, 2021, in accordance with the terms of the Warrant Agreement, the Company issued and delivered 3,967,362 shares of Class A Common Stock to the Sponsor in satisfaction of the “cashless exercise” of all 6,147,440 of the Private Placement Warrants. The Company received no consideration from the delivery of such shares.</w:t>
      </w:r>
    </w:p>
    <w:p>
      <w:pPr>
        <w:spacing w:after="0" w:line="157" w:lineRule="exact"/>
        <w:rPr>
          <w:sz w:val="20"/>
          <w:szCs w:val="20"/>
          <w:color w:val="auto"/>
        </w:rPr>
      </w:pPr>
    </w:p>
    <w:p>
      <w:pPr>
        <w:ind w:left="620" w:right="60"/>
        <w:spacing w:after="0" w:line="260" w:lineRule="auto"/>
        <w:rPr>
          <w:sz w:val="20"/>
          <w:szCs w:val="20"/>
          <w:color w:val="auto"/>
        </w:rPr>
      </w:pPr>
      <w:r>
        <w:rPr>
          <w:rFonts w:ascii="Times New Roman" w:cs="Times New Roman" w:eastAsia="Times New Roman" w:hAnsi="Times New Roman"/>
          <w:sz w:val="16"/>
          <w:szCs w:val="16"/>
          <w:color w:val="auto"/>
        </w:rPr>
        <w:t>No underwriting discounts or commissions were paid with respect to such sales. We believe the offers, sales and issuances of the above securities were exempt from registration under the Securities Act (or Regulation D or Regulation S promulgated thereunder) by virtue of Section 4(a)(2) of the Securities Act, as transactions by an issuer not involving any public offering and in which transactions we reasonably believed that each of the investors was an accredited investor acquiring securities for investment only and not with a view to or for sale in connection with any distribution thereof; or Section 3(a)(9) of the Securities Act as a security exchanged by an issuer with its existing security holders exclusively where no commission or other remuneration was paid or given directly or indirectly for soliciting such exchange. Legends were placed upon the stock certificates issued in these transactions, as appropriate. All recipients had adequate access, through their relationships with us, to information about us. The sales of these securities were made without any general solicitation or advertising.</w:t>
      </w:r>
    </w:p>
    <w:p>
      <w:pPr>
        <w:spacing w:after="0" w:line="301"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16.</w:t>
            </w:r>
          </w:p>
        </w:tc>
        <w:tc>
          <w:tcPr>
            <w:tcW w:w="9100" w:type="dxa"/>
            <w:vAlign w:val="bottom"/>
            <w:gridSpan w:val="13"/>
          </w:tcPr>
          <w:p>
            <w:pPr>
              <w:ind w:left="10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294"/>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(a) Exhibits</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20" w:type="dxa"/>
            <w:vAlign w:val="bottom"/>
            <w:gridSpan w:val="9"/>
          </w:tcPr>
          <w:p>
            <w:pPr>
              <w:ind w:left="200"/>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0" w:type="dxa"/>
            <w:vAlign w:val="bottom"/>
          </w:tcPr>
          <w:p>
            <w:pPr>
              <w:spacing w:after="0"/>
              <w:rPr>
                <w:sz w:val="1"/>
                <w:szCs w:val="1"/>
                <w:color w:val="auto"/>
              </w:rPr>
            </w:pPr>
          </w:p>
        </w:tc>
      </w:tr>
      <w:tr>
        <w:trPr>
          <w:trHeight w:val="334"/>
        </w:trPr>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20" w:type="dxa"/>
            <w:vAlign w:val="bottom"/>
            <w:gridSpan w:val="9"/>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1"/>
        </w:trPr>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20" w:type="dxa"/>
            <w:vAlign w:val="bottom"/>
            <w:tcBorders>
              <w:bottom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tcPr>
          <w:p>
            <w:pPr>
              <w:spacing w:after="0"/>
              <w:rPr>
                <w:sz w:val="21"/>
                <w:szCs w:val="21"/>
                <w:color w:val="auto"/>
              </w:rPr>
            </w:pPr>
          </w:p>
        </w:tc>
        <w:tc>
          <w:tcPr>
            <w:tcW w:w="8800" w:type="dxa"/>
            <w:vAlign w:val="bottom"/>
            <w:gridSpan w:val="12"/>
          </w:tcPr>
          <w:p>
            <w:pPr>
              <w:spacing w:after="0"/>
              <w:rPr>
                <w:rFonts w:ascii="Times New Roman" w:cs="Times New Roman" w:eastAsia="Times New Roman" w:hAnsi="Times New Roman"/>
                <w:sz w:val="16"/>
                <w:szCs w:val="16"/>
                <w:color w:val="0000EE"/>
              </w:rPr>
            </w:pPr>
            <w:hyperlink r:id="rId276">
              <w:r>
                <w:rPr>
                  <w:rFonts w:ascii="Times New Roman" w:cs="Times New Roman" w:eastAsia="Times New Roman" w:hAnsi="Times New Roman"/>
                  <w:sz w:val="16"/>
                  <w:szCs w:val="16"/>
                  <w:color w:val="0000EE"/>
                </w:rPr>
                <w:t>Agreement and Plan of Merger, dated January 11, 2021, by and among the Company, Merger Sub, and the Company (incorporated by</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140" w:type="dxa"/>
            <w:vAlign w:val="bottom"/>
            <w:tcBorders>
              <w:top w:val="single" w:sz="8" w:color="0000EE"/>
              <w:bottom w:val="single" w:sz="8" w:color="0000EE"/>
            </w:tcBorders>
            <w:gridSpan w:val="4"/>
          </w:tcPr>
          <w:p>
            <w:pPr>
              <w:spacing w:after="0" w:line="176" w:lineRule="exact"/>
              <w:rPr>
                <w:rFonts w:ascii="Times New Roman" w:cs="Times New Roman" w:eastAsia="Times New Roman" w:hAnsi="Times New Roman"/>
                <w:sz w:val="16"/>
                <w:szCs w:val="16"/>
                <w:color w:val="0000EE"/>
              </w:rPr>
            </w:pPr>
            <w:hyperlink r:id="rId276">
              <w:r>
                <w:rPr>
                  <w:rFonts w:ascii="Times New Roman" w:cs="Times New Roman" w:eastAsia="Times New Roman" w:hAnsi="Times New Roman"/>
                  <w:sz w:val="16"/>
                  <w:szCs w:val="16"/>
                  <w:color w:val="0000EE"/>
                </w:rPr>
                <w:t>reference to Exhibit 2.1 to the Company’s Form 8-K filed with the SEC on January 11, 2021).</w:t>
              </w:r>
            </w:hyperlink>
          </w:p>
        </w:tc>
        <w:tc>
          <w:tcPr>
            <w:tcW w:w="2600" w:type="dxa"/>
            <w:vAlign w:val="bottom"/>
            <w:tcBorders>
              <w:top w:val="single" w:sz="8" w:color="0000EE"/>
            </w:tcBorders>
            <w:gridSpan w:val="7"/>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2.2</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52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rPr>
            </w:pPr>
            <w:hyperlink r:id="rId277">
              <w:r>
                <w:rPr>
                  <w:rFonts w:ascii="Times New Roman" w:cs="Times New Roman" w:eastAsia="Times New Roman" w:hAnsi="Times New Roman"/>
                  <w:sz w:val="16"/>
                  <w:szCs w:val="16"/>
                  <w:color w:val="0000EE"/>
                </w:rPr>
                <w:t>Amendment to Agreement and Plan of Merger, dated March 30, 2021 by and among the Company, Merger Sub, and the Company</w:t>
              </w:r>
            </w:hyperlink>
          </w:p>
        </w:tc>
        <w:tc>
          <w:tcPr>
            <w:tcW w:w="28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0" w:type="dxa"/>
            <w:vAlign w:val="bottom"/>
            <w:gridSpan w:val="12"/>
          </w:tcPr>
          <w:p>
            <w:pPr>
              <w:spacing w:after="0" w:line="176" w:lineRule="exact"/>
              <w:rPr>
                <w:rFonts w:ascii="Times New Roman" w:cs="Times New Roman" w:eastAsia="Times New Roman" w:hAnsi="Times New Roman"/>
                <w:sz w:val="16"/>
                <w:szCs w:val="16"/>
                <w:color w:val="0000EE"/>
              </w:rPr>
            </w:pPr>
            <w:hyperlink r:id="rId277">
              <w:r>
                <w:rPr>
                  <w:rFonts w:ascii="Times New Roman" w:cs="Times New Roman" w:eastAsia="Times New Roman" w:hAnsi="Times New Roman"/>
                  <w:sz w:val="16"/>
                  <w:szCs w:val="16"/>
                  <w:color w:val="0000EE"/>
                </w:rPr>
                <w:t>(incorporated by reference to Exhibit 2.1 to the Company’s Form 8- filed with the SEC on March 31,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2.3</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rPr>
            </w:pPr>
            <w:hyperlink r:id="rId278">
              <w:r>
                <w:rPr>
                  <w:rFonts w:ascii="Times New Roman" w:cs="Times New Roman" w:eastAsia="Times New Roman" w:hAnsi="Times New Roman"/>
                  <w:sz w:val="16"/>
                  <w:szCs w:val="16"/>
                  <w:color w:val="0000EE"/>
                </w:rPr>
                <w:t>Amendment to Agreement and Plan of Merger, dated September 29, 2021 by and among the Company, Merger Sub, and the Company</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60" w:type="dxa"/>
            <w:vAlign w:val="bottom"/>
            <w:tcBorders>
              <w:bottom w:val="single" w:sz="8" w:color="0000EE"/>
            </w:tcBorders>
            <w:gridSpan w:val="6"/>
          </w:tcPr>
          <w:p>
            <w:pPr>
              <w:spacing w:after="0" w:line="176" w:lineRule="exact"/>
              <w:rPr>
                <w:rFonts w:ascii="Times New Roman" w:cs="Times New Roman" w:eastAsia="Times New Roman" w:hAnsi="Times New Roman"/>
                <w:sz w:val="16"/>
                <w:szCs w:val="16"/>
                <w:color w:val="0000EE"/>
              </w:rPr>
            </w:pPr>
            <w:hyperlink r:id="rId278">
              <w:r>
                <w:rPr>
                  <w:rFonts w:ascii="Times New Roman" w:cs="Times New Roman" w:eastAsia="Times New Roman" w:hAnsi="Times New Roman"/>
                  <w:sz w:val="16"/>
                  <w:szCs w:val="16"/>
                  <w:color w:val="0000EE"/>
                </w:rPr>
                <w:t>(incorporated by reference to Exhibit 2.1 to the Company’s Form 8-K filed with the SEC on September 30, 2021).</w:t>
              </w:r>
            </w:hyperlink>
          </w:p>
        </w:tc>
        <w:tc>
          <w:tcPr>
            <w:tcW w:w="13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3.1</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0" w:type="dxa"/>
            <w:vAlign w:val="bottom"/>
            <w:gridSpan w:val="12"/>
          </w:tcPr>
          <w:p>
            <w:pPr>
              <w:spacing w:after="0"/>
              <w:rPr>
                <w:rFonts w:ascii="Times New Roman" w:cs="Times New Roman" w:eastAsia="Times New Roman" w:hAnsi="Times New Roman"/>
                <w:sz w:val="16"/>
                <w:szCs w:val="16"/>
                <w:color w:val="0000EE"/>
              </w:rPr>
            </w:pPr>
            <w:hyperlink r:id="rId279">
              <w:r>
                <w:rPr>
                  <w:rFonts w:ascii="Times New Roman" w:cs="Times New Roman" w:eastAsia="Times New Roman" w:hAnsi="Times New Roman"/>
                  <w:sz w:val="16"/>
                  <w:szCs w:val="16"/>
                  <w:color w:val="0000EE"/>
                </w:rPr>
                <w:t>Certificate of Incorporation of the Company, as currently in effect (incorporated by reference to Exhibit 3.1 to the Company’s Form</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0" w:type="dxa"/>
            <w:vAlign w:val="bottom"/>
            <w:tcBorders>
              <w:top w:val="single" w:sz="8" w:color="0000EE"/>
            </w:tcBorders>
            <w:gridSpan w:val="8"/>
          </w:tcPr>
          <w:p>
            <w:pPr>
              <w:spacing w:after="0" w:line="176" w:lineRule="exact"/>
              <w:rPr>
                <w:rFonts w:ascii="Times New Roman" w:cs="Times New Roman" w:eastAsia="Times New Roman" w:hAnsi="Times New Roman"/>
                <w:sz w:val="16"/>
                <w:szCs w:val="16"/>
                <w:color w:val="0000EE"/>
              </w:rPr>
            </w:pPr>
            <w:hyperlink r:id="rId279">
              <w:r>
                <w:rPr>
                  <w:rFonts w:ascii="Times New Roman" w:cs="Times New Roman" w:eastAsia="Times New Roman" w:hAnsi="Times New Roman"/>
                  <w:sz w:val="16"/>
                  <w:szCs w:val="16"/>
                  <w:color w:val="0000EE"/>
                </w:rPr>
                <w:t>8-K filed with the SEC on October 21, 2021).</w:t>
              </w:r>
            </w:hyperlink>
          </w:p>
        </w:tc>
        <w:tc>
          <w:tcPr>
            <w:tcW w:w="2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3.2</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20" w:type="dxa"/>
            <w:vAlign w:val="bottom"/>
            <w:tcBorders>
              <w:bottom w:val="single" w:sz="8" w:color="0000EE"/>
            </w:tcBorders>
            <w:gridSpan w:val="9"/>
          </w:tcPr>
          <w:p>
            <w:pPr>
              <w:spacing w:after="0"/>
              <w:rPr>
                <w:rFonts w:ascii="Times New Roman" w:cs="Times New Roman" w:eastAsia="Times New Roman" w:hAnsi="Times New Roman"/>
                <w:sz w:val="16"/>
                <w:szCs w:val="16"/>
                <w:color w:val="0000EE"/>
              </w:rPr>
            </w:pPr>
            <w:hyperlink r:id="rId280">
              <w:r>
                <w:rPr>
                  <w:rFonts w:ascii="Times New Roman" w:cs="Times New Roman" w:eastAsia="Times New Roman" w:hAnsi="Times New Roman"/>
                  <w:sz w:val="16"/>
                  <w:szCs w:val="16"/>
                  <w:color w:val="0000EE"/>
                </w:rPr>
                <w:t>By-Laws of the Company, as currently in effect (incorporated by reference to Exhibit 3.2 to the Company’s Form 8-K filed with the</w:t>
              </w:r>
            </w:hyperlink>
          </w:p>
        </w:tc>
        <w:tc>
          <w:tcPr>
            <w:tcW w:w="18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0" w:type="dxa"/>
            <w:vAlign w:val="bottom"/>
            <w:gridSpan w:val="12"/>
          </w:tcPr>
          <w:p>
            <w:pPr>
              <w:spacing w:after="0" w:line="176" w:lineRule="exact"/>
              <w:rPr>
                <w:rFonts w:ascii="Times New Roman" w:cs="Times New Roman" w:eastAsia="Times New Roman" w:hAnsi="Times New Roman"/>
                <w:sz w:val="16"/>
                <w:szCs w:val="16"/>
                <w:color w:val="0000EE"/>
              </w:rPr>
            </w:pPr>
            <w:hyperlink r:id="rId280">
              <w:r>
                <w:rPr>
                  <w:rFonts w:ascii="Times New Roman" w:cs="Times New Roman" w:eastAsia="Times New Roman" w:hAnsi="Times New Roman"/>
                  <w:sz w:val="16"/>
                  <w:szCs w:val="16"/>
                  <w:color w:val="0000EE"/>
                </w:rPr>
                <w:t>SEC on October 21,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6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4.1</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0" w:type="dxa"/>
            <w:vAlign w:val="bottom"/>
            <w:gridSpan w:val="12"/>
          </w:tcPr>
          <w:p>
            <w:pPr>
              <w:spacing w:after="0"/>
              <w:rPr>
                <w:rFonts w:ascii="Times New Roman" w:cs="Times New Roman" w:eastAsia="Times New Roman" w:hAnsi="Times New Roman"/>
                <w:sz w:val="16"/>
                <w:szCs w:val="16"/>
                <w:color w:val="0000EE"/>
              </w:rPr>
            </w:pPr>
            <w:hyperlink r:id="rId281">
              <w:r>
                <w:rPr>
                  <w:rFonts w:ascii="Times New Roman" w:cs="Times New Roman" w:eastAsia="Times New Roman" w:hAnsi="Times New Roman"/>
                  <w:sz w:val="16"/>
                  <w:szCs w:val="16"/>
                  <w:color w:val="0000EE"/>
                </w:rPr>
                <w:t>Specimen Class A Common Stock Certificate of the Company (incorporated by reference to Exhibit 4.1 to the Company’s Form 8-K</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tcBorders>
              <w:top w:val="single" w:sz="8" w:color="0000EE"/>
              <w:bottom w:val="single" w:sz="8" w:color="0000EE"/>
            </w:tcBorders>
            <w:gridSpan w:val="2"/>
          </w:tcPr>
          <w:p>
            <w:pPr>
              <w:spacing w:after="0" w:line="176" w:lineRule="exact"/>
              <w:rPr>
                <w:rFonts w:ascii="Times New Roman" w:cs="Times New Roman" w:eastAsia="Times New Roman" w:hAnsi="Times New Roman"/>
                <w:sz w:val="16"/>
                <w:szCs w:val="16"/>
                <w:color w:val="0000EE"/>
              </w:rPr>
            </w:pPr>
            <w:hyperlink r:id="rId281">
              <w:r>
                <w:rPr>
                  <w:rFonts w:ascii="Times New Roman" w:cs="Times New Roman" w:eastAsia="Times New Roman" w:hAnsi="Times New Roman"/>
                  <w:sz w:val="16"/>
                  <w:szCs w:val="16"/>
                  <w:color w:val="0000EE"/>
                </w:rPr>
                <w:t>filed with the SEC on October 21, 2021).</w:t>
              </w:r>
            </w:hyperlink>
          </w:p>
        </w:tc>
        <w:tc>
          <w:tcPr>
            <w:tcW w:w="5960" w:type="dxa"/>
            <w:vAlign w:val="bottom"/>
            <w:tcBorders>
              <w:top w:val="single" w:sz="8" w:color="0000EE"/>
            </w:tcBorders>
            <w:gridSpan w:val="8"/>
          </w:tcPr>
          <w:p>
            <w:pPr>
              <w:spacing w:after="0"/>
              <w:rPr>
                <w:sz w:val="15"/>
                <w:szCs w:val="15"/>
                <w:color w:val="auto"/>
              </w:rPr>
            </w:pPr>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II-3</w:t>
      </w:r>
    </w:p>
    <w:p>
      <w:pPr>
        <w:sectPr>
          <w:pgSz w:w="11900" w:h="16838" w:orient="portrait"/>
          <w:cols w:equalWidth="0" w:num="1">
            <w:col w:w="10620"/>
          </w:cols>
          <w:pgMar w:left="320" w:top="453" w:right="959" w:bottom="1440" w:gutter="0" w:footer="0" w:header="0"/>
        </w:sectPr>
      </w:pPr>
    </w:p>
    <w:bookmarkStart w:id="234" w:name="page235"/>
    <w:bookmarkEnd w:id="23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63"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100" w:type="dxa"/>
            <w:vAlign w:val="bottom"/>
            <w:gridSpan w:val="23"/>
            <w:vMerge w:val="restart"/>
          </w:tcPr>
          <w:p>
            <w:pPr>
              <w:ind w:left="13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1"/>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74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100" w:type="dxa"/>
            <w:vAlign w:val="bottom"/>
            <w:tcBorders>
              <w:bottom w:val="single" w:sz="8" w:color="auto"/>
            </w:tcBorders>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740" w:type="dxa"/>
            <w:vAlign w:val="bottom"/>
          </w:tcPr>
          <w:p>
            <w:pPr>
              <w:spacing w:after="0"/>
              <w:rPr>
                <w:sz w:val="21"/>
                <w:szCs w:val="21"/>
                <w:color w:val="auto"/>
              </w:rPr>
            </w:pPr>
          </w:p>
        </w:tc>
        <w:tc>
          <w:tcPr>
            <w:tcW w:w="8540" w:type="dxa"/>
            <w:vAlign w:val="bottom"/>
            <w:tcBorders>
              <w:bottom w:val="single" w:sz="8" w:color="0000EE"/>
            </w:tcBorders>
            <w:gridSpan w:val="19"/>
          </w:tcPr>
          <w:p>
            <w:pPr>
              <w:spacing w:after="0"/>
              <w:rPr>
                <w:rFonts w:ascii="Times New Roman" w:cs="Times New Roman" w:eastAsia="Times New Roman" w:hAnsi="Times New Roman"/>
                <w:sz w:val="16"/>
                <w:szCs w:val="16"/>
                <w:color w:val="0000EE"/>
              </w:rPr>
            </w:pPr>
            <w:hyperlink r:id="rId283">
              <w:r>
                <w:rPr>
                  <w:rFonts w:ascii="Times New Roman" w:cs="Times New Roman" w:eastAsia="Times New Roman" w:hAnsi="Times New Roman"/>
                  <w:sz w:val="16"/>
                  <w:szCs w:val="16"/>
                  <w:color w:val="0000EE"/>
                </w:rPr>
                <w:t>Specimen Warrant Certificate of the Company (incorporated by reference to Exhibit 4.2 to the Company’s Form 8-K filed with the</w:t>
              </w:r>
            </w:hyperlink>
          </w:p>
        </w:tc>
        <w:tc>
          <w:tcPr>
            <w:tcW w:w="26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gridSpan w:val="25"/>
          </w:tcPr>
          <w:p>
            <w:pPr>
              <w:spacing w:after="0" w:line="176" w:lineRule="exact"/>
              <w:rPr>
                <w:rFonts w:ascii="Times New Roman" w:cs="Times New Roman" w:eastAsia="Times New Roman" w:hAnsi="Times New Roman"/>
                <w:sz w:val="16"/>
                <w:szCs w:val="16"/>
                <w:color w:val="0000EE"/>
              </w:rPr>
            </w:pPr>
            <w:hyperlink r:id="rId283">
              <w:r>
                <w:rPr>
                  <w:rFonts w:ascii="Times New Roman" w:cs="Times New Roman" w:eastAsia="Times New Roman" w:hAnsi="Times New Roman"/>
                  <w:sz w:val="16"/>
                  <w:szCs w:val="16"/>
                  <w:color w:val="0000EE"/>
                </w:rPr>
                <w:t>SEC on October 21,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740" w:type="dxa"/>
            <w:vAlign w:val="bottom"/>
          </w:tcPr>
          <w:p>
            <w:pPr>
              <w:spacing w:after="0"/>
              <w:rPr>
                <w:sz w:val="23"/>
                <w:szCs w:val="23"/>
                <w:color w:val="auto"/>
              </w:rPr>
            </w:pPr>
          </w:p>
        </w:tc>
        <w:tc>
          <w:tcPr>
            <w:tcW w:w="862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rPr>
            </w:pPr>
            <w:hyperlink r:id="rId284">
              <w:r>
                <w:rPr>
                  <w:rFonts w:ascii="Times New Roman" w:cs="Times New Roman" w:eastAsia="Times New Roman" w:hAnsi="Times New Roman"/>
                  <w:sz w:val="16"/>
                  <w:szCs w:val="16"/>
                  <w:color w:val="0000EE"/>
                </w:rPr>
                <w:t>Warrant Agreement, dated September 22, 2020, by and between the Company and Continental Stock Transfer &amp; Trust Company, as</w:t>
              </w:r>
            </w:hyperlink>
          </w:p>
        </w:tc>
        <w:tc>
          <w:tcPr>
            <w:tcW w:w="18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gridSpan w:val="25"/>
          </w:tcPr>
          <w:p>
            <w:pPr>
              <w:spacing w:after="0" w:line="176" w:lineRule="exact"/>
              <w:rPr>
                <w:rFonts w:ascii="Times New Roman" w:cs="Times New Roman" w:eastAsia="Times New Roman" w:hAnsi="Times New Roman"/>
                <w:sz w:val="16"/>
                <w:szCs w:val="16"/>
                <w:color w:val="0000EE"/>
              </w:rPr>
            </w:pPr>
            <w:hyperlink r:id="rId284">
              <w:r>
                <w:rPr>
                  <w:rFonts w:ascii="Times New Roman" w:cs="Times New Roman" w:eastAsia="Times New Roman" w:hAnsi="Times New Roman"/>
                  <w:sz w:val="16"/>
                  <w:szCs w:val="16"/>
                  <w:color w:val="0000EE"/>
                </w:rPr>
                <w:t>warrant agent (incorporated by reference to Exhibit 4.1 of the Company’s Form 8-K filed with the SEC on September 28, 2020).</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740" w:type="dxa"/>
            <w:vAlign w:val="bottom"/>
          </w:tcPr>
          <w:p>
            <w:pPr>
              <w:spacing w:after="0"/>
              <w:rPr>
                <w:sz w:val="23"/>
                <w:szCs w:val="23"/>
                <w:color w:val="auto"/>
              </w:rPr>
            </w:pPr>
          </w:p>
        </w:tc>
        <w:tc>
          <w:tcPr>
            <w:tcW w:w="846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rPr>
            </w:pPr>
            <w:hyperlink r:id="rId285">
              <w:r>
                <w:rPr>
                  <w:rFonts w:ascii="Times New Roman" w:cs="Times New Roman" w:eastAsia="Times New Roman" w:hAnsi="Times New Roman"/>
                  <w:sz w:val="16"/>
                  <w:szCs w:val="16"/>
                  <w:color w:val="0000EE"/>
                </w:rPr>
                <w:t>Third Amended and Restated Limited Liability Company Agreement, dated October 15, 2021, by and among Opco and the Opco</w:t>
              </w:r>
            </w:hyperlink>
          </w:p>
        </w:tc>
        <w:tc>
          <w:tcPr>
            <w:tcW w:w="340" w:type="dxa"/>
            <w:vAlign w:val="bottom"/>
            <w:gridSpan w:val="9"/>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gridSpan w:val="25"/>
          </w:tcPr>
          <w:p>
            <w:pPr>
              <w:spacing w:after="0" w:line="176" w:lineRule="exact"/>
              <w:rPr>
                <w:rFonts w:ascii="Times New Roman" w:cs="Times New Roman" w:eastAsia="Times New Roman" w:hAnsi="Times New Roman"/>
                <w:sz w:val="16"/>
                <w:szCs w:val="16"/>
                <w:color w:val="0000EE"/>
              </w:rPr>
            </w:pPr>
            <w:hyperlink r:id="rId285">
              <w:r>
                <w:rPr>
                  <w:rFonts w:ascii="Times New Roman" w:cs="Times New Roman" w:eastAsia="Times New Roman" w:hAnsi="Times New Roman"/>
                  <w:sz w:val="16"/>
                  <w:szCs w:val="16"/>
                  <w:color w:val="0000EE"/>
                </w:rPr>
                <w:t>Equity Holders (incorporated by reference to Exhibit 4.3 to the Company’s Form 8-K filed with the SEC on October 21, 2021).</w:t>
              </w:r>
            </w:hyperlink>
          </w:p>
        </w:tc>
        <w:tc>
          <w:tcPr>
            <w:tcW w:w="0" w:type="dxa"/>
            <w:vAlign w:val="bottom"/>
          </w:tcPr>
          <w:p>
            <w:pPr>
              <w:spacing w:after="0"/>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740" w:type="dxa"/>
            <w:vAlign w:val="bottom"/>
          </w:tcPr>
          <w:p>
            <w:pPr>
              <w:spacing w:after="0"/>
              <w:rPr>
                <w:sz w:val="23"/>
                <w:szCs w:val="23"/>
                <w:color w:val="auto"/>
              </w:rPr>
            </w:pPr>
          </w:p>
        </w:tc>
        <w:tc>
          <w:tcPr>
            <w:tcW w:w="8320" w:type="dxa"/>
            <w:vAlign w:val="bottom"/>
            <w:tcBorders>
              <w:top w:val="single" w:sz="8" w:color="0000EE"/>
            </w:tcBorders>
            <w:gridSpan w:val="12"/>
          </w:tcPr>
          <w:p>
            <w:pPr>
              <w:spacing w:after="0"/>
              <w:rPr>
                <w:rFonts w:ascii="Times New Roman" w:cs="Times New Roman" w:eastAsia="Times New Roman" w:hAnsi="Times New Roman"/>
                <w:sz w:val="16"/>
                <w:szCs w:val="16"/>
                <w:color w:val="0000EE"/>
              </w:rPr>
            </w:pPr>
            <w:hyperlink r:id="rId286">
              <w:r>
                <w:rPr>
                  <w:rFonts w:ascii="Times New Roman" w:cs="Times New Roman" w:eastAsia="Times New Roman" w:hAnsi="Times New Roman"/>
                  <w:sz w:val="16"/>
                  <w:szCs w:val="16"/>
                  <w:color w:val="0000EE"/>
                </w:rPr>
                <w:t>Opinion of Wilson Sonsini Goodrich &amp; Rosati, P.C. (incorporated by reference to Exhibit 5.1 to the Company’s Registration</w:t>
              </w:r>
            </w:hyperlink>
          </w:p>
        </w:tc>
        <w:tc>
          <w:tcPr>
            <w:tcW w:w="480" w:type="dxa"/>
            <w:vAlign w:val="bottom"/>
            <w:gridSpan w:val="13"/>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120" w:type="dxa"/>
            <w:vAlign w:val="bottom"/>
            <w:tcBorders>
              <w:top w:val="single" w:sz="8" w:color="0000EE"/>
            </w:tcBorders>
            <w:gridSpan w:val="10"/>
          </w:tcPr>
          <w:p>
            <w:pPr>
              <w:spacing w:after="0" w:line="176" w:lineRule="exact"/>
              <w:rPr>
                <w:rFonts w:ascii="Times New Roman" w:cs="Times New Roman" w:eastAsia="Times New Roman" w:hAnsi="Times New Roman"/>
                <w:sz w:val="16"/>
                <w:szCs w:val="16"/>
                <w:color w:val="0000EE"/>
              </w:rPr>
            </w:pPr>
            <w:hyperlink r:id="rId286">
              <w:r>
                <w:rPr>
                  <w:rFonts w:ascii="Times New Roman" w:cs="Times New Roman" w:eastAsia="Times New Roman" w:hAnsi="Times New Roman"/>
                  <w:sz w:val="16"/>
                  <w:szCs w:val="16"/>
                  <w:color w:val="0000EE"/>
                </w:rPr>
                <w:t>Statement on Form S-1, as amended (File No. 333-261034) filed with the SEC on November 12, 2021).</w:t>
              </w:r>
            </w:hyperlink>
          </w:p>
        </w:tc>
        <w:tc>
          <w:tcPr>
            <w:tcW w:w="6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3"/>
                <w:szCs w:val="23"/>
                <w:color w:val="auto"/>
              </w:rPr>
            </w:pPr>
          </w:p>
        </w:tc>
        <w:tc>
          <w:tcPr>
            <w:tcW w:w="8580" w:type="dxa"/>
            <w:vAlign w:val="bottom"/>
            <w:tcBorders>
              <w:bottom w:val="single" w:sz="8" w:color="0000EE"/>
            </w:tcBorders>
            <w:gridSpan w:val="21"/>
          </w:tcPr>
          <w:p>
            <w:pPr>
              <w:spacing w:after="0"/>
              <w:rPr>
                <w:rFonts w:ascii="Times New Roman" w:cs="Times New Roman" w:eastAsia="Times New Roman" w:hAnsi="Times New Roman"/>
                <w:sz w:val="16"/>
                <w:szCs w:val="16"/>
                <w:color w:val="0000EE"/>
              </w:rPr>
            </w:pPr>
            <w:hyperlink r:id="rId287">
              <w:r>
                <w:rPr>
                  <w:rFonts w:ascii="Times New Roman" w:cs="Times New Roman" w:eastAsia="Times New Roman" w:hAnsi="Times New Roman"/>
                  <w:sz w:val="16"/>
                  <w:szCs w:val="16"/>
                  <w:color w:val="0000EE"/>
                </w:rPr>
                <w:t>Letter Agreement, dated September 22, 2020 (the “Insider Letter”), by and among the Company, its executive officers, its directors</w:t>
              </w:r>
            </w:hyperlink>
          </w:p>
        </w:tc>
        <w:tc>
          <w:tcPr>
            <w:tcW w:w="22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gridSpan w:val="25"/>
          </w:tcPr>
          <w:p>
            <w:pPr>
              <w:spacing w:after="0" w:line="176" w:lineRule="exact"/>
              <w:rPr>
                <w:rFonts w:ascii="Times New Roman" w:cs="Times New Roman" w:eastAsia="Times New Roman" w:hAnsi="Times New Roman"/>
                <w:sz w:val="16"/>
                <w:szCs w:val="16"/>
                <w:color w:val="0000EE"/>
              </w:rPr>
            </w:pPr>
            <w:hyperlink r:id="rId287">
              <w:r>
                <w:rPr>
                  <w:rFonts w:ascii="Times New Roman" w:cs="Times New Roman" w:eastAsia="Times New Roman" w:hAnsi="Times New Roman"/>
                  <w:sz w:val="16"/>
                  <w:szCs w:val="16"/>
                  <w:color w:val="0000EE"/>
                </w:rPr>
                <w:t>and the Sponsor (incorporated by reference to Exhibit 10.1 of the Company’s Form 8-K filed with the SEC on September 28, 2020).</w:t>
              </w:r>
            </w:hyperlink>
          </w:p>
        </w:tc>
        <w:tc>
          <w:tcPr>
            <w:tcW w:w="0" w:type="dxa"/>
            <w:vAlign w:val="bottom"/>
          </w:tcPr>
          <w:p>
            <w:pPr>
              <w:spacing w:after="0"/>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740" w:type="dxa"/>
            <w:vAlign w:val="bottom"/>
          </w:tcPr>
          <w:p>
            <w:pPr>
              <w:spacing w:after="0"/>
              <w:rPr>
                <w:sz w:val="23"/>
                <w:szCs w:val="23"/>
                <w:color w:val="auto"/>
              </w:rPr>
            </w:pPr>
          </w:p>
        </w:tc>
        <w:tc>
          <w:tcPr>
            <w:tcW w:w="8640" w:type="dxa"/>
            <w:vAlign w:val="bottom"/>
            <w:tcBorders>
              <w:top w:val="single" w:sz="8" w:color="0000EE"/>
            </w:tcBorders>
            <w:gridSpan w:val="23"/>
          </w:tcPr>
          <w:p>
            <w:pPr>
              <w:spacing w:after="0"/>
              <w:rPr>
                <w:rFonts w:ascii="Times New Roman" w:cs="Times New Roman" w:eastAsia="Times New Roman" w:hAnsi="Times New Roman"/>
                <w:sz w:val="16"/>
                <w:szCs w:val="16"/>
                <w:color w:val="0000EE"/>
              </w:rPr>
            </w:pPr>
            <w:hyperlink r:id="rId288">
              <w:r>
                <w:rPr>
                  <w:rFonts w:ascii="Times New Roman" w:cs="Times New Roman" w:eastAsia="Times New Roman" w:hAnsi="Times New Roman"/>
                  <w:sz w:val="16"/>
                  <w:szCs w:val="16"/>
                  <w:color w:val="0000EE"/>
                </w:rPr>
                <w:t>Amendment to Insider Letter, dated January 11, 2021, by and among the Company, its executive officers, its directors, the Sponsor</w:t>
              </w:r>
            </w:hyperlink>
          </w:p>
        </w:tc>
        <w:tc>
          <w:tcPr>
            <w:tcW w:w="1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540" w:type="dxa"/>
            <w:vAlign w:val="bottom"/>
            <w:tcBorders>
              <w:top w:val="single" w:sz="8" w:color="0000EE"/>
            </w:tcBorders>
            <w:gridSpan w:val="19"/>
          </w:tcPr>
          <w:p>
            <w:pPr>
              <w:spacing w:after="0" w:line="176" w:lineRule="exact"/>
              <w:rPr>
                <w:rFonts w:ascii="Times New Roman" w:cs="Times New Roman" w:eastAsia="Times New Roman" w:hAnsi="Times New Roman"/>
                <w:sz w:val="16"/>
                <w:szCs w:val="16"/>
                <w:color w:val="0000EE"/>
              </w:rPr>
            </w:pPr>
            <w:hyperlink r:id="rId288">
              <w:r>
                <w:rPr>
                  <w:rFonts w:ascii="Times New Roman" w:cs="Times New Roman" w:eastAsia="Times New Roman" w:hAnsi="Times New Roman"/>
                  <w:sz w:val="16"/>
                  <w:szCs w:val="16"/>
                  <w:color w:val="0000EE"/>
                </w:rPr>
                <w:t>and Opco (incorporated by reference to Exhibit 10.3 of the Company’s Form 8-K filed with the SEC on January 11, 2021).</w:t>
              </w:r>
            </w:hyperlink>
          </w:p>
        </w:tc>
        <w:tc>
          <w:tcPr>
            <w:tcW w:w="2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740" w:type="dxa"/>
            <w:vAlign w:val="bottom"/>
          </w:tcPr>
          <w:p>
            <w:pPr>
              <w:spacing w:after="0"/>
              <w:rPr>
                <w:sz w:val="23"/>
                <w:szCs w:val="23"/>
                <w:color w:val="auto"/>
              </w:rPr>
            </w:pPr>
          </w:p>
        </w:tc>
        <w:tc>
          <w:tcPr>
            <w:tcW w:w="8740" w:type="dxa"/>
            <w:vAlign w:val="bottom"/>
            <w:tcBorders>
              <w:bottom w:val="single" w:sz="8" w:color="0000EE"/>
            </w:tcBorders>
            <w:gridSpan w:val="24"/>
          </w:tcPr>
          <w:p>
            <w:pPr>
              <w:spacing w:after="0"/>
              <w:rPr>
                <w:rFonts w:ascii="Times New Roman" w:cs="Times New Roman" w:eastAsia="Times New Roman" w:hAnsi="Times New Roman"/>
                <w:sz w:val="16"/>
                <w:szCs w:val="16"/>
                <w:color w:val="0000EE"/>
              </w:rPr>
            </w:pPr>
            <w:hyperlink r:id="rId289">
              <w:r>
                <w:rPr>
                  <w:rFonts w:ascii="Times New Roman" w:cs="Times New Roman" w:eastAsia="Times New Roman" w:hAnsi="Times New Roman"/>
                  <w:sz w:val="16"/>
                  <w:szCs w:val="16"/>
                  <w:color w:val="0000EE"/>
                </w:rPr>
                <w:t>Form of Subscription Agreement between the Company and the PIPE Investors, dated January 11, 2021 (incorporated by reference to</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20" w:type="dxa"/>
            <w:vAlign w:val="bottom"/>
            <w:tcBorders>
              <w:bottom w:val="single" w:sz="8" w:color="0000EE"/>
            </w:tcBorders>
            <w:gridSpan w:val="4"/>
          </w:tcPr>
          <w:p>
            <w:pPr>
              <w:spacing w:after="0" w:line="176" w:lineRule="exact"/>
              <w:rPr>
                <w:rFonts w:ascii="Times New Roman" w:cs="Times New Roman" w:eastAsia="Times New Roman" w:hAnsi="Times New Roman"/>
                <w:sz w:val="16"/>
                <w:szCs w:val="16"/>
                <w:color w:val="0000EE"/>
              </w:rPr>
            </w:pPr>
            <w:hyperlink r:id="rId289">
              <w:r>
                <w:rPr>
                  <w:rFonts w:ascii="Times New Roman" w:cs="Times New Roman" w:eastAsia="Times New Roman" w:hAnsi="Times New Roman"/>
                  <w:sz w:val="16"/>
                  <w:szCs w:val="16"/>
                  <w:color w:val="0000EE"/>
                </w:rPr>
                <w:t>Exhibit 10.1 of the Company’s Form 8-K filed with the SEC on January 11, 2021).</w:t>
              </w:r>
            </w:hyperlink>
          </w:p>
        </w:tc>
        <w:tc>
          <w:tcPr>
            <w:tcW w:w="338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740" w:type="dxa"/>
            <w:vAlign w:val="bottom"/>
          </w:tcPr>
          <w:p>
            <w:pPr>
              <w:spacing w:after="0"/>
              <w:rPr>
                <w:sz w:val="23"/>
                <w:szCs w:val="23"/>
                <w:color w:val="auto"/>
              </w:rPr>
            </w:pPr>
          </w:p>
        </w:tc>
        <w:tc>
          <w:tcPr>
            <w:tcW w:w="8800" w:type="dxa"/>
            <w:vAlign w:val="bottom"/>
            <w:gridSpan w:val="25"/>
          </w:tcPr>
          <w:p>
            <w:pPr>
              <w:spacing w:after="0"/>
              <w:rPr>
                <w:rFonts w:ascii="Times New Roman" w:cs="Times New Roman" w:eastAsia="Times New Roman" w:hAnsi="Times New Roman"/>
                <w:sz w:val="16"/>
                <w:szCs w:val="16"/>
                <w:color w:val="0000EE"/>
              </w:rPr>
            </w:pPr>
            <w:hyperlink r:id="rId290">
              <w:r>
                <w:rPr>
                  <w:rFonts w:ascii="Times New Roman" w:cs="Times New Roman" w:eastAsia="Times New Roman" w:hAnsi="Times New Roman"/>
                  <w:sz w:val="16"/>
                  <w:szCs w:val="16"/>
                  <w:color w:val="0000EE"/>
                </w:rPr>
                <w:t>Support Agreement, dated January 11, 2021, by and among the Company, Opco, ICE and the other parties thereto (incorporated by</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560" w:type="dxa"/>
            <w:vAlign w:val="bottom"/>
            <w:tcBorders>
              <w:top w:val="single" w:sz="8" w:color="0000EE"/>
            </w:tcBorders>
            <w:gridSpan w:val="20"/>
          </w:tcPr>
          <w:p>
            <w:pPr>
              <w:spacing w:after="0" w:line="176" w:lineRule="exact"/>
              <w:rPr>
                <w:rFonts w:ascii="Times New Roman" w:cs="Times New Roman" w:eastAsia="Times New Roman" w:hAnsi="Times New Roman"/>
                <w:sz w:val="16"/>
                <w:szCs w:val="16"/>
                <w:color w:val="0000EE"/>
              </w:rPr>
            </w:pPr>
            <w:hyperlink r:id="rId290">
              <w:r>
                <w:rPr>
                  <w:rFonts w:ascii="Times New Roman" w:cs="Times New Roman" w:eastAsia="Times New Roman" w:hAnsi="Times New Roman"/>
                  <w:sz w:val="16"/>
                  <w:szCs w:val="16"/>
                  <w:color w:val="0000EE"/>
                </w:rPr>
                <w:t>reference to Exhibit 10.8 to the Company’s Form 8-K to the Company’s Form 8-K filed with the SEC on October 21, 2021).</w:t>
              </w:r>
            </w:hyperlink>
          </w:p>
        </w:tc>
        <w:tc>
          <w:tcPr>
            <w:tcW w:w="2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740" w:type="dxa"/>
            <w:vAlign w:val="bottom"/>
          </w:tcPr>
          <w:p>
            <w:pPr>
              <w:spacing w:after="0"/>
              <w:rPr>
                <w:sz w:val="23"/>
                <w:szCs w:val="23"/>
                <w:color w:val="auto"/>
              </w:rPr>
            </w:pPr>
          </w:p>
        </w:tc>
        <w:tc>
          <w:tcPr>
            <w:tcW w:w="8440" w:type="dxa"/>
            <w:vAlign w:val="bottom"/>
            <w:tcBorders>
              <w:bottom w:val="single" w:sz="8" w:color="0000EE"/>
            </w:tcBorders>
            <w:gridSpan w:val="15"/>
          </w:tcPr>
          <w:p>
            <w:pPr>
              <w:spacing w:after="0"/>
              <w:rPr>
                <w:rFonts w:ascii="Times New Roman" w:cs="Times New Roman" w:eastAsia="Times New Roman" w:hAnsi="Times New Roman"/>
                <w:sz w:val="16"/>
                <w:szCs w:val="16"/>
                <w:color w:val="0000EE"/>
              </w:rPr>
            </w:pPr>
            <w:hyperlink r:id="rId291">
              <w:r>
                <w:rPr>
                  <w:rFonts w:ascii="Times New Roman" w:cs="Times New Roman" w:eastAsia="Times New Roman" w:hAnsi="Times New Roman"/>
                  <w:sz w:val="16"/>
                  <w:szCs w:val="16"/>
                  <w:color w:val="0000EE"/>
                </w:rPr>
                <w:t>Digital Currency Trading, Clearing, and Warehouse Services Agreement, dated August 29, 2019, by and among IFUS, ICUS and</w:t>
              </w:r>
            </w:hyperlink>
          </w:p>
        </w:tc>
        <w:tc>
          <w:tcPr>
            <w:tcW w:w="36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gridSpan w:val="25"/>
          </w:tcPr>
          <w:p>
            <w:pPr>
              <w:spacing w:after="0" w:line="176" w:lineRule="exact"/>
              <w:rPr>
                <w:rFonts w:ascii="Times New Roman" w:cs="Times New Roman" w:eastAsia="Times New Roman" w:hAnsi="Times New Roman"/>
                <w:sz w:val="16"/>
                <w:szCs w:val="16"/>
                <w:color w:val="0000EE"/>
              </w:rPr>
            </w:pPr>
            <w:hyperlink r:id="rId291">
              <w:r>
                <w:rPr>
                  <w:rFonts w:ascii="Times New Roman" w:cs="Times New Roman" w:eastAsia="Times New Roman" w:hAnsi="Times New Roman"/>
                  <w:sz w:val="16"/>
                  <w:szCs w:val="16"/>
                  <w:color w:val="0000EE"/>
                </w:rPr>
                <w:t>Bakkt Trust, including amendments thereto (incorporated by reference to Exhibit 10.10 to the Company’s Form 8-K filed with the</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500" w:type="dxa"/>
            <w:vAlign w:val="bottom"/>
            <w:tcBorders>
              <w:top w:val="single" w:sz="8" w:color="0000EE"/>
            </w:tcBorders>
            <w:gridSpan w:val="17"/>
          </w:tcPr>
          <w:p>
            <w:pPr>
              <w:spacing w:after="0" w:line="176" w:lineRule="exact"/>
              <w:rPr>
                <w:rFonts w:ascii="Times New Roman" w:cs="Times New Roman" w:eastAsia="Times New Roman" w:hAnsi="Times New Roman"/>
                <w:sz w:val="16"/>
                <w:szCs w:val="16"/>
                <w:color w:val="0000EE"/>
              </w:rPr>
            </w:pPr>
            <w:hyperlink r:id="rId291">
              <w:r>
                <w:rPr>
                  <w:rFonts w:ascii="Times New Roman" w:cs="Times New Roman" w:eastAsia="Times New Roman" w:hAnsi="Times New Roman"/>
                  <w:sz w:val="16"/>
                  <w:szCs w:val="16"/>
                  <w:color w:val="0000EE"/>
                </w:rPr>
                <w:t>SEC on October 21, 2021).</w:t>
              </w:r>
            </w:hyperlink>
          </w:p>
        </w:tc>
        <w:tc>
          <w:tcPr>
            <w:tcW w:w="30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740" w:type="dxa"/>
            <w:vAlign w:val="bottom"/>
          </w:tcPr>
          <w:p>
            <w:pPr>
              <w:spacing w:after="0"/>
              <w:rPr>
                <w:sz w:val="23"/>
                <w:szCs w:val="23"/>
                <w:color w:val="auto"/>
              </w:rPr>
            </w:pPr>
          </w:p>
        </w:tc>
        <w:tc>
          <w:tcPr>
            <w:tcW w:w="8520" w:type="dxa"/>
            <w:vAlign w:val="bottom"/>
            <w:tcBorders>
              <w:bottom w:val="single" w:sz="8" w:color="0000EE"/>
            </w:tcBorders>
            <w:gridSpan w:val="18"/>
          </w:tcPr>
          <w:p>
            <w:pPr>
              <w:spacing w:after="0"/>
              <w:rPr>
                <w:rFonts w:ascii="Times New Roman" w:cs="Times New Roman" w:eastAsia="Times New Roman" w:hAnsi="Times New Roman"/>
                <w:sz w:val="16"/>
                <w:szCs w:val="16"/>
                <w:color w:val="0000EE"/>
              </w:rPr>
            </w:pPr>
            <w:hyperlink r:id="rId292">
              <w:r>
                <w:rPr>
                  <w:rFonts w:ascii="Times New Roman" w:cs="Times New Roman" w:eastAsia="Times New Roman" w:hAnsi="Times New Roman"/>
                  <w:sz w:val="16"/>
                  <w:szCs w:val="16"/>
                  <w:color w:val="0000EE"/>
                </w:rPr>
                <w:t>Cooperation Agreement, dated October 15, 2021, between the Company and ICE (incorporated by reference to Exhibit 10.6 to the</w:t>
              </w:r>
            </w:hyperlink>
          </w:p>
        </w:tc>
        <w:tc>
          <w:tcPr>
            <w:tcW w:w="28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gridSpan w:val="25"/>
          </w:tcPr>
          <w:p>
            <w:pPr>
              <w:spacing w:after="0" w:line="176" w:lineRule="exact"/>
              <w:rPr>
                <w:rFonts w:ascii="Times New Roman" w:cs="Times New Roman" w:eastAsia="Times New Roman" w:hAnsi="Times New Roman"/>
                <w:sz w:val="16"/>
                <w:szCs w:val="16"/>
                <w:color w:val="0000EE"/>
              </w:rPr>
            </w:pPr>
            <w:hyperlink r:id="rId292">
              <w:r>
                <w:rPr>
                  <w:rFonts w:ascii="Times New Roman" w:cs="Times New Roman" w:eastAsia="Times New Roman" w:hAnsi="Times New Roman"/>
                  <w:sz w:val="16"/>
                  <w:szCs w:val="16"/>
                  <w:color w:val="0000EE"/>
                </w:rPr>
                <w:t>Company’s Form 8-K filed with the SEC on October 21,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740" w:type="dxa"/>
            <w:vAlign w:val="bottom"/>
          </w:tcPr>
          <w:p>
            <w:pPr>
              <w:spacing w:after="0"/>
              <w:rPr>
                <w:sz w:val="23"/>
                <w:szCs w:val="23"/>
                <w:color w:val="auto"/>
              </w:rPr>
            </w:pPr>
          </w:p>
        </w:tc>
        <w:tc>
          <w:tcPr>
            <w:tcW w:w="840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rPr>
            </w:pPr>
            <w:hyperlink r:id="rId293">
              <w:r>
                <w:rPr>
                  <w:rFonts w:ascii="Times New Roman" w:cs="Times New Roman" w:eastAsia="Times New Roman" w:hAnsi="Times New Roman"/>
                  <w:sz w:val="16"/>
                  <w:szCs w:val="16"/>
                  <w:color w:val="0000EE"/>
                </w:rPr>
                <w:t>Registration Rights Agreement, dated October 15, 2021, by and among the Company, the Opco Equity Holders and the Sponsor</w:t>
              </w:r>
            </w:hyperlink>
          </w:p>
        </w:tc>
        <w:tc>
          <w:tcPr>
            <w:tcW w:w="40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gridSpan w:val="25"/>
          </w:tcPr>
          <w:p>
            <w:pPr>
              <w:spacing w:after="0" w:line="176" w:lineRule="exact"/>
              <w:rPr>
                <w:rFonts w:ascii="Times New Roman" w:cs="Times New Roman" w:eastAsia="Times New Roman" w:hAnsi="Times New Roman"/>
                <w:sz w:val="16"/>
                <w:szCs w:val="16"/>
                <w:color w:val="0000EE"/>
              </w:rPr>
            </w:pPr>
            <w:hyperlink r:id="rId293">
              <w:r>
                <w:rPr>
                  <w:rFonts w:ascii="Times New Roman" w:cs="Times New Roman" w:eastAsia="Times New Roman" w:hAnsi="Times New Roman"/>
                  <w:sz w:val="16"/>
                  <w:szCs w:val="16"/>
                  <w:color w:val="0000EE"/>
                </w:rPr>
                <w:t>(incorporated by reference to Exhibit 10.1 to the Company’s Form 8-K filed with the SEC on October 21,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740" w:type="dxa"/>
            <w:vAlign w:val="bottom"/>
          </w:tcPr>
          <w:p>
            <w:pPr>
              <w:spacing w:after="0"/>
              <w:rPr>
                <w:sz w:val="23"/>
                <w:szCs w:val="23"/>
                <w:color w:val="auto"/>
              </w:rPr>
            </w:pPr>
          </w:p>
        </w:tc>
        <w:tc>
          <w:tcPr>
            <w:tcW w:w="8800" w:type="dxa"/>
            <w:vAlign w:val="bottom"/>
            <w:gridSpan w:val="25"/>
          </w:tcPr>
          <w:p>
            <w:pPr>
              <w:spacing w:after="0"/>
              <w:rPr>
                <w:rFonts w:ascii="Times New Roman" w:cs="Times New Roman" w:eastAsia="Times New Roman" w:hAnsi="Times New Roman"/>
                <w:sz w:val="16"/>
                <w:szCs w:val="16"/>
                <w:color w:val="0000EE"/>
              </w:rPr>
            </w:pPr>
            <w:hyperlink r:id="rId294">
              <w:r>
                <w:rPr>
                  <w:rFonts w:ascii="Times New Roman" w:cs="Times New Roman" w:eastAsia="Times New Roman" w:hAnsi="Times New Roman"/>
                  <w:sz w:val="16"/>
                  <w:szCs w:val="16"/>
                  <w:color w:val="0000EE"/>
                </w:rPr>
                <w:t>Stockholders Agreement of the Company, dated October 15, 2021, by and among the Company, the Opco Equity Holders and the</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60" w:type="dxa"/>
            <w:vAlign w:val="bottom"/>
            <w:tcBorders>
              <w:top w:val="single" w:sz="8" w:color="0000EE"/>
            </w:tcBorders>
            <w:gridSpan w:val="16"/>
          </w:tcPr>
          <w:p>
            <w:pPr>
              <w:spacing w:after="0" w:line="176" w:lineRule="exact"/>
              <w:rPr>
                <w:rFonts w:ascii="Times New Roman" w:cs="Times New Roman" w:eastAsia="Times New Roman" w:hAnsi="Times New Roman"/>
                <w:sz w:val="16"/>
                <w:szCs w:val="16"/>
                <w:color w:val="0000EE"/>
              </w:rPr>
            </w:pPr>
            <w:hyperlink r:id="rId294">
              <w:r>
                <w:rPr>
                  <w:rFonts w:ascii="Times New Roman" w:cs="Times New Roman" w:eastAsia="Times New Roman" w:hAnsi="Times New Roman"/>
                  <w:sz w:val="16"/>
                  <w:szCs w:val="16"/>
                  <w:color w:val="0000EE"/>
                </w:rPr>
                <w:t>Sponsor (incorporated by reference to Exhibit 10.2 to the Company’s Form 8-K filed with the SEC on October 21, 2021).</w:t>
              </w:r>
            </w:hyperlink>
          </w:p>
        </w:tc>
        <w:tc>
          <w:tcPr>
            <w:tcW w:w="3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740" w:type="dxa"/>
            <w:vAlign w:val="bottom"/>
          </w:tcPr>
          <w:p>
            <w:pPr>
              <w:spacing w:after="0"/>
              <w:rPr>
                <w:sz w:val="23"/>
                <w:szCs w:val="23"/>
                <w:color w:val="auto"/>
              </w:rPr>
            </w:pPr>
          </w:p>
        </w:tc>
        <w:tc>
          <w:tcPr>
            <w:tcW w:w="8800" w:type="dxa"/>
            <w:vAlign w:val="bottom"/>
            <w:gridSpan w:val="25"/>
          </w:tcPr>
          <w:p>
            <w:pPr>
              <w:spacing w:after="0"/>
              <w:rPr>
                <w:rFonts w:ascii="Times New Roman" w:cs="Times New Roman" w:eastAsia="Times New Roman" w:hAnsi="Times New Roman"/>
                <w:sz w:val="16"/>
                <w:szCs w:val="16"/>
                <w:color w:val="0000EE"/>
              </w:rPr>
            </w:pPr>
            <w:hyperlink r:id="rId295">
              <w:r>
                <w:rPr>
                  <w:rFonts w:ascii="Times New Roman" w:cs="Times New Roman" w:eastAsia="Times New Roman" w:hAnsi="Times New Roman"/>
                  <w:sz w:val="16"/>
                  <w:szCs w:val="16"/>
                  <w:color w:val="0000EE"/>
                </w:rPr>
                <w:t>Voting Agreement, dated October 15, 2021, by and between the Company and ICE (incorporated by reference to Exhibit 10.3 to the</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20" w:type="dxa"/>
            <w:vAlign w:val="bottom"/>
            <w:tcBorders>
              <w:top w:val="single" w:sz="8" w:color="0000EE"/>
            </w:tcBorders>
            <w:gridSpan w:val="22"/>
          </w:tcPr>
          <w:p>
            <w:pPr>
              <w:spacing w:after="0" w:line="176" w:lineRule="exact"/>
              <w:rPr>
                <w:rFonts w:ascii="Times New Roman" w:cs="Times New Roman" w:eastAsia="Times New Roman" w:hAnsi="Times New Roman"/>
                <w:sz w:val="16"/>
                <w:szCs w:val="16"/>
                <w:color w:val="0000EE"/>
              </w:rPr>
            </w:pPr>
            <w:hyperlink r:id="rId295">
              <w:r>
                <w:rPr>
                  <w:rFonts w:ascii="Times New Roman" w:cs="Times New Roman" w:eastAsia="Times New Roman" w:hAnsi="Times New Roman"/>
                  <w:sz w:val="16"/>
                  <w:szCs w:val="16"/>
                  <w:color w:val="0000EE"/>
                </w:rPr>
                <w:t>Company’s Form 8-K filed with the SEC on October 21, 2021).</w:t>
              </w:r>
            </w:hyperlink>
          </w:p>
        </w:tc>
        <w:tc>
          <w:tcPr>
            <w:tcW w:w="1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740" w:type="dxa"/>
            <w:vAlign w:val="bottom"/>
          </w:tcPr>
          <w:p>
            <w:pPr>
              <w:spacing w:after="0"/>
              <w:rPr>
                <w:sz w:val="23"/>
                <w:szCs w:val="23"/>
                <w:color w:val="auto"/>
              </w:rPr>
            </w:pPr>
          </w:p>
        </w:tc>
        <w:tc>
          <w:tcPr>
            <w:tcW w:w="8800" w:type="dxa"/>
            <w:vAlign w:val="bottom"/>
            <w:gridSpan w:val="25"/>
          </w:tcPr>
          <w:p>
            <w:pPr>
              <w:spacing w:after="0"/>
              <w:rPr>
                <w:rFonts w:ascii="Times New Roman" w:cs="Times New Roman" w:eastAsia="Times New Roman" w:hAnsi="Times New Roman"/>
                <w:sz w:val="16"/>
                <w:szCs w:val="16"/>
                <w:color w:val="0000EE"/>
              </w:rPr>
            </w:pPr>
            <w:hyperlink r:id="rId296">
              <w:r>
                <w:rPr>
                  <w:rFonts w:ascii="Times New Roman" w:cs="Times New Roman" w:eastAsia="Times New Roman" w:hAnsi="Times New Roman"/>
                  <w:sz w:val="16"/>
                  <w:szCs w:val="16"/>
                  <w:color w:val="0000EE"/>
                </w:rPr>
                <w:t>Exchange Agreement, dated October 15, 2021, by and among the Company, Opco and the other parties thereto (incorporated by</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360" w:type="dxa"/>
            <w:vAlign w:val="bottom"/>
            <w:tcBorders>
              <w:top w:val="single" w:sz="8" w:color="0000EE"/>
            </w:tcBorders>
            <w:gridSpan w:val="13"/>
          </w:tcPr>
          <w:p>
            <w:pPr>
              <w:spacing w:after="0" w:line="176" w:lineRule="exact"/>
              <w:rPr>
                <w:rFonts w:ascii="Times New Roman" w:cs="Times New Roman" w:eastAsia="Times New Roman" w:hAnsi="Times New Roman"/>
                <w:sz w:val="16"/>
                <w:szCs w:val="16"/>
                <w:color w:val="0000EE"/>
              </w:rPr>
            </w:pPr>
            <w:hyperlink r:id="rId296">
              <w:r>
                <w:rPr>
                  <w:rFonts w:ascii="Times New Roman" w:cs="Times New Roman" w:eastAsia="Times New Roman" w:hAnsi="Times New Roman"/>
                  <w:sz w:val="16"/>
                  <w:szCs w:val="16"/>
                  <w:color w:val="0000EE"/>
                </w:rPr>
                <w:t>reference to Exhibit 10.4 to the Company’s Form 8-K filed with the SEC on October 21, 2021).</w:t>
              </w:r>
            </w:hyperlink>
          </w:p>
        </w:tc>
        <w:tc>
          <w:tcPr>
            <w:tcW w:w="4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740" w:type="dxa"/>
            <w:vAlign w:val="bottom"/>
          </w:tcPr>
          <w:p>
            <w:pPr>
              <w:spacing w:after="0"/>
              <w:rPr>
                <w:sz w:val="23"/>
                <w:szCs w:val="23"/>
                <w:color w:val="auto"/>
              </w:rPr>
            </w:pPr>
          </w:p>
        </w:tc>
        <w:tc>
          <w:tcPr>
            <w:tcW w:w="8800" w:type="dxa"/>
            <w:vAlign w:val="bottom"/>
            <w:gridSpan w:val="25"/>
          </w:tcPr>
          <w:p>
            <w:pPr>
              <w:spacing w:after="0"/>
              <w:rPr>
                <w:rFonts w:ascii="Times New Roman" w:cs="Times New Roman" w:eastAsia="Times New Roman" w:hAnsi="Times New Roman"/>
                <w:sz w:val="16"/>
                <w:szCs w:val="16"/>
                <w:color w:val="0000EE"/>
              </w:rPr>
            </w:pPr>
            <w:hyperlink r:id="rId297">
              <w:r>
                <w:rPr>
                  <w:rFonts w:ascii="Times New Roman" w:cs="Times New Roman" w:eastAsia="Times New Roman" w:hAnsi="Times New Roman"/>
                  <w:sz w:val="16"/>
                  <w:szCs w:val="16"/>
                  <w:color w:val="0000EE"/>
                </w:rPr>
                <w:t>Tax Receivable Agreement, dated October 15, 2021, by and among the Company and the other parties thereto (incorporated by</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300" w:type="dxa"/>
            <w:vAlign w:val="bottom"/>
            <w:tcBorders>
              <w:top w:val="single" w:sz="8" w:color="0000EE"/>
            </w:tcBorders>
            <w:gridSpan w:val="11"/>
          </w:tcPr>
          <w:p>
            <w:pPr>
              <w:spacing w:after="0" w:line="176" w:lineRule="exact"/>
              <w:rPr>
                <w:rFonts w:ascii="Times New Roman" w:cs="Times New Roman" w:eastAsia="Times New Roman" w:hAnsi="Times New Roman"/>
                <w:sz w:val="16"/>
                <w:szCs w:val="16"/>
                <w:color w:val="0000EE"/>
              </w:rPr>
            </w:pPr>
            <w:hyperlink r:id="rId297">
              <w:r>
                <w:rPr>
                  <w:rFonts w:ascii="Times New Roman" w:cs="Times New Roman" w:eastAsia="Times New Roman" w:hAnsi="Times New Roman"/>
                  <w:sz w:val="16"/>
                  <w:szCs w:val="16"/>
                  <w:color w:val="0000EE"/>
                </w:rPr>
                <w:t>reference to Exhibit 10.5 to the Company’s Form 8-K filed with the SEC on October 21, 2021).</w:t>
              </w:r>
            </w:hyperlink>
          </w:p>
        </w:tc>
        <w:tc>
          <w:tcPr>
            <w:tcW w:w="50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2280" w:type="dxa"/>
            <w:vAlign w:val="bottom"/>
            <w:gridSpan w:val="1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740" w:type="dxa"/>
            <w:vAlign w:val="bottom"/>
          </w:tcPr>
          <w:p>
            <w:pPr>
              <w:spacing w:after="0"/>
              <w:rPr>
                <w:sz w:val="23"/>
                <w:szCs w:val="23"/>
                <w:color w:val="auto"/>
              </w:rPr>
            </w:pPr>
          </w:p>
        </w:tc>
        <w:tc>
          <w:tcPr>
            <w:tcW w:w="8800" w:type="dxa"/>
            <w:vAlign w:val="bottom"/>
            <w:gridSpan w:val="25"/>
          </w:tcPr>
          <w:p>
            <w:pPr>
              <w:spacing w:after="0"/>
              <w:rPr>
                <w:rFonts w:ascii="Times New Roman" w:cs="Times New Roman" w:eastAsia="Times New Roman" w:hAnsi="Times New Roman"/>
                <w:sz w:val="16"/>
                <w:szCs w:val="16"/>
                <w:color w:val="0000EE"/>
              </w:rPr>
            </w:pPr>
            <w:hyperlink r:id="rId298">
              <w:r>
                <w:rPr>
                  <w:rFonts w:ascii="Times New Roman" w:cs="Times New Roman" w:eastAsia="Times New Roman" w:hAnsi="Times New Roman"/>
                  <w:sz w:val="16"/>
                  <w:szCs w:val="16"/>
                  <w:color w:val="0000EE"/>
                </w:rPr>
                <w:t>2021 Omnibus Incentive Plan and related form agreements (incorporated by reference to Exhibit 10.9 to the Company’s Form 8-K</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700" w:type="dxa"/>
            <w:vAlign w:val="bottom"/>
            <w:tcBorders>
              <w:top w:val="single" w:sz="8" w:color="0000EE"/>
              <w:bottom w:val="single" w:sz="8" w:color="0000EE"/>
            </w:tcBorders>
            <w:gridSpan w:val="2"/>
          </w:tcPr>
          <w:p>
            <w:pPr>
              <w:spacing w:after="0" w:line="176" w:lineRule="exact"/>
              <w:rPr>
                <w:rFonts w:ascii="Times New Roman" w:cs="Times New Roman" w:eastAsia="Times New Roman" w:hAnsi="Times New Roman"/>
                <w:sz w:val="16"/>
                <w:szCs w:val="16"/>
                <w:color w:val="0000EE"/>
              </w:rPr>
            </w:pPr>
            <w:hyperlink r:id="rId298">
              <w:r>
                <w:rPr>
                  <w:rFonts w:ascii="Times New Roman" w:cs="Times New Roman" w:eastAsia="Times New Roman" w:hAnsi="Times New Roman"/>
                  <w:sz w:val="16"/>
                  <w:szCs w:val="16"/>
                  <w:color w:val="0000EE"/>
                </w:rPr>
                <w:t>filed with the SEC on October 21, 2021).</w:t>
              </w:r>
            </w:hyperlink>
          </w:p>
        </w:tc>
        <w:tc>
          <w:tcPr>
            <w:tcW w:w="5820" w:type="dxa"/>
            <w:vAlign w:val="bottom"/>
            <w:tcBorders>
              <w:top w:val="single" w:sz="8" w:color="0000EE"/>
            </w:tcBorders>
            <w:gridSpan w:val="16"/>
          </w:tcPr>
          <w:p>
            <w:pPr>
              <w:spacing w:after="0"/>
              <w:rPr>
                <w:sz w:val="15"/>
                <w:szCs w:val="15"/>
                <w:color w:val="auto"/>
              </w:rPr>
            </w:pPr>
          </w:p>
        </w:tc>
        <w:tc>
          <w:tcPr>
            <w:tcW w:w="2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II-4</w:t>
      </w:r>
    </w:p>
    <w:p>
      <w:pPr>
        <w:sectPr>
          <w:pgSz w:w="11900" w:h="16838" w:orient="portrait"/>
          <w:cols w:equalWidth="0" w:num="1">
            <w:col w:w="10620"/>
          </w:cols>
          <w:pgMar w:left="320" w:top="453" w:right="959" w:bottom="1440" w:gutter="0" w:footer="0" w:header="0"/>
        </w:sectPr>
      </w:pPr>
    </w:p>
    <w:bookmarkStart w:id="235" w:name="page236"/>
    <w:bookmarkEnd w:id="23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9">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63"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80" w:type="dxa"/>
            <w:vAlign w:val="bottom"/>
            <w:gridSpan w:val="22"/>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1"/>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8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10.13</w:t>
            </w:r>
          </w:p>
        </w:tc>
        <w:tc>
          <w:tcPr>
            <w:tcW w:w="740" w:type="dxa"/>
            <w:vAlign w:val="bottom"/>
          </w:tcPr>
          <w:p>
            <w:pPr>
              <w:spacing w:after="0"/>
              <w:rPr>
                <w:sz w:val="21"/>
                <w:szCs w:val="21"/>
                <w:color w:val="auto"/>
              </w:rPr>
            </w:pPr>
          </w:p>
        </w:tc>
        <w:tc>
          <w:tcPr>
            <w:tcW w:w="8440" w:type="dxa"/>
            <w:vAlign w:val="bottom"/>
            <w:tcBorders>
              <w:top w:val="single" w:sz="8" w:color="auto"/>
              <w:bottom w:val="single" w:sz="8" w:color="0000EE"/>
            </w:tcBorders>
            <w:gridSpan w:val="19"/>
          </w:tcPr>
          <w:p>
            <w:pPr>
              <w:spacing w:after="0"/>
              <w:rPr>
                <w:rFonts w:ascii="Times New Roman" w:cs="Times New Roman" w:eastAsia="Times New Roman" w:hAnsi="Times New Roman"/>
                <w:sz w:val="16"/>
                <w:szCs w:val="16"/>
                <w:color w:val="0000EE"/>
              </w:rPr>
            </w:pPr>
            <w:hyperlink r:id="rId300">
              <w:r>
                <w:rPr>
                  <w:rFonts w:ascii="Times New Roman" w:cs="Times New Roman" w:eastAsia="Times New Roman" w:hAnsi="Times New Roman"/>
                  <w:sz w:val="16"/>
                  <w:szCs w:val="16"/>
                  <w:color w:val="0000EE"/>
                </w:rPr>
                <w:t>Form of Director and Executive Officer Indemnification Agreement (incorporated by reference to Exhibit 10.7 to the Company’s</w:t>
              </w:r>
            </w:hyperlink>
          </w:p>
        </w:tc>
        <w:tc>
          <w:tcPr>
            <w:tcW w:w="360" w:type="dxa"/>
            <w:vAlign w:val="bottom"/>
            <w:tcBorders>
              <w:top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gridSpan w:val="25"/>
          </w:tcPr>
          <w:p>
            <w:pPr>
              <w:spacing w:after="0" w:line="176" w:lineRule="exact"/>
              <w:rPr>
                <w:rFonts w:ascii="Times New Roman" w:cs="Times New Roman" w:eastAsia="Times New Roman" w:hAnsi="Times New Roman"/>
                <w:sz w:val="16"/>
                <w:szCs w:val="16"/>
                <w:color w:val="0000EE"/>
              </w:rPr>
            </w:pPr>
            <w:hyperlink r:id="rId300">
              <w:r>
                <w:rPr>
                  <w:rFonts w:ascii="Times New Roman" w:cs="Times New Roman" w:eastAsia="Times New Roman" w:hAnsi="Times New Roman"/>
                  <w:sz w:val="16"/>
                  <w:szCs w:val="16"/>
                  <w:color w:val="0000EE"/>
                </w:rPr>
                <w:t>Form 8-K filed with the SEC on October 21, 2021).</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10.14†</w:t>
            </w:r>
          </w:p>
        </w:tc>
        <w:tc>
          <w:tcPr>
            <w:tcW w:w="8800" w:type="dxa"/>
            <w:vAlign w:val="bottom"/>
            <w:gridSpan w:val="25"/>
          </w:tcPr>
          <w:p>
            <w:pPr>
              <w:spacing w:after="0"/>
              <w:rPr>
                <w:rFonts w:ascii="Times New Roman" w:cs="Times New Roman" w:eastAsia="Times New Roman" w:hAnsi="Times New Roman"/>
                <w:sz w:val="16"/>
                <w:szCs w:val="16"/>
                <w:color w:val="0000EE"/>
              </w:rPr>
            </w:pPr>
            <w:hyperlink r:id="rId301">
              <w:r>
                <w:rPr>
                  <w:rFonts w:ascii="Times New Roman" w:cs="Times New Roman" w:eastAsia="Times New Roman" w:hAnsi="Times New Roman"/>
                  <w:sz w:val="16"/>
                  <w:szCs w:val="16"/>
                  <w:color w:val="0000EE"/>
                </w:rPr>
                <w:t>Transition Services Agreement, dated as of November 10, 2021, by and between Opco and ICE (incorporated by reference to the</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40" w:type="dxa"/>
            <w:vAlign w:val="bottom"/>
            <w:tcBorders>
              <w:top w:val="single" w:sz="8" w:color="0000EE"/>
              <w:bottom w:val="single" w:sz="8" w:color="0000EE"/>
            </w:tcBorders>
            <w:gridSpan w:val="4"/>
          </w:tcPr>
          <w:p>
            <w:pPr>
              <w:spacing w:after="0" w:line="176" w:lineRule="exact"/>
              <w:rPr>
                <w:rFonts w:ascii="Times New Roman" w:cs="Times New Roman" w:eastAsia="Times New Roman" w:hAnsi="Times New Roman"/>
                <w:sz w:val="16"/>
                <w:szCs w:val="16"/>
                <w:color w:val="0000EE"/>
              </w:rPr>
            </w:pPr>
            <w:hyperlink r:id="rId301">
              <w:r>
                <w:rPr>
                  <w:rFonts w:ascii="Times New Roman" w:cs="Times New Roman" w:eastAsia="Times New Roman" w:hAnsi="Times New Roman"/>
                  <w:sz w:val="16"/>
                  <w:szCs w:val="16"/>
                  <w:color w:val="0000EE"/>
                </w:rPr>
                <w:t>Company’s Form 8-K filed with the SEC on November 12, 2021).</w:t>
              </w:r>
            </w:hyperlink>
          </w:p>
        </w:tc>
        <w:tc>
          <w:tcPr>
            <w:tcW w:w="4080" w:type="dxa"/>
            <w:vAlign w:val="bottom"/>
            <w:tcBorders>
              <w:top w:val="single" w:sz="8" w:color="0000EE"/>
            </w:tcBorders>
            <w:gridSpan w:val="14"/>
          </w:tcPr>
          <w:p>
            <w:pPr>
              <w:spacing w:after="0"/>
              <w:rPr>
                <w:sz w:val="15"/>
                <w:szCs w:val="15"/>
                <w:color w:val="auto"/>
              </w:rPr>
            </w:pPr>
          </w:p>
        </w:tc>
        <w:tc>
          <w:tcPr>
            <w:tcW w:w="3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10.15</w:t>
            </w:r>
          </w:p>
        </w:tc>
        <w:tc>
          <w:tcPr>
            <w:tcW w:w="740" w:type="dxa"/>
            <w:vAlign w:val="bottom"/>
          </w:tcPr>
          <w:p>
            <w:pPr>
              <w:spacing w:after="0"/>
              <w:rPr>
                <w:sz w:val="23"/>
                <w:szCs w:val="23"/>
                <w:color w:val="auto"/>
              </w:rPr>
            </w:pPr>
          </w:p>
        </w:tc>
        <w:tc>
          <w:tcPr>
            <w:tcW w:w="8800" w:type="dxa"/>
            <w:vAlign w:val="bottom"/>
            <w:gridSpan w:val="25"/>
          </w:tcPr>
          <w:p>
            <w:pPr>
              <w:spacing w:after="0"/>
              <w:rPr>
                <w:rFonts w:ascii="Times New Roman" w:cs="Times New Roman" w:eastAsia="Times New Roman" w:hAnsi="Times New Roman"/>
                <w:sz w:val="16"/>
                <w:szCs w:val="16"/>
                <w:color w:val="0000EE"/>
              </w:rPr>
            </w:pPr>
            <w:hyperlink r:id="rId302">
              <w:r>
                <w:rPr>
                  <w:rFonts w:ascii="Times New Roman" w:cs="Times New Roman" w:eastAsia="Times New Roman" w:hAnsi="Times New Roman"/>
                  <w:sz w:val="16"/>
                  <w:szCs w:val="16"/>
                  <w:color w:val="0000EE"/>
                </w:rPr>
                <w:t>Employment Agreement, dated January 9, 2021, by and among Gavin Michael, Opco, and the Company (incorporated by reference to</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520" w:type="dxa"/>
            <w:vAlign w:val="bottom"/>
            <w:tcBorders>
              <w:top w:val="single" w:sz="8" w:color="0000EE"/>
              <w:bottom w:val="single" w:sz="8" w:color="0000EE"/>
            </w:tcBorders>
            <w:gridSpan w:val="6"/>
          </w:tcPr>
          <w:p>
            <w:pPr>
              <w:spacing w:after="0" w:line="176" w:lineRule="exact"/>
              <w:rPr>
                <w:rFonts w:ascii="Times New Roman" w:cs="Times New Roman" w:eastAsia="Times New Roman" w:hAnsi="Times New Roman"/>
                <w:sz w:val="16"/>
                <w:szCs w:val="16"/>
                <w:color w:val="0000EE"/>
              </w:rPr>
            </w:pPr>
            <w:hyperlink r:id="rId302">
              <w:r>
                <w:rPr>
                  <w:rFonts w:ascii="Times New Roman" w:cs="Times New Roman" w:eastAsia="Times New Roman" w:hAnsi="Times New Roman"/>
                  <w:sz w:val="16"/>
                  <w:szCs w:val="16"/>
                  <w:color w:val="0000EE"/>
                </w:rPr>
                <w:t>Exhibit 10.12 to the Company’s Form 8-K filed with the SEC on October 21, 2021).</w:t>
              </w:r>
            </w:hyperlink>
          </w:p>
        </w:tc>
        <w:tc>
          <w:tcPr>
            <w:tcW w:w="3240" w:type="dxa"/>
            <w:vAlign w:val="bottom"/>
            <w:tcBorders>
              <w:top w:val="single" w:sz="8" w:color="0000EE"/>
            </w:tcBorders>
            <w:gridSpan w:val="17"/>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10.16</w:t>
            </w:r>
          </w:p>
        </w:tc>
        <w:tc>
          <w:tcPr>
            <w:tcW w:w="740" w:type="dxa"/>
            <w:vAlign w:val="bottom"/>
          </w:tcPr>
          <w:p>
            <w:pPr>
              <w:spacing w:after="0"/>
              <w:rPr>
                <w:sz w:val="23"/>
                <w:szCs w:val="23"/>
                <w:color w:val="auto"/>
              </w:rPr>
            </w:pPr>
          </w:p>
        </w:tc>
        <w:tc>
          <w:tcPr>
            <w:tcW w:w="8780" w:type="dxa"/>
            <w:vAlign w:val="bottom"/>
            <w:tcBorders>
              <w:bottom w:val="single" w:sz="8" w:color="0000EE"/>
            </w:tcBorders>
            <w:gridSpan w:val="24"/>
          </w:tcPr>
          <w:p>
            <w:pPr>
              <w:spacing w:after="0"/>
              <w:rPr>
                <w:rFonts w:ascii="Times New Roman" w:cs="Times New Roman" w:eastAsia="Times New Roman" w:hAnsi="Times New Roman"/>
                <w:sz w:val="16"/>
                <w:szCs w:val="16"/>
                <w:color w:val="0000EE"/>
              </w:rPr>
            </w:pPr>
            <w:hyperlink r:id="rId303">
              <w:r>
                <w:rPr>
                  <w:rFonts w:ascii="Times New Roman" w:cs="Times New Roman" w:eastAsia="Times New Roman" w:hAnsi="Times New Roman"/>
                  <w:sz w:val="16"/>
                  <w:szCs w:val="16"/>
                  <w:color w:val="0000EE"/>
                </w:rPr>
                <w:t>Employment Agreement, dated March 16, 2021, by and among Andrew LaBenne, Opco, and the Company (incorporated by reference</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80" w:type="dxa"/>
            <w:vAlign w:val="bottom"/>
            <w:tcBorders>
              <w:bottom w:val="single" w:sz="8" w:color="0000EE"/>
            </w:tcBorders>
            <w:gridSpan w:val="7"/>
          </w:tcPr>
          <w:p>
            <w:pPr>
              <w:spacing w:after="0" w:line="176" w:lineRule="exact"/>
              <w:rPr>
                <w:rFonts w:ascii="Times New Roman" w:cs="Times New Roman" w:eastAsia="Times New Roman" w:hAnsi="Times New Roman"/>
                <w:sz w:val="16"/>
                <w:szCs w:val="16"/>
                <w:color w:val="0000EE"/>
              </w:rPr>
            </w:pPr>
            <w:hyperlink r:id="rId303">
              <w:r>
                <w:rPr>
                  <w:rFonts w:ascii="Times New Roman" w:cs="Times New Roman" w:eastAsia="Times New Roman" w:hAnsi="Times New Roman"/>
                  <w:sz w:val="16"/>
                  <w:szCs w:val="16"/>
                  <w:color w:val="0000EE"/>
                </w:rPr>
                <w:t>to Exhibit 10.13 to the Company’s Form 8-K filed with the SEC on October 21, 2021).</w:t>
              </w:r>
            </w:hyperlink>
          </w:p>
        </w:tc>
        <w:tc>
          <w:tcPr>
            <w:tcW w:w="312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10.17</w:t>
            </w:r>
          </w:p>
        </w:tc>
        <w:tc>
          <w:tcPr>
            <w:tcW w:w="740" w:type="dxa"/>
            <w:vAlign w:val="bottom"/>
          </w:tcPr>
          <w:p>
            <w:pPr>
              <w:spacing w:after="0"/>
              <w:rPr>
                <w:sz w:val="23"/>
                <w:szCs w:val="23"/>
                <w:color w:val="auto"/>
              </w:rPr>
            </w:pPr>
          </w:p>
        </w:tc>
        <w:tc>
          <w:tcPr>
            <w:tcW w:w="8800" w:type="dxa"/>
            <w:vAlign w:val="bottom"/>
            <w:gridSpan w:val="25"/>
          </w:tcPr>
          <w:p>
            <w:pPr>
              <w:spacing w:after="0"/>
              <w:rPr>
                <w:rFonts w:ascii="Times New Roman" w:cs="Times New Roman" w:eastAsia="Times New Roman" w:hAnsi="Times New Roman"/>
                <w:sz w:val="16"/>
                <w:szCs w:val="16"/>
                <w:color w:val="0000EE"/>
              </w:rPr>
            </w:pPr>
            <w:hyperlink r:id="rId304">
              <w:r>
                <w:rPr>
                  <w:rFonts w:ascii="Times New Roman" w:cs="Times New Roman" w:eastAsia="Times New Roman" w:hAnsi="Times New Roman"/>
                  <w:sz w:val="16"/>
                  <w:szCs w:val="16"/>
                  <w:color w:val="0000EE"/>
                </w:rPr>
                <w:t>Employment Agreement, dated August 10, 2021, by and among Marc D’Annunzio, Opco, and the Company (incorporated by</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320" w:type="dxa"/>
            <w:vAlign w:val="bottom"/>
            <w:tcBorders>
              <w:top w:val="single" w:sz="8" w:color="0000EE"/>
              <w:bottom w:val="single" w:sz="8" w:color="0000EE"/>
            </w:tcBorders>
            <w:gridSpan w:val="10"/>
          </w:tcPr>
          <w:p>
            <w:pPr>
              <w:spacing w:after="0" w:line="176" w:lineRule="exact"/>
              <w:rPr>
                <w:rFonts w:ascii="Times New Roman" w:cs="Times New Roman" w:eastAsia="Times New Roman" w:hAnsi="Times New Roman"/>
                <w:sz w:val="16"/>
                <w:szCs w:val="16"/>
                <w:color w:val="0000EE"/>
              </w:rPr>
            </w:pPr>
            <w:hyperlink r:id="rId304">
              <w:r>
                <w:rPr>
                  <w:rFonts w:ascii="Times New Roman" w:cs="Times New Roman" w:eastAsia="Times New Roman" w:hAnsi="Times New Roman"/>
                  <w:sz w:val="16"/>
                  <w:szCs w:val="16"/>
                  <w:color w:val="0000EE"/>
                </w:rPr>
                <w:t>reference to Exhibit 10.18 to the Company’s Form 10-K filed with the SEC on March 31, 2022).</w:t>
              </w:r>
            </w:hyperlink>
          </w:p>
        </w:tc>
        <w:tc>
          <w:tcPr>
            <w:tcW w:w="1900" w:type="dxa"/>
            <w:vAlign w:val="bottom"/>
            <w:tcBorders>
              <w:top w:val="single" w:sz="8" w:color="0000EE"/>
            </w:tcBorders>
            <w:gridSpan w:val="5"/>
          </w:tcPr>
          <w:p>
            <w:pPr>
              <w:spacing w:after="0"/>
              <w:rPr>
                <w:sz w:val="15"/>
                <w:szCs w:val="15"/>
                <w:color w:val="auto"/>
              </w:rPr>
            </w:pPr>
          </w:p>
        </w:tc>
        <w:tc>
          <w:tcPr>
            <w:tcW w:w="58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10.18</w:t>
            </w:r>
          </w:p>
        </w:tc>
        <w:tc>
          <w:tcPr>
            <w:tcW w:w="740" w:type="dxa"/>
            <w:vAlign w:val="bottom"/>
          </w:tcPr>
          <w:p>
            <w:pPr>
              <w:spacing w:after="0"/>
              <w:rPr>
                <w:sz w:val="23"/>
                <w:szCs w:val="23"/>
                <w:color w:val="auto"/>
              </w:rPr>
            </w:pPr>
          </w:p>
        </w:tc>
        <w:tc>
          <w:tcPr>
            <w:tcW w:w="8280" w:type="dxa"/>
            <w:vAlign w:val="bottom"/>
            <w:tcBorders>
              <w:bottom w:val="single" w:sz="8" w:color="0000EE"/>
            </w:tcBorders>
            <w:gridSpan w:val="17"/>
          </w:tcPr>
          <w:p>
            <w:pPr>
              <w:spacing w:after="0"/>
              <w:rPr>
                <w:rFonts w:ascii="Times New Roman" w:cs="Times New Roman" w:eastAsia="Times New Roman" w:hAnsi="Times New Roman"/>
                <w:sz w:val="16"/>
                <w:szCs w:val="16"/>
                <w:color w:val="0000EE"/>
              </w:rPr>
            </w:pPr>
            <w:hyperlink r:id="rId305">
              <w:r>
                <w:rPr>
                  <w:rFonts w:ascii="Times New Roman" w:cs="Times New Roman" w:eastAsia="Times New Roman" w:hAnsi="Times New Roman"/>
                  <w:sz w:val="16"/>
                  <w:szCs w:val="16"/>
                  <w:color w:val="0000EE"/>
                </w:rPr>
                <w:t>First Amendment to Warrant Agreement, dated March 9, 2022, by and among the Company, American Stock Transfer &amp; Trust</w:t>
              </w:r>
            </w:hyperlink>
          </w:p>
        </w:tc>
        <w:tc>
          <w:tcPr>
            <w:tcW w:w="52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0" w:type="dxa"/>
            <w:vAlign w:val="bottom"/>
            <w:tcBorders>
              <w:bottom w:val="single" w:sz="8" w:color="0000EE"/>
            </w:tcBorders>
            <w:gridSpan w:val="14"/>
          </w:tcPr>
          <w:p>
            <w:pPr>
              <w:spacing w:after="0" w:line="176" w:lineRule="exact"/>
              <w:rPr>
                <w:rFonts w:ascii="Times New Roman" w:cs="Times New Roman" w:eastAsia="Times New Roman" w:hAnsi="Times New Roman"/>
                <w:sz w:val="16"/>
                <w:szCs w:val="16"/>
                <w:color w:val="0000EE"/>
              </w:rPr>
            </w:pPr>
            <w:hyperlink r:id="rId305">
              <w:r>
                <w:rPr>
                  <w:rFonts w:ascii="Times New Roman" w:cs="Times New Roman" w:eastAsia="Times New Roman" w:hAnsi="Times New Roman"/>
                  <w:sz w:val="16"/>
                  <w:szCs w:val="16"/>
                  <w:color w:val="0000EE"/>
                </w:rPr>
                <w:t>Company LLC and Continental Stock Transfer &amp; Trust Company (incorporated by reference to Exhibit 4.4 to the Company’s</w:t>
              </w:r>
            </w:hyperlink>
          </w:p>
        </w:tc>
        <w:tc>
          <w:tcPr>
            <w:tcW w:w="60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gridSpan w:val="25"/>
          </w:tcPr>
          <w:p>
            <w:pPr>
              <w:spacing w:after="0" w:line="176" w:lineRule="exact"/>
              <w:rPr>
                <w:rFonts w:ascii="Times New Roman" w:cs="Times New Roman" w:eastAsia="Times New Roman" w:hAnsi="Times New Roman"/>
                <w:sz w:val="16"/>
                <w:szCs w:val="16"/>
                <w:color w:val="0000EE"/>
              </w:rPr>
            </w:pPr>
            <w:hyperlink r:id="rId305">
              <w:r>
                <w:rPr>
                  <w:rFonts w:ascii="Times New Roman" w:cs="Times New Roman" w:eastAsia="Times New Roman" w:hAnsi="Times New Roman"/>
                  <w:sz w:val="16"/>
                  <w:szCs w:val="16"/>
                  <w:color w:val="0000EE"/>
                </w:rPr>
                <w:t>Form 10-K filed with the SEC on March 31, 2022).</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10.19</w:t>
            </w:r>
          </w:p>
        </w:tc>
        <w:tc>
          <w:tcPr>
            <w:tcW w:w="740" w:type="dxa"/>
            <w:vAlign w:val="bottom"/>
          </w:tcPr>
          <w:p>
            <w:pPr>
              <w:spacing w:after="0"/>
              <w:rPr>
                <w:sz w:val="23"/>
                <w:szCs w:val="23"/>
                <w:color w:val="auto"/>
              </w:rPr>
            </w:pPr>
          </w:p>
        </w:tc>
        <w:tc>
          <w:tcPr>
            <w:tcW w:w="8540" w:type="dxa"/>
            <w:vAlign w:val="bottom"/>
            <w:tcBorders>
              <w:bottom w:val="single" w:sz="8" w:color="0000EE"/>
            </w:tcBorders>
            <w:gridSpan w:val="21"/>
          </w:tcPr>
          <w:p>
            <w:pPr>
              <w:spacing w:after="0"/>
              <w:rPr>
                <w:rFonts w:ascii="Times New Roman" w:cs="Times New Roman" w:eastAsia="Times New Roman" w:hAnsi="Times New Roman"/>
                <w:sz w:val="16"/>
                <w:szCs w:val="16"/>
                <w:color w:val="0000EE"/>
              </w:rPr>
            </w:pPr>
            <w:hyperlink r:id="rId306">
              <w:r>
                <w:rPr>
                  <w:rFonts w:ascii="Times New Roman" w:cs="Times New Roman" w:eastAsia="Times New Roman" w:hAnsi="Times New Roman"/>
                  <w:sz w:val="16"/>
                  <w:szCs w:val="16"/>
                  <w:color w:val="0000EE"/>
                </w:rPr>
                <w:t>Form of Performance-Based Restricted Stock Unit Award Agreement (incorporated by reference to Exhibit 10.1 to the Company’s</w:t>
              </w:r>
            </w:hyperlink>
          </w:p>
        </w:tc>
        <w:tc>
          <w:tcPr>
            <w:tcW w:w="26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gridSpan w:val="25"/>
          </w:tcPr>
          <w:p>
            <w:pPr>
              <w:spacing w:after="0" w:line="176" w:lineRule="exact"/>
              <w:rPr>
                <w:rFonts w:ascii="Times New Roman" w:cs="Times New Roman" w:eastAsia="Times New Roman" w:hAnsi="Times New Roman"/>
                <w:sz w:val="16"/>
                <w:szCs w:val="16"/>
                <w:color w:val="0000EE"/>
              </w:rPr>
            </w:pPr>
            <w:hyperlink r:id="rId306">
              <w:r>
                <w:rPr>
                  <w:rFonts w:ascii="Times New Roman" w:cs="Times New Roman" w:eastAsia="Times New Roman" w:hAnsi="Times New Roman"/>
                  <w:sz w:val="16"/>
                  <w:szCs w:val="16"/>
                  <w:color w:val="0000EE"/>
                </w:rPr>
                <w:t>Form 8-K filed with the SEC on January 26, 2022)</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10.20</w:t>
            </w:r>
          </w:p>
        </w:tc>
        <w:tc>
          <w:tcPr>
            <w:tcW w:w="740" w:type="dxa"/>
            <w:vAlign w:val="bottom"/>
          </w:tcPr>
          <w:p>
            <w:pPr>
              <w:spacing w:after="0"/>
              <w:rPr>
                <w:sz w:val="23"/>
                <w:szCs w:val="23"/>
                <w:color w:val="auto"/>
              </w:rPr>
            </w:pPr>
          </w:p>
        </w:tc>
        <w:tc>
          <w:tcPr>
            <w:tcW w:w="8800" w:type="dxa"/>
            <w:vAlign w:val="bottom"/>
            <w:tcBorders>
              <w:bottom w:val="single" w:sz="8" w:color="0000EE"/>
            </w:tcBorders>
            <w:gridSpan w:val="25"/>
          </w:tcPr>
          <w:p>
            <w:pPr>
              <w:spacing w:after="0"/>
              <w:rPr>
                <w:rFonts w:ascii="Times New Roman" w:cs="Times New Roman" w:eastAsia="Times New Roman" w:hAnsi="Times New Roman"/>
                <w:sz w:val="16"/>
                <w:szCs w:val="16"/>
                <w:color w:val="0000EE"/>
              </w:rPr>
            </w:pPr>
            <w:hyperlink r:id="rId307">
              <w:r>
                <w:rPr>
                  <w:rFonts w:ascii="Times New Roman" w:cs="Times New Roman" w:eastAsia="Times New Roman" w:hAnsi="Times New Roman"/>
                  <w:sz w:val="16"/>
                  <w:szCs w:val="16"/>
                  <w:color w:val="0000EE"/>
                </w:rPr>
                <w:t>Form of Restricted Stock Unit Award Agreement (incorporated by reference to Exhibit 10.2 to the Company’s Form 8-K filed with the</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0" w:type="dxa"/>
            <w:vAlign w:val="bottom"/>
            <w:gridSpan w:val="25"/>
          </w:tcPr>
          <w:p>
            <w:pPr>
              <w:spacing w:after="0" w:line="176" w:lineRule="exact"/>
              <w:rPr>
                <w:rFonts w:ascii="Times New Roman" w:cs="Times New Roman" w:eastAsia="Times New Roman" w:hAnsi="Times New Roman"/>
                <w:sz w:val="16"/>
                <w:szCs w:val="16"/>
                <w:color w:val="0000EE"/>
              </w:rPr>
            </w:pPr>
            <w:hyperlink r:id="rId307">
              <w:r>
                <w:rPr>
                  <w:rFonts w:ascii="Times New Roman" w:cs="Times New Roman" w:eastAsia="Times New Roman" w:hAnsi="Times New Roman"/>
                  <w:sz w:val="16"/>
                  <w:szCs w:val="16"/>
                  <w:color w:val="0000EE"/>
                </w:rPr>
                <w:t>SEC on January 26, 2022)</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10.21</w:t>
            </w:r>
          </w:p>
        </w:tc>
        <w:tc>
          <w:tcPr>
            <w:tcW w:w="740" w:type="dxa"/>
            <w:vAlign w:val="bottom"/>
          </w:tcPr>
          <w:p>
            <w:pPr>
              <w:spacing w:after="0"/>
              <w:rPr>
                <w:sz w:val="23"/>
                <w:szCs w:val="23"/>
                <w:color w:val="auto"/>
              </w:rPr>
            </w:pPr>
          </w:p>
        </w:tc>
        <w:tc>
          <w:tcPr>
            <w:tcW w:w="8800" w:type="dxa"/>
            <w:vAlign w:val="bottom"/>
            <w:gridSpan w:val="25"/>
          </w:tcPr>
          <w:p>
            <w:pPr>
              <w:spacing w:after="0"/>
              <w:rPr>
                <w:rFonts w:ascii="Times New Roman" w:cs="Times New Roman" w:eastAsia="Times New Roman" w:hAnsi="Times New Roman"/>
                <w:sz w:val="16"/>
                <w:szCs w:val="16"/>
                <w:color w:val="0000EE"/>
              </w:rPr>
            </w:pPr>
            <w:hyperlink r:id="rId308">
              <w:r>
                <w:rPr>
                  <w:rFonts w:ascii="Times New Roman" w:cs="Times New Roman" w:eastAsia="Times New Roman" w:hAnsi="Times New Roman"/>
                  <w:sz w:val="16"/>
                  <w:szCs w:val="16"/>
                  <w:color w:val="0000EE"/>
                </w:rPr>
                <w:t>Form of Director Restricted Stock Unit Agreement under the Bakkt Holdings, Inc. 2021 Omnibus Incentive Plan (incorporated by</w:t>
              </w:r>
            </w:hyperlink>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500" w:type="dxa"/>
            <w:vAlign w:val="bottom"/>
            <w:tcBorders>
              <w:top w:val="single" w:sz="8" w:color="0000EE"/>
            </w:tcBorders>
            <w:gridSpan w:val="20"/>
          </w:tcPr>
          <w:p>
            <w:pPr>
              <w:spacing w:after="0" w:line="176" w:lineRule="exact"/>
              <w:rPr>
                <w:rFonts w:ascii="Times New Roman" w:cs="Times New Roman" w:eastAsia="Times New Roman" w:hAnsi="Times New Roman"/>
                <w:sz w:val="16"/>
                <w:szCs w:val="16"/>
                <w:color w:val="0000EE"/>
              </w:rPr>
            </w:pPr>
            <w:hyperlink r:id="rId308">
              <w:r>
                <w:rPr>
                  <w:rFonts w:ascii="Times New Roman" w:cs="Times New Roman" w:eastAsia="Times New Roman" w:hAnsi="Times New Roman"/>
                  <w:sz w:val="16"/>
                  <w:szCs w:val="16"/>
                  <w:color w:val="0000EE"/>
                </w:rPr>
                <w:t>reference to Exhibit 10.11 to the Company’s Form 10-K filed with the SEC on March 31, 2022).</w:t>
              </w:r>
            </w:hyperlink>
          </w:p>
        </w:tc>
        <w:tc>
          <w:tcPr>
            <w:tcW w:w="3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36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10.22</w:t>
            </w:r>
          </w:p>
        </w:tc>
        <w:tc>
          <w:tcPr>
            <w:tcW w:w="740" w:type="dxa"/>
            <w:vAlign w:val="bottom"/>
          </w:tcPr>
          <w:p>
            <w:pPr>
              <w:spacing w:after="0"/>
              <w:rPr>
                <w:sz w:val="23"/>
                <w:szCs w:val="23"/>
                <w:color w:val="auto"/>
              </w:rPr>
            </w:pPr>
          </w:p>
        </w:tc>
        <w:tc>
          <w:tcPr>
            <w:tcW w:w="800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rPr>
            </w:pPr>
            <w:hyperlink r:id="rId309">
              <w:r>
                <w:rPr>
                  <w:rFonts w:ascii="Times New Roman" w:cs="Times New Roman" w:eastAsia="Times New Roman" w:hAnsi="Times New Roman"/>
                  <w:sz w:val="16"/>
                  <w:szCs w:val="16"/>
                  <w:color w:val="0000EE"/>
                </w:rPr>
                <w:t>Form of Executive Officer Restricted Stock Unit Agreement under the Bakkt Holdings, Inc. 2021 Omnibus Incentive Plan</w:t>
              </w:r>
            </w:hyperlink>
          </w:p>
        </w:tc>
        <w:tc>
          <w:tcPr>
            <w:tcW w:w="800" w:type="dxa"/>
            <w:vAlign w:val="bottom"/>
            <w:gridSpan w:val="12"/>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40" w:type="dxa"/>
            <w:vAlign w:val="bottom"/>
            <w:tcBorders>
              <w:bottom w:val="single" w:sz="8" w:color="0000EE"/>
            </w:tcBorders>
            <w:gridSpan w:val="12"/>
          </w:tcPr>
          <w:p>
            <w:pPr>
              <w:spacing w:after="0" w:line="176" w:lineRule="exact"/>
              <w:rPr>
                <w:rFonts w:ascii="Times New Roman" w:cs="Times New Roman" w:eastAsia="Times New Roman" w:hAnsi="Times New Roman"/>
                <w:sz w:val="16"/>
                <w:szCs w:val="16"/>
                <w:color w:val="0000EE"/>
              </w:rPr>
            </w:pPr>
            <w:hyperlink r:id="rId309">
              <w:r>
                <w:rPr>
                  <w:rFonts w:ascii="Times New Roman" w:cs="Times New Roman" w:eastAsia="Times New Roman" w:hAnsi="Times New Roman"/>
                  <w:sz w:val="16"/>
                  <w:szCs w:val="16"/>
                  <w:color w:val="0000EE"/>
                </w:rPr>
                <w:t>(incorporated by reference to Exhibit 10.12 to the Company’s Form 10-K filed with the SEC on March 31, 2022).</w:t>
              </w:r>
            </w:hyperlink>
          </w:p>
        </w:tc>
        <w:tc>
          <w:tcPr>
            <w:tcW w:w="136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10.23</w:t>
            </w:r>
          </w:p>
        </w:tc>
        <w:tc>
          <w:tcPr>
            <w:tcW w:w="740" w:type="dxa"/>
            <w:vAlign w:val="bottom"/>
          </w:tcPr>
          <w:p>
            <w:pPr>
              <w:spacing w:after="0"/>
              <w:rPr>
                <w:sz w:val="23"/>
                <w:szCs w:val="23"/>
                <w:color w:val="auto"/>
              </w:rPr>
            </w:pPr>
          </w:p>
        </w:tc>
        <w:tc>
          <w:tcPr>
            <w:tcW w:w="8500" w:type="dxa"/>
            <w:vAlign w:val="bottom"/>
            <w:tcBorders>
              <w:bottom w:val="single" w:sz="8" w:color="0000EE"/>
            </w:tcBorders>
            <w:gridSpan w:val="20"/>
          </w:tcPr>
          <w:p>
            <w:pPr>
              <w:spacing w:after="0"/>
              <w:rPr>
                <w:rFonts w:ascii="Times New Roman" w:cs="Times New Roman" w:eastAsia="Times New Roman" w:hAnsi="Times New Roman"/>
                <w:sz w:val="16"/>
                <w:szCs w:val="16"/>
                <w:color w:val="0000EE"/>
              </w:rPr>
            </w:pPr>
            <w:hyperlink r:id="rId310">
              <w:r>
                <w:rPr>
                  <w:rFonts w:ascii="Times New Roman" w:cs="Times New Roman" w:eastAsia="Times New Roman" w:hAnsi="Times New Roman"/>
                  <w:sz w:val="16"/>
                  <w:szCs w:val="16"/>
                  <w:color w:val="0000EE"/>
                </w:rPr>
                <w:t>Form of Performance Unit Agreement under the Bakkt Holdings, Inc. 2021 Omnibus Incentive Plan (incorporated by reference to</w:t>
              </w:r>
            </w:hyperlink>
          </w:p>
        </w:tc>
        <w:tc>
          <w:tcPr>
            <w:tcW w:w="30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500" w:type="dxa"/>
            <w:vAlign w:val="bottom"/>
            <w:tcBorders>
              <w:bottom w:val="single" w:sz="8" w:color="0000EE"/>
            </w:tcBorders>
            <w:gridSpan w:val="5"/>
          </w:tcPr>
          <w:p>
            <w:pPr>
              <w:spacing w:after="0" w:line="176" w:lineRule="exact"/>
              <w:rPr>
                <w:rFonts w:ascii="Times New Roman" w:cs="Times New Roman" w:eastAsia="Times New Roman" w:hAnsi="Times New Roman"/>
                <w:sz w:val="16"/>
                <w:szCs w:val="16"/>
                <w:color w:val="0000EE"/>
              </w:rPr>
            </w:pPr>
            <w:hyperlink r:id="rId310">
              <w:r>
                <w:rPr>
                  <w:rFonts w:ascii="Times New Roman" w:cs="Times New Roman" w:eastAsia="Times New Roman" w:hAnsi="Times New Roman"/>
                  <w:sz w:val="16"/>
                  <w:szCs w:val="16"/>
                  <w:color w:val="0000EE"/>
                </w:rPr>
                <w:t>Exhibit 10.13 to the Company’s Form 10-K filed with the SEC on March 31, 2022).</w:t>
              </w:r>
            </w:hyperlink>
          </w:p>
        </w:tc>
        <w:tc>
          <w:tcPr>
            <w:tcW w:w="330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16.1</w:t>
            </w:r>
          </w:p>
        </w:tc>
        <w:tc>
          <w:tcPr>
            <w:tcW w:w="740" w:type="dxa"/>
            <w:vAlign w:val="bottom"/>
          </w:tcPr>
          <w:p>
            <w:pPr>
              <w:spacing w:after="0"/>
              <w:rPr>
                <w:sz w:val="23"/>
                <w:szCs w:val="23"/>
                <w:color w:val="auto"/>
              </w:rPr>
            </w:pPr>
          </w:p>
        </w:tc>
        <w:tc>
          <w:tcPr>
            <w:tcW w:w="8800" w:type="dxa"/>
            <w:vAlign w:val="bottom"/>
            <w:gridSpan w:val="25"/>
          </w:tcPr>
          <w:p>
            <w:pPr>
              <w:spacing w:after="0"/>
              <w:rPr>
                <w:rFonts w:ascii="Times New Roman" w:cs="Times New Roman" w:eastAsia="Times New Roman" w:hAnsi="Times New Roman"/>
                <w:sz w:val="16"/>
                <w:szCs w:val="16"/>
                <w:color w:val="0000EE"/>
              </w:rPr>
            </w:pPr>
            <w:hyperlink w:anchor="page241">
              <w:r>
                <w:rPr>
                  <w:rFonts w:ascii="Times New Roman" w:cs="Times New Roman" w:eastAsia="Times New Roman" w:hAnsi="Times New Roman"/>
                  <w:sz w:val="16"/>
                  <w:szCs w:val="16"/>
                  <w:color w:val="0000EE"/>
                </w:rPr>
                <w:t>Letter from WithumSmith+Brown, PC, regarding Change in Independent Registered Public Accounting Firm dated April 5, 2022.</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740" w:type="dxa"/>
            <w:vAlign w:val="bottom"/>
            <w:gridSpan w:val="7"/>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21.1</w:t>
            </w:r>
          </w:p>
        </w:tc>
        <w:tc>
          <w:tcPr>
            <w:tcW w:w="740" w:type="dxa"/>
            <w:vAlign w:val="bottom"/>
          </w:tcPr>
          <w:p>
            <w:pPr>
              <w:spacing w:after="0"/>
              <w:rPr>
                <w:sz w:val="23"/>
                <w:szCs w:val="23"/>
                <w:color w:val="auto"/>
              </w:rPr>
            </w:pPr>
          </w:p>
        </w:tc>
        <w:tc>
          <w:tcPr>
            <w:tcW w:w="858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rPr>
            </w:pPr>
            <w:hyperlink r:id="rId311">
              <w:r>
                <w:rPr>
                  <w:rFonts w:ascii="Times New Roman" w:cs="Times New Roman" w:eastAsia="Times New Roman" w:hAnsi="Times New Roman"/>
                  <w:sz w:val="16"/>
                  <w:szCs w:val="16"/>
                  <w:color w:val="0000EE"/>
                </w:rPr>
                <w:t>List of subsidiaries of the registrant. (incorporated by reference to Exhibit 21.1 to the Company’s Form 10-K filed with the SEC on</w:t>
              </w:r>
            </w:hyperlink>
          </w:p>
        </w:tc>
        <w:tc>
          <w:tcPr>
            <w:tcW w:w="2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Borders>
              <w:bottom w:val="single" w:sz="8" w:color="0000EE"/>
            </w:tcBorders>
          </w:tcPr>
          <w:p>
            <w:pPr>
              <w:spacing w:after="0" w:line="176" w:lineRule="exact"/>
              <w:rPr>
                <w:rFonts w:ascii="Times New Roman" w:cs="Times New Roman" w:eastAsia="Times New Roman" w:hAnsi="Times New Roman"/>
                <w:sz w:val="16"/>
                <w:szCs w:val="16"/>
                <w:color w:val="0000EE"/>
              </w:rPr>
            </w:pPr>
            <w:hyperlink r:id="rId311">
              <w:r>
                <w:rPr>
                  <w:rFonts w:ascii="Times New Roman" w:cs="Times New Roman" w:eastAsia="Times New Roman" w:hAnsi="Times New Roman"/>
                  <w:sz w:val="16"/>
                  <w:szCs w:val="16"/>
                  <w:color w:val="0000EE"/>
                </w:rPr>
                <w:t>March 31, 2022).</w:t>
              </w:r>
            </w:hyperlink>
          </w:p>
        </w:tc>
        <w:tc>
          <w:tcPr>
            <w:tcW w:w="766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23.1</w:t>
            </w:r>
          </w:p>
        </w:tc>
        <w:tc>
          <w:tcPr>
            <w:tcW w:w="740" w:type="dxa"/>
            <w:vAlign w:val="bottom"/>
          </w:tcPr>
          <w:p>
            <w:pPr>
              <w:spacing w:after="0"/>
              <w:rPr>
                <w:sz w:val="23"/>
                <w:szCs w:val="23"/>
                <w:color w:val="auto"/>
              </w:rPr>
            </w:pPr>
          </w:p>
        </w:tc>
        <w:tc>
          <w:tcPr>
            <w:tcW w:w="8800" w:type="dxa"/>
            <w:vAlign w:val="bottom"/>
            <w:gridSpan w:val="25"/>
          </w:tcPr>
          <w:p>
            <w:pPr>
              <w:spacing w:after="0"/>
              <w:rPr>
                <w:rFonts w:ascii="Times New Roman" w:cs="Times New Roman" w:eastAsia="Times New Roman" w:hAnsi="Times New Roman"/>
                <w:sz w:val="16"/>
                <w:szCs w:val="16"/>
                <w:color w:val="0000EE"/>
              </w:rPr>
            </w:pPr>
            <w:hyperlink w:anchor="page242">
              <w:r>
                <w:rPr>
                  <w:rFonts w:ascii="Times New Roman" w:cs="Times New Roman" w:eastAsia="Times New Roman" w:hAnsi="Times New Roman"/>
                  <w:sz w:val="16"/>
                  <w:szCs w:val="16"/>
                  <w:color w:val="0000EE"/>
                </w:rPr>
                <w:t>Consent of Ernst &amp; Young LLP, independent registered public accounting firm of the Company.</w:t>
              </w:r>
            </w:hyperlink>
          </w:p>
        </w:tc>
        <w:tc>
          <w:tcPr>
            <w:tcW w:w="0" w:type="dxa"/>
            <w:vAlign w:val="bottom"/>
          </w:tcPr>
          <w:p>
            <w:pPr>
              <w:spacing w:after="0"/>
              <w:rPr>
                <w:sz w:val="1"/>
                <w:szCs w:val="1"/>
                <w:color w:val="auto"/>
              </w:rPr>
            </w:pPr>
          </w:p>
        </w:tc>
      </w:tr>
      <w:tr>
        <w:trPr>
          <w:trHeight w:val="274"/>
        </w:trPr>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23.2</w:t>
            </w:r>
          </w:p>
        </w:tc>
        <w:tc>
          <w:tcPr>
            <w:tcW w:w="740" w:type="dxa"/>
            <w:vAlign w:val="bottom"/>
          </w:tcPr>
          <w:p>
            <w:pPr>
              <w:spacing w:after="0"/>
              <w:rPr>
                <w:sz w:val="23"/>
                <w:szCs w:val="23"/>
                <w:color w:val="auto"/>
              </w:rPr>
            </w:pPr>
          </w:p>
        </w:tc>
        <w:tc>
          <w:tcPr>
            <w:tcW w:w="58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6"/>
                <w:szCs w:val="16"/>
                <w:color w:val="0000EE"/>
              </w:rPr>
            </w:pPr>
            <w:hyperlink w:anchor="page243">
              <w:r>
                <w:rPr>
                  <w:rFonts w:ascii="Times New Roman" w:cs="Times New Roman" w:eastAsia="Times New Roman" w:hAnsi="Times New Roman"/>
                  <w:sz w:val="16"/>
                  <w:szCs w:val="16"/>
                  <w:color w:val="0000EE"/>
                </w:rPr>
                <w:t>Consent of WithumSmith+Brown, PC, independent registered public accountants of VIH.</w:t>
              </w:r>
            </w:hyperlink>
          </w:p>
        </w:tc>
        <w:tc>
          <w:tcPr>
            <w:tcW w:w="420" w:type="dxa"/>
            <w:vAlign w:val="bottom"/>
            <w:tcBorders>
              <w:top w:val="single" w:sz="8" w:color="0000EE"/>
            </w:tcBorders>
          </w:tcPr>
          <w:p>
            <w:pPr>
              <w:spacing w:after="0"/>
              <w:rPr>
                <w:sz w:val="23"/>
                <w:szCs w:val="23"/>
                <w:color w:val="auto"/>
              </w:rPr>
            </w:pPr>
          </w:p>
        </w:tc>
        <w:tc>
          <w:tcPr>
            <w:tcW w:w="2500" w:type="dxa"/>
            <w:vAlign w:val="bottom"/>
            <w:gridSpan w:val="16"/>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23.3</w:t>
            </w:r>
          </w:p>
        </w:tc>
        <w:tc>
          <w:tcPr>
            <w:tcW w:w="740" w:type="dxa"/>
            <w:vAlign w:val="bottom"/>
          </w:tcPr>
          <w:p>
            <w:pPr>
              <w:spacing w:after="0"/>
              <w:rPr>
                <w:sz w:val="23"/>
                <w:szCs w:val="23"/>
                <w:color w:val="auto"/>
              </w:rPr>
            </w:pPr>
          </w:p>
        </w:tc>
        <w:tc>
          <w:tcPr>
            <w:tcW w:w="8800" w:type="dxa"/>
            <w:vAlign w:val="bottom"/>
            <w:gridSpan w:val="25"/>
          </w:tcPr>
          <w:p>
            <w:pPr>
              <w:spacing w:after="0"/>
              <w:rPr>
                <w:rFonts w:ascii="Times New Roman" w:cs="Times New Roman" w:eastAsia="Times New Roman" w:hAnsi="Times New Roman"/>
                <w:sz w:val="16"/>
                <w:szCs w:val="16"/>
                <w:color w:val="0000EE"/>
              </w:rPr>
            </w:pPr>
            <w:hyperlink r:id="rId286">
              <w:r>
                <w:rPr>
                  <w:rFonts w:ascii="Times New Roman" w:cs="Times New Roman" w:eastAsia="Times New Roman" w:hAnsi="Times New Roman"/>
                  <w:sz w:val="16"/>
                  <w:szCs w:val="16"/>
                  <w:color w:val="0000EE"/>
                </w:rPr>
                <w:t>Consent of Wilson Sonsini Goodrich &amp; Rosati, P.C. (included in the opinion filed as Exhibit 5.1 to this registration statement).</w:t>
              </w:r>
            </w:hyperlink>
          </w:p>
        </w:tc>
        <w:tc>
          <w:tcPr>
            <w:tcW w:w="0" w:type="dxa"/>
            <w:vAlign w:val="bottom"/>
          </w:tcPr>
          <w:p>
            <w:pPr>
              <w:spacing w:after="0"/>
              <w:rPr>
                <w:sz w:val="1"/>
                <w:szCs w:val="1"/>
                <w:color w:val="auto"/>
              </w:rPr>
            </w:pPr>
          </w:p>
        </w:tc>
      </w:tr>
      <w:tr>
        <w:trPr>
          <w:trHeight w:val="274"/>
        </w:trPr>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24.1</w:t>
            </w:r>
          </w:p>
        </w:tc>
        <w:tc>
          <w:tcPr>
            <w:tcW w:w="740" w:type="dxa"/>
            <w:vAlign w:val="bottom"/>
          </w:tcPr>
          <w:p>
            <w:pPr>
              <w:spacing w:after="0"/>
              <w:rPr>
                <w:sz w:val="23"/>
                <w:szCs w:val="23"/>
                <w:color w:val="auto"/>
              </w:rPr>
            </w:pPr>
          </w:p>
        </w:tc>
        <w:tc>
          <w:tcPr>
            <w:tcW w:w="8260" w:type="dxa"/>
            <w:vAlign w:val="bottom"/>
            <w:tcBorders>
              <w:top w:val="single" w:sz="8" w:color="0000EE"/>
            </w:tcBorders>
            <w:gridSpan w:val="16"/>
          </w:tcPr>
          <w:p>
            <w:pPr>
              <w:spacing w:after="0"/>
              <w:rPr>
                <w:rFonts w:ascii="Times New Roman" w:cs="Times New Roman" w:eastAsia="Times New Roman" w:hAnsi="Times New Roman"/>
                <w:sz w:val="16"/>
                <w:szCs w:val="16"/>
                <w:color w:val="0000EE"/>
              </w:rPr>
            </w:pPr>
            <w:hyperlink r:id="rId312">
              <w:r>
                <w:rPr>
                  <w:rFonts w:ascii="Times New Roman" w:cs="Times New Roman" w:eastAsia="Times New Roman" w:hAnsi="Times New Roman"/>
                  <w:sz w:val="16"/>
                  <w:szCs w:val="16"/>
                  <w:color w:val="0000EE"/>
                </w:rPr>
                <w:t>Powers of Attorney (included on the signature page to the initial filing of this registration statement).</w:t>
              </w:r>
            </w:hyperlink>
          </w:p>
        </w:tc>
        <w:tc>
          <w:tcPr>
            <w:tcW w:w="540" w:type="dxa"/>
            <w:vAlign w:val="bottom"/>
            <w:gridSpan w:val="9"/>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w:t>
            </w:r>
          </w:p>
        </w:tc>
        <w:tc>
          <w:tcPr>
            <w:tcW w:w="66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22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80" w:type="dxa"/>
            <w:vAlign w:val="bottom"/>
            <w:gridSpan w:val="22"/>
          </w:tcPr>
          <w:p>
            <w:pPr>
              <w:ind w:left="360"/>
              <w:spacing w:after="0"/>
              <w:rPr>
                <w:sz w:val="20"/>
                <w:szCs w:val="20"/>
                <w:color w:val="auto"/>
              </w:rPr>
            </w:pPr>
            <w:r>
              <w:rPr>
                <w:rFonts w:ascii="Times New Roman" w:cs="Times New Roman" w:eastAsia="Times New Roman" w:hAnsi="Times New Roman"/>
                <w:sz w:val="16"/>
                <w:szCs w:val="16"/>
                <w:color w:val="auto"/>
              </w:rPr>
              <w:t>II-5</w:t>
            </w:r>
          </w:p>
        </w:tc>
        <w:tc>
          <w:tcPr>
            <w:tcW w:w="0" w:type="dxa"/>
            <w:vAlign w:val="bottom"/>
          </w:tcPr>
          <w:p>
            <w:pPr>
              <w:spacing w:after="0"/>
              <w:rPr>
                <w:sz w:val="1"/>
                <w:szCs w:val="1"/>
                <w:color w:val="auto"/>
              </w:rPr>
            </w:pPr>
          </w:p>
        </w:tc>
      </w:tr>
    </w:tbl>
    <w:p>
      <w:pPr>
        <w:sectPr>
          <w:pgSz w:w="11900" w:h="16838" w:orient="portrait"/>
          <w:cols w:equalWidth="0" w:num="1">
            <w:col w:w="10620"/>
          </w:cols>
          <w:pgMar w:left="320" w:top="453" w:right="959" w:bottom="1440" w:gutter="0" w:footer="0" w:header="0"/>
        </w:sectPr>
      </w:pPr>
    </w:p>
    <w:bookmarkStart w:id="236" w:name="page237"/>
    <w:bookmarkEnd w:id="23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3">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63"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800" w:type="dxa"/>
            <w:vAlign w:val="bottom"/>
            <w:vMerge w:val="restart"/>
          </w:tcPr>
          <w:p>
            <w:pPr>
              <w:ind w:left="40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1"/>
        </w:trPr>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94"/>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w:t>
            </w:r>
          </w:p>
        </w:tc>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94"/>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w:t>
            </w:r>
          </w:p>
        </w:tc>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94"/>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w:t>
            </w:r>
          </w:p>
        </w:tc>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94"/>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w:t>
            </w:r>
          </w:p>
        </w:tc>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94"/>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740" w:type="dxa"/>
            <w:vAlign w:val="bottom"/>
          </w:tcPr>
          <w:p>
            <w:pPr>
              <w:spacing w:after="0"/>
              <w:rPr>
                <w:sz w:val="24"/>
                <w:szCs w:val="24"/>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78740</wp:posOffset>
            </wp:positionV>
            <wp:extent cx="70040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4">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136" w:lineRule="exact"/>
        <w:rPr>
          <w:sz w:val="20"/>
          <w:szCs w:val="20"/>
          <w:color w:val="auto"/>
        </w:rPr>
      </w:pPr>
    </w:p>
    <w:p>
      <w:pPr>
        <w:ind w:left="820" w:right="260" w:hanging="197"/>
        <w:spacing w:after="0" w:line="291" w:lineRule="auto"/>
        <w:tabs>
          <w:tab w:leader="none" w:pos="8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to this agreement have been omitted pursuant to Item 601(b)(2) of Regulation S-K. A copy of any omitted schedule and/or exhibit will be furnished to the SEC upon request.</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(b) Financial Statement Schedules</w:t>
      </w:r>
    </w:p>
    <w:p>
      <w:pPr>
        <w:spacing w:after="0" w:line="114" w:lineRule="exact"/>
        <w:rPr>
          <w:sz w:val="20"/>
          <w:szCs w:val="20"/>
          <w:color w:val="auto"/>
        </w:rPr>
      </w:pPr>
    </w:p>
    <w:p>
      <w:pPr>
        <w:ind w:left="620" w:right="480"/>
        <w:spacing w:after="0" w:line="273" w:lineRule="auto"/>
        <w:rPr>
          <w:sz w:val="20"/>
          <w:szCs w:val="20"/>
          <w:color w:val="auto"/>
        </w:rPr>
      </w:pPr>
      <w:r>
        <w:rPr>
          <w:rFonts w:ascii="Times New Roman" w:cs="Times New Roman" w:eastAsia="Times New Roman" w:hAnsi="Times New Roman"/>
          <w:sz w:val="16"/>
          <w:szCs w:val="16"/>
          <w:color w:val="auto"/>
        </w:rPr>
        <w:t>All financial statement schedules are omitted because the information called for is not required or is shown either in the consolidated financial statements or in the accompanying notes. The financial statements filed as part of this registration statement are listed in the index to the financial statements immediately preceding such financial statements, which index to the financial statements is incorporated herein by reference.</w:t>
      </w:r>
    </w:p>
    <w:p>
      <w:pPr>
        <w:spacing w:after="0" w:line="287" w:lineRule="exact"/>
        <w:rPr>
          <w:sz w:val="20"/>
          <w:szCs w:val="20"/>
          <w:color w:val="auto"/>
        </w:rPr>
      </w:pPr>
    </w:p>
    <w:p>
      <w:pPr>
        <w:ind w:left="620"/>
        <w:spacing w:after="0"/>
        <w:tabs>
          <w:tab w:leader="none" w:pos="1600" w:val="left"/>
        </w:tabs>
        <w:rPr>
          <w:sz w:val="20"/>
          <w:szCs w:val="20"/>
          <w:color w:val="auto"/>
        </w:rPr>
      </w:pPr>
      <w:r>
        <w:rPr>
          <w:rFonts w:ascii="Times New Roman" w:cs="Times New Roman" w:eastAsia="Times New Roman" w:hAnsi="Times New Roman"/>
          <w:sz w:val="16"/>
          <w:szCs w:val="16"/>
          <w:b w:val="1"/>
          <w:bCs w:val="1"/>
          <w:color w:val="auto"/>
        </w:rPr>
        <w:t>Item 17.</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 The undersigned registrant hereby undertakes:</w:t>
      </w:r>
    </w:p>
    <w:p>
      <w:pPr>
        <w:spacing w:after="0" w:line="122" w:lineRule="exact"/>
        <w:rPr>
          <w:sz w:val="20"/>
          <w:szCs w:val="20"/>
          <w:color w:val="auto"/>
        </w:rPr>
      </w:pPr>
    </w:p>
    <w:p>
      <w:pPr>
        <w:ind w:left="1020" w:hanging="397"/>
        <w:spacing w:after="0"/>
        <w:tabs>
          <w:tab w:leader="none" w:pos="10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122" w:lineRule="exact"/>
        <w:rPr>
          <w:rFonts w:ascii="Times New Roman" w:cs="Times New Roman" w:eastAsia="Times New Roman" w:hAnsi="Times New Roman"/>
          <w:sz w:val="16"/>
          <w:szCs w:val="16"/>
          <w:color w:val="auto"/>
        </w:rPr>
      </w:pPr>
    </w:p>
    <w:p>
      <w:pPr>
        <w:ind w:left="1500" w:hanging="485"/>
        <w:spacing w:after="0"/>
        <w:tabs>
          <w:tab w:leader="none" w:pos="1500"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w:t>
      </w:r>
    </w:p>
    <w:p>
      <w:pPr>
        <w:spacing w:after="0" w:line="122" w:lineRule="exact"/>
        <w:rPr>
          <w:rFonts w:ascii="Times New Roman" w:cs="Times New Roman" w:eastAsia="Times New Roman" w:hAnsi="Times New Roman"/>
          <w:sz w:val="16"/>
          <w:szCs w:val="16"/>
          <w:color w:val="auto"/>
        </w:rPr>
      </w:pPr>
    </w:p>
    <w:p>
      <w:pPr>
        <w:ind w:left="1500" w:right="20" w:hanging="485"/>
        <w:spacing w:after="0" w:line="261" w:lineRule="auto"/>
        <w:tabs>
          <w:tab w:leader="none" w:pos="1500"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82" w:lineRule="exact"/>
        <w:rPr>
          <w:rFonts w:ascii="Times New Roman" w:cs="Times New Roman" w:eastAsia="Times New Roman" w:hAnsi="Times New Roman"/>
          <w:sz w:val="16"/>
          <w:szCs w:val="16"/>
          <w:color w:val="auto"/>
        </w:rPr>
      </w:pPr>
    </w:p>
    <w:p>
      <w:pPr>
        <w:ind w:left="1500" w:hanging="485"/>
        <w:spacing w:after="0" w:line="263" w:lineRule="auto"/>
        <w:tabs>
          <w:tab w:leader="none" w:pos="1500"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paragraphs (a)(1)(i), (a)(1)(ii) and (a)(1)(iii) of this section do not apply if the registration statement is on form S-1 and the information required to be included in a post- 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7" w:lineRule="exact"/>
        <w:rPr>
          <w:rFonts w:ascii="Times New Roman" w:cs="Times New Roman" w:eastAsia="Times New Roman" w:hAnsi="Times New Roman"/>
          <w:sz w:val="16"/>
          <w:szCs w:val="16"/>
          <w:color w:val="auto"/>
        </w:rPr>
      </w:pPr>
    </w:p>
    <w:p>
      <w:pPr>
        <w:ind w:left="1020" w:right="40" w:hanging="397"/>
        <w:spacing w:after="0" w:line="273" w:lineRule="auto"/>
        <w:tabs>
          <w:tab w:leader="none" w:pos="10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bona fide offering thereof.</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II-6</w:t>
      </w:r>
    </w:p>
    <w:p>
      <w:pPr>
        <w:sectPr>
          <w:pgSz w:w="11900" w:h="16838" w:orient="portrait"/>
          <w:cols w:equalWidth="0" w:num="1">
            <w:col w:w="10620"/>
          </w:cols>
          <w:pgMar w:left="320" w:top="453" w:right="959" w:bottom="1440" w:gutter="0" w:footer="0" w:header="0"/>
        </w:sectPr>
      </w:pPr>
    </w:p>
    <w:bookmarkStart w:id="237" w:name="page238"/>
    <w:bookmarkEnd w:id="23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5">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1020" w:right="20" w:hanging="397"/>
        <w:spacing w:after="0" w:line="291" w:lineRule="auto"/>
        <w:tabs>
          <w:tab w:leader="none" w:pos="10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56" w:lineRule="exact"/>
        <w:rPr>
          <w:rFonts w:ascii="Times New Roman" w:cs="Times New Roman" w:eastAsia="Times New Roman" w:hAnsi="Times New Roman"/>
          <w:sz w:val="16"/>
          <w:szCs w:val="16"/>
          <w:color w:val="auto"/>
        </w:rPr>
      </w:pPr>
    </w:p>
    <w:p>
      <w:pPr>
        <w:ind w:left="1020" w:hanging="397"/>
        <w:spacing w:after="0"/>
        <w:tabs>
          <w:tab w:leader="none" w:pos="10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under the Securities Act to any purchaser: (i) If the registrant is relying on Rule 430B:</w:t>
      </w:r>
    </w:p>
    <w:p>
      <w:pPr>
        <w:spacing w:after="0" w:line="122" w:lineRule="exact"/>
        <w:rPr>
          <w:rFonts w:ascii="Times New Roman" w:cs="Times New Roman" w:eastAsia="Times New Roman" w:hAnsi="Times New Roman"/>
          <w:sz w:val="16"/>
          <w:szCs w:val="16"/>
          <w:color w:val="auto"/>
        </w:rPr>
      </w:pPr>
    </w:p>
    <w:p>
      <w:pPr>
        <w:ind w:left="1500" w:right="60" w:hanging="485"/>
        <w:spacing w:after="0" w:line="291" w:lineRule="auto"/>
        <w:tabs>
          <w:tab w:leader="none" w:pos="1500"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6" w:lineRule="exact"/>
        <w:rPr>
          <w:rFonts w:ascii="Times New Roman" w:cs="Times New Roman" w:eastAsia="Times New Roman" w:hAnsi="Times New Roman"/>
          <w:sz w:val="16"/>
          <w:szCs w:val="16"/>
          <w:color w:val="auto"/>
        </w:rPr>
      </w:pPr>
    </w:p>
    <w:p>
      <w:pPr>
        <w:ind w:left="1500" w:right="20" w:hanging="485"/>
        <w:spacing w:after="0" w:line="259" w:lineRule="auto"/>
        <w:tabs>
          <w:tab w:leader="none" w:pos="1500"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80" w:lineRule="exact"/>
        <w:rPr>
          <w:sz w:val="20"/>
          <w:szCs w:val="20"/>
          <w:color w:val="auto"/>
        </w:rPr>
      </w:pPr>
    </w:p>
    <w:p>
      <w:pPr>
        <w:ind w:left="1500" w:hanging="485"/>
        <w:spacing w:after="0" w:line="260" w:lineRule="auto"/>
        <w:tabs>
          <w:tab w:leader="none" w:pos="1500"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registrant is subject to Rule 430C (§ 230.430C of this chapter), each prospectus filed pursuant to Rule 424(b) as part of a registration statement relating to an offering, other than registration statements relying on Rule 430B or other than prospectuses filed in reliance on Rule 430A (§ 230.430A of this chapter), shall be deemed to be part of and included in the registration statement as of the date it is first used after effectiveness.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4" w:lineRule="exact"/>
        <w:rPr>
          <w:rFonts w:ascii="Times New Roman" w:cs="Times New Roman" w:eastAsia="Times New Roman" w:hAnsi="Times New Roman"/>
          <w:sz w:val="16"/>
          <w:szCs w:val="16"/>
          <w:color w:val="auto"/>
        </w:rPr>
      </w:pPr>
    </w:p>
    <w:p>
      <w:pPr>
        <w:ind w:left="1020" w:right="20" w:hanging="397"/>
        <w:spacing w:after="0" w:line="264" w:lineRule="auto"/>
        <w:tabs>
          <w:tab w:leader="none" w:pos="102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8" w:lineRule="exact"/>
        <w:rPr>
          <w:rFonts w:ascii="Times New Roman" w:cs="Times New Roman" w:eastAsia="Times New Roman" w:hAnsi="Times New Roman"/>
          <w:sz w:val="16"/>
          <w:szCs w:val="16"/>
          <w:color w:val="auto"/>
        </w:rPr>
      </w:pPr>
    </w:p>
    <w:p>
      <w:pPr>
        <w:ind w:left="1500" w:hanging="485"/>
        <w:spacing w:after="0"/>
        <w:tabs>
          <w:tab w:leader="none" w:pos="1500"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preliminary prospectus or prospectus of the undersigned registrant relating to the offering required to be filed pursuant to Rule 424;</w:t>
      </w:r>
    </w:p>
    <w:p>
      <w:pPr>
        <w:spacing w:after="0" w:line="122" w:lineRule="exact"/>
        <w:rPr>
          <w:rFonts w:ascii="Times New Roman" w:cs="Times New Roman" w:eastAsia="Times New Roman" w:hAnsi="Times New Roman"/>
          <w:sz w:val="16"/>
          <w:szCs w:val="16"/>
          <w:color w:val="auto"/>
        </w:rPr>
      </w:pPr>
    </w:p>
    <w:p>
      <w:pPr>
        <w:ind w:left="1500" w:right="340" w:hanging="485"/>
        <w:spacing w:after="0" w:line="291" w:lineRule="auto"/>
        <w:tabs>
          <w:tab w:leader="none" w:pos="1500"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free writing prospectus relating to the offering prepared by or on behalf of the undersigned registrant or used or referred to by the undersigned registrant;</w:t>
      </w:r>
    </w:p>
    <w:p>
      <w:pPr>
        <w:spacing w:after="0" w:line="56" w:lineRule="exact"/>
        <w:rPr>
          <w:rFonts w:ascii="Times New Roman" w:cs="Times New Roman" w:eastAsia="Times New Roman" w:hAnsi="Times New Roman"/>
          <w:sz w:val="16"/>
          <w:szCs w:val="16"/>
          <w:color w:val="auto"/>
        </w:rPr>
      </w:pPr>
    </w:p>
    <w:p>
      <w:pPr>
        <w:ind w:left="1500" w:right="20" w:hanging="485"/>
        <w:spacing w:after="0" w:line="291" w:lineRule="auto"/>
        <w:tabs>
          <w:tab w:leader="none" w:pos="1500"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56" w:lineRule="exact"/>
        <w:rPr>
          <w:rFonts w:ascii="Times New Roman" w:cs="Times New Roman" w:eastAsia="Times New Roman" w:hAnsi="Times New Roman"/>
          <w:sz w:val="16"/>
          <w:szCs w:val="16"/>
          <w:color w:val="auto"/>
        </w:rPr>
      </w:pPr>
    </w:p>
    <w:p>
      <w:pPr>
        <w:ind w:left="1500" w:hanging="485"/>
        <w:spacing w:after="0"/>
        <w:tabs>
          <w:tab w:leader="none" w:pos="1500"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communication that is an offer in the offering made by the undersigned registrant to the purchaser.</w:t>
      </w:r>
    </w:p>
    <w:p>
      <w:pPr>
        <w:spacing w:after="0" w:line="1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II-7</w:t>
      </w:r>
    </w:p>
    <w:p>
      <w:pPr>
        <w:sectPr>
          <w:pgSz w:w="11900" w:h="16838" w:orient="portrait"/>
          <w:cols w:equalWidth="0" w:num="1">
            <w:col w:w="10620"/>
          </w:cols>
          <w:pgMar w:left="320" w:top="453" w:right="959" w:bottom="1440" w:gutter="0" w:footer="0" w:header="0"/>
        </w:sectPr>
      </w:pPr>
    </w:p>
    <w:bookmarkStart w:id="238" w:name="page239"/>
    <w:bookmarkEnd w:id="23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6">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83" w:lineRule="exact"/>
        <w:rPr>
          <w:sz w:val="20"/>
          <w:szCs w:val="20"/>
          <w:color w:val="auto"/>
        </w:rPr>
      </w:pPr>
    </w:p>
    <w:p>
      <w:pPr>
        <w:ind w:left="620" w:firstLine="3"/>
        <w:spacing w:after="0" w:line="260" w:lineRule="auto"/>
        <w:tabs>
          <w:tab w:leader="none" w:pos="851"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II-8</w:t>
      </w:r>
    </w:p>
    <w:p>
      <w:pPr>
        <w:sectPr>
          <w:pgSz w:w="11900" w:h="16838" w:orient="portrait"/>
          <w:cols w:equalWidth="0" w:num="1">
            <w:col w:w="10580"/>
          </w:cols>
          <w:pgMar w:left="320" w:top="453" w:right="999" w:bottom="1440" w:gutter="0" w:footer="0" w:header="0"/>
        </w:sectPr>
      </w:pPr>
    </w:p>
    <w:bookmarkStart w:id="239" w:name="page240"/>
    <w:bookmarkEnd w:id="23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514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7">
                      <a:extLst>
                        <a:ext uri="{28A0092B-C50C-407E-A947-70E740481C1C}"/>
                      </a:extLst>
                    </a:blip>
                    <a:srcRect/>
                    <a:stretch>
                      <a:fillRect/>
                    </a:stretch>
                  </pic:blipFill>
                  <pic:spPr bwMode="auto">
                    <a:xfrm>
                      <a:off x="0" y="0"/>
                      <a:ext cx="7185660" cy="51435"/>
                    </a:xfrm>
                    <a:prstGeom prst="rect">
                      <a:avLst/>
                    </a:prstGeom>
                    <a:noFill/>
                  </pic:spPr>
                </pic:pic>
              </a:graphicData>
            </a:graphic>
          </wp:anchor>
        </w:drawing>
      </w: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7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2" w:lineRule="exact"/>
        <w:rPr>
          <w:sz w:val="20"/>
          <w:szCs w:val="20"/>
          <w:color w:val="auto"/>
        </w:rPr>
      </w:pPr>
    </w:p>
    <w:p>
      <w:pPr>
        <w:ind w:left="620" w:right="340"/>
        <w:spacing w:after="0" w:line="291"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has duly caused this registration statement to be signed on its behalf by the undersigned, thereunto duly authorized in the City of Alpharetta, State of Georgia, on April 5, 2022.</w:t>
      </w:r>
    </w:p>
    <w:p>
      <w:pPr>
        <w:spacing w:after="0" w:line="16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BAKKT HOLDINGS, INC.</w:t>
      </w:r>
    </w:p>
    <w:p>
      <w:pPr>
        <w:spacing w:after="0" w:line="2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color w:val="auto"/>
        </w:rPr>
        <w:t>By: /s/ Gavin Michael</w:t>
      </w:r>
    </w:p>
    <w:p>
      <w:pPr>
        <w:spacing w:after="0" w:line="2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-115570</wp:posOffset>
            </wp:positionV>
            <wp:extent cx="235839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8">
                      <a:extLst>
                        <a:ext uri="{28A0092B-C50C-407E-A947-70E740481C1C}"/>
                      </a:extLst>
                    </a:blip>
                    <a:srcRect/>
                    <a:stretch>
                      <a:fillRect/>
                    </a:stretch>
                  </pic:blipFill>
                  <pic:spPr bwMode="auto">
                    <a:xfrm>
                      <a:off x="0" y="0"/>
                      <a:ext cx="2358390" cy="7620"/>
                    </a:xfrm>
                    <a:prstGeom prst="rect">
                      <a:avLst/>
                    </a:prstGeom>
                    <a:noFill/>
                  </pic:spPr>
                </pic:pic>
              </a:graphicData>
            </a:graphic>
          </wp:anchor>
        </w:drawing>
      </w:r>
    </w:p>
    <w:p>
      <w:pPr>
        <w:spacing w:after="0" w:line="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93" w:lineRule="exact"/>
        <w:rPr>
          <w:sz w:val="20"/>
          <w:szCs w:val="20"/>
          <w:color w:val="auto"/>
        </w:rPr>
      </w:pPr>
    </w:p>
    <w:p>
      <w:pPr>
        <w:ind w:left="620" w:right="120"/>
        <w:spacing w:after="0" w:line="291" w:lineRule="auto"/>
        <w:rPr>
          <w:sz w:val="20"/>
          <w:szCs w:val="20"/>
          <w:color w:val="auto"/>
        </w:rPr>
      </w:pPr>
      <w:r>
        <w:rPr>
          <w:rFonts w:ascii="Times New Roman" w:cs="Times New Roman" w:eastAsia="Times New Roman" w:hAnsi="Times New Roman"/>
          <w:sz w:val="16"/>
          <w:szCs w:val="16"/>
          <w:color w:val="auto"/>
        </w:rPr>
        <w:t>Pursuant to the requirements of the Securities Act, this registration statement has been signed by the following persons in the capacities and on April 5, 2022.</w:t>
      </w:r>
    </w:p>
    <w:p>
      <w:pPr>
        <w:spacing w:after="0" w:line="161" w:lineRule="exact"/>
        <w:rPr>
          <w:sz w:val="20"/>
          <w:szCs w:val="20"/>
          <w:color w:val="auto"/>
        </w:rPr>
      </w:pPr>
    </w:p>
    <w:tbl>
      <w:tblPr>
        <w:tblLayout w:type="fixed"/>
        <w:tblInd w:w="620" w:type="dxa"/>
        <w:tblCellMar>
          <w:top w:w="0" w:type="dxa"/>
          <w:left w:w="0" w:type="dxa"/>
          <w:bottom w:w="0" w:type="dxa"/>
          <w:right w:w="0" w:type="dxa"/>
        </w:tblCellMar>
      </w:tblPr>
      <w:tr>
        <w:trPr>
          <w:trHeight w:val="169"/>
        </w:trPr>
        <w:tc>
          <w:tcPr>
            <w:tcW w:w="52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9"/>
              </w:rPr>
              <w:t>Signature</w:t>
            </w:r>
          </w:p>
        </w:tc>
        <w:tc>
          <w:tcPr>
            <w:tcW w:w="200" w:type="dxa"/>
            <w:vAlign w:val="bottom"/>
          </w:tcPr>
          <w:p>
            <w:pPr>
              <w:spacing w:after="0"/>
              <w:rPr>
                <w:sz w:val="14"/>
                <w:szCs w:val="14"/>
                <w:color w:val="auto"/>
              </w:rPr>
            </w:pPr>
          </w:p>
        </w:tc>
        <w:tc>
          <w:tcPr>
            <w:tcW w:w="522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3"/>
                <w:szCs w:val="13"/>
                <w:b w:val="1"/>
                <w:bCs w:val="1"/>
                <w:color w:val="auto"/>
              </w:rPr>
              <w:t>Title</w:t>
            </w:r>
          </w:p>
        </w:tc>
      </w:tr>
      <w:tr>
        <w:trPr>
          <w:trHeight w:val="371"/>
        </w:trPr>
        <w:tc>
          <w:tcPr>
            <w:tcW w:w="5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/s/ Gavin Michael</w:t>
            </w:r>
          </w:p>
        </w:tc>
        <w:tc>
          <w:tcPr>
            <w:tcW w:w="20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Director</w:t>
            </w:r>
          </w:p>
        </w:tc>
      </w:tr>
      <w:tr>
        <w:trPr>
          <w:trHeight w:val="205"/>
        </w:trPr>
        <w:tc>
          <w:tcPr>
            <w:tcW w:w="520" w:type="dxa"/>
            <w:vAlign w:val="bottom"/>
          </w:tcPr>
          <w:p>
            <w:pPr>
              <w:spacing w:after="0"/>
              <w:rPr>
                <w:sz w:val="17"/>
                <w:szCs w:val="17"/>
                <w:color w:val="auto"/>
              </w:rPr>
            </w:pPr>
          </w:p>
        </w:tc>
        <w:tc>
          <w:tcPr>
            <w:tcW w:w="40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Gavin Michael</w:t>
            </w:r>
          </w:p>
        </w:tc>
        <w:tc>
          <w:tcPr>
            <w:tcW w:w="200" w:type="dxa"/>
            <w:vAlign w:val="bottom"/>
          </w:tcPr>
          <w:p>
            <w:pPr>
              <w:spacing w:after="0"/>
              <w:rPr>
                <w:sz w:val="17"/>
                <w:szCs w:val="17"/>
                <w:color w:val="auto"/>
              </w:rPr>
            </w:pPr>
          </w:p>
        </w:tc>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388"/>
        </w:trPr>
        <w:tc>
          <w:tcPr>
            <w:tcW w:w="5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/s/ Andrew LaBenne</w:t>
            </w:r>
          </w:p>
        </w:tc>
        <w:tc>
          <w:tcPr>
            <w:tcW w:w="20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5"/>
        </w:trPr>
        <w:tc>
          <w:tcPr>
            <w:tcW w:w="520" w:type="dxa"/>
            <w:vAlign w:val="bottom"/>
          </w:tcPr>
          <w:p>
            <w:pPr>
              <w:spacing w:after="0"/>
              <w:rPr>
                <w:sz w:val="17"/>
                <w:szCs w:val="17"/>
                <w:color w:val="auto"/>
              </w:rPr>
            </w:pPr>
          </w:p>
        </w:tc>
        <w:tc>
          <w:tcPr>
            <w:tcW w:w="40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Andrew LaBenne</w:t>
            </w:r>
          </w:p>
        </w:tc>
        <w:tc>
          <w:tcPr>
            <w:tcW w:w="200" w:type="dxa"/>
            <w:vAlign w:val="bottom"/>
          </w:tcPr>
          <w:p>
            <w:pPr>
              <w:spacing w:after="0"/>
              <w:rPr>
                <w:sz w:val="17"/>
                <w:szCs w:val="17"/>
                <w:color w:val="auto"/>
              </w:rPr>
            </w:pPr>
          </w:p>
        </w:tc>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388"/>
        </w:trPr>
        <w:tc>
          <w:tcPr>
            <w:tcW w:w="5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/s/ Karen Alexander</w:t>
            </w:r>
          </w:p>
        </w:tc>
        <w:tc>
          <w:tcPr>
            <w:tcW w:w="20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Chief Accounting Officer</w:t>
            </w:r>
          </w:p>
        </w:tc>
      </w:tr>
      <w:tr>
        <w:trPr>
          <w:trHeight w:val="205"/>
        </w:trPr>
        <w:tc>
          <w:tcPr>
            <w:tcW w:w="520" w:type="dxa"/>
            <w:vAlign w:val="bottom"/>
          </w:tcPr>
          <w:p>
            <w:pPr>
              <w:spacing w:after="0"/>
              <w:rPr>
                <w:sz w:val="17"/>
                <w:szCs w:val="17"/>
                <w:color w:val="auto"/>
              </w:rPr>
            </w:pPr>
          </w:p>
        </w:tc>
        <w:tc>
          <w:tcPr>
            <w:tcW w:w="40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Karen Alexander</w:t>
            </w:r>
          </w:p>
        </w:tc>
        <w:tc>
          <w:tcPr>
            <w:tcW w:w="200" w:type="dxa"/>
            <w:vAlign w:val="bottom"/>
          </w:tcPr>
          <w:p>
            <w:pPr>
              <w:spacing w:after="0"/>
              <w:rPr>
                <w:sz w:val="17"/>
                <w:szCs w:val="17"/>
                <w:color w:val="auto"/>
              </w:rPr>
            </w:pPr>
          </w:p>
        </w:tc>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(Principal Accounting Officer)</w:t>
            </w:r>
          </w:p>
        </w:tc>
      </w:tr>
      <w:tr>
        <w:trPr>
          <w:trHeight w:val="388"/>
        </w:trPr>
        <w:tc>
          <w:tcPr>
            <w:tcW w:w="4420" w:type="dxa"/>
            <w:vAlign w:val="bottom"/>
            <w:tcBorders>
              <w:bottom w:val="single" w:sz="8" w:color="auto"/>
            </w:tcBorders>
            <w:gridSpan w:val="2"/>
          </w:tcPr>
          <w:p>
            <w:pPr>
              <w:jc w:val="center"/>
              <w:ind w:left="98"/>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04"/>
        </w:trPr>
        <w:tc>
          <w:tcPr>
            <w:tcW w:w="520" w:type="dxa"/>
            <w:vAlign w:val="bottom"/>
          </w:tcPr>
          <w:p>
            <w:pPr>
              <w:spacing w:after="0"/>
              <w:rPr>
                <w:sz w:val="17"/>
                <w:szCs w:val="17"/>
                <w:color w:val="auto"/>
              </w:rPr>
            </w:pPr>
          </w:p>
        </w:tc>
        <w:tc>
          <w:tcPr>
            <w:tcW w:w="40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Michelle Goldberg</w:t>
            </w:r>
          </w:p>
        </w:tc>
        <w:tc>
          <w:tcPr>
            <w:tcW w:w="20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388"/>
        </w:trPr>
        <w:tc>
          <w:tcPr>
            <w:tcW w:w="4420" w:type="dxa"/>
            <w:vAlign w:val="bottom"/>
            <w:tcBorders>
              <w:bottom w:val="single" w:sz="8" w:color="auto"/>
            </w:tcBorders>
            <w:gridSpan w:val="2"/>
          </w:tcPr>
          <w:p>
            <w:pPr>
              <w:jc w:val="center"/>
              <w:ind w:left="98"/>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04"/>
        </w:trPr>
        <w:tc>
          <w:tcPr>
            <w:tcW w:w="520" w:type="dxa"/>
            <w:vAlign w:val="bottom"/>
          </w:tcPr>
          <w:p>
            <w:pPr>
              <w:spacing w:after="0"/>
              <w:rPr>
                <w:sz w:val="17"/>
                <w:szCs w:val="17"/>
                <w:color w:val="auto"/>
              </w:rPr>
            </w:pPr>
          </w:p>
        </w:tc>
        <w:tc>
          <w:tcPr>
            <w:tcW w:w="40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David C. Clifton</w:t>
            </w:r>
          </w:p>
        </w:tc>
        <w:tc>
          <w:tcPr>
            <w:tcW w:w="20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389"/>
        </w:trPr>
        <w:tc>
          <w:tcPr>
            <w:tcW w:w="4420" w:type="dxa"/>
            <w:vAlign w:val="bottom"/>
            <w:tcBorders>
              <w:bottom w:val="single" w:sz="8" w:color="auto"/>
            </w:tcBorders>
            <w:gridSpan w:val="2"/>
          </w:tcPr>
          <w:p>
            <w:pPr>
              <w:jc w:val="center"/>
              <w:ind w:left="98"/>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04"/>
        </w:trPr>
        <w:tc>
          <w:tcPr>
            <w:tcW w:w="520" w:type="dxa"/>
            <w:vAlign w:val="bottom"/>
          </w:tcPr>
          <w:p>
            <w:pPr>
              <w:spacing w:after="0"/>
              <w:rPr>
                <w:sz w:val="17"/>
                <w:szCs w:val="17"/>
                <w:color w:val="auto"/>
              </w:rPr>
            </w:pPr>
          </w:p>
        </w:tc>
        <w:tc>
          <w:tcPr>
            <w:tcW w:w="40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Kristyn Cook</w:t>
            </w:r>
          </w:p>
        </w:tc>
        <w:tc>
          <w:tcPr>
            <w:tcW w:w="20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389"/>
        </w:trPr>
        <w:tc>
          <w:tcPr>
            <w:tcW w:w="4420" w:type="dxa"/>
            <w:vAlign w:val="bottom"/>
            <w:tcBorders>
              <w:bottom w:val="single" w:sz="8" w:color="auto"/>
            </w:tcBorders>
            <w:gridSpan w:val="2"/>
          </w:tcPr>
          <w:p>
            <w:pPr>
              <w:jc w:val="center"/>
              <w:ind w:left="98"/>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04"/>
        </w:trPr>
        <w:tc>
          <w:tcPr>
            <w:tcW w:w="520" w:type="dxa"/>
            <w:vAlign w:val="bottom"/>
          </w:tcPr>
          <w:p>
            <w:pPr>
              <w:spacing w:after="0"/>
              <w:rPr>
                <w:sz w:val="17"/>
                <w:szCs w:val="17"/>
                <w:color w:val="auto"/>
              </w:rPr>
            </w:pPr>
          </w:p>
        </w:tc>
        <w:tc>
          <w:tcPr>
            <w:tcW w:w="40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Gordon Watson</w:t>
            </w:r>
          </w:p>
        </w:tc>
        <w:tc>
          <w:tcPr>
            <w:tcW w:w="20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389"/>
        </w:trPr>
        <w:tc>
          <w:tcPr>
            <w:tcW w:w="4420" w:type="dxa"/>
            <w:vAlign w:val="bottom"/>
            <w:tcBorders>
              <w:bottom w:val="single" w:sz="8" w:color="auto"/>
            </w:tcBorders>
            <w:gridSpan w:val="2"/>
          </w:tcPr>
          <w:p>
            <w:pPr>
              <w:jc w:val="center"/>
              <w:ind w:left="98"/>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04"/>
        </w:trPr>
        <w:tc>
          <w:tcPr>
            <w:tcW w:w="520" w:type="dxa"/>
            <w:vAlign w:val="bottom"/>
          </w:tcPr>
          <w:p>
            <w:pPr>
              <w:spacing w:after="0"/>
              <w:rPr>
                <w:sz w:val="17"/>
                <w:szCs w:val="17"/>
                <w:color w:val="auto"/>
              </w:rPr>
            </w:pPr>
          </w:p>
        </w:tc>
        <w:tc>
          <w:tcPr>
            <w:tcW w:w="40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Sean Collins</w:t>
            </w:r>
          </w:p>
        </w:tc>
        <w:tc>
          <w:tcPr>
            <w:tcW w:w="20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389"/>
        </w:trPr>
        <w:tc>
          <w:tcPr>
            <w:tcW w:w="4420" w:type="dxa"/>
            <w:vAlign w:val="bottom"/>
            <w:tcBorders>
              <w:bottom w:val="single" w:sz="8" w:color="auto"/>
            </w:tcBorders>
            <w:gridSpan w:val="2"/>
          </w:tcPr>
          <w:p>
            <w:pPr>
              <w:jc w:val="center"/>
              <w:ind w:left="98"/>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04"/>
        </w:trPr>
        <w:tc>
          <w:tcPr>
            <w:tcW w:w="520" w:type="dxa"/>
            <w:vAlign w:val="bottom"/>
          </w:tcPr>
          <w:p>
            <w:pPr>
              <w:spacing w:after="0"/>
              <w:rPr>
                <w:sz w:val="17"/>
                <w:szCs w:val="17"/>
                <w:color w:val="auto"/>
              </w:rPr>
            </w:pPr>
          </w:p>
        </w:tc>
        <w:tc>
          <w:tcPr>
            <w:tcW w:w="40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Richard Lumb</w:t>
            </w:r>
          </w:p>
        </w:tc>
        <w:tc>
          <w:tcPr>
            <w:tcW w:w="20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389"/>
        </w:trPr>
        <w:tc>
          <w:tcPr>
            <w:tcW w:w="4420" w:type="dxa"/>
            <w:vAlign w:val="bottom"/>
            <w:tcBorders>
              <w:bottom w:val="single" w:sz="8" w:color="auto"/>
            </w:tcBorders>
            <w:gridSpan w:val="2"/>
          </w:tcPr>
          <w:p>
            <w:pPr>
              <w:jc w:val="center"/>
              <w:ind w:left="98"/>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04"/>
        </w:trPr>
        <w:tc>
          <w:tcPr>
            <w:tcW w:w="520" w:type="dxa"/>
            <w:vAlign w:val="bottom"/>
          </w:tcPr>
          <w:p>
            <w:pPr>
              <w:spacing w:after="0"/>
              <w:rPr>
                <w:sz w:val="17"/>
                <w:szCs w:val="17"/>
                <w:color w:val="auto"/>
              </w:rPr>
            </w:pPr>
          </w:p>
        </w:tc>
        <w:tc>
          <w:tcPr>
            <w:tcW w:w="40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Andrew A. Main</w:t>
            </w:r>
          </w:p>
        </w:tc>
        <w:tc>
          <w:tcPr>
            <w:tcW w:w="20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413"/>
        </w:trPr>
        <w:tc>
          <w:tcPr>
            <w:tcW w:w="4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*By:   /s/ Gavin Michael</w:t>
            </w:r>
          </w:p>
        </w:tc>
        <w:tc>
          <w:tcPr>
            <w:tcW w:w="54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Attorney-in-Fact</w:t>
            </w:r>
          </w:p>
        </w:tc>
      </w:tr>
      <w:tr>
        <w:trPr>
          <w:trHeight w:val="20"/>
        </w:trPr>
        <w:tc>
          <w:tcPr>
            <w:tcW w:w="52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bl>
    <w:p>
      <w:pPr>
        <w:sectPr>
          <w:pgSz w:w="11900" w:h="16838" w:orient="portrait"/>
          <w:cols w:equalWidth="0" w:num="1">
            <w:col w:w="10620"/>
          </w:cols>
          <w:pgMar w:left="320" w:top="453" w:right="95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6"/>
          <w:szCs w:val="16"/>
          <w:b w:val="1"/>
          <w:bCs w:val="1"/>
          <w:color w:val="auto"/>
        </w:rPr>
        <w:t>Exhibit 16.1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5,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Office of the Chief Accountant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F Street, NE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1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We have read the statements made by Bakkt Holdings, Inc. (formerly VPC Impact Acquisition Holdings) in the Prospectus constituting a part of the Post-Effective Amendment No. 1 to the Registration Statement to Form S-1 (No. 333-261034) under the caption “Experts” in the section titled “Changes in Registrant’s Certifying Accountant”. We agree with the statements in that section regarding Bakkt Holdings, Inc. informing us of our dismissal on October 15, 2021 we are not in a position to agree or disagree with other statements of VPC Impact Acquisition Holdings. contained therein.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WithumSmith+Brown, PC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ectPr>
          <w:pgSz w:w="11900" w:h="16838" w:orient="portrait"/>
          <w:cols w:equalWidth="0" w:num="1">
            <w:col w:w="10000"/>
          </w:cols>
          <w:pgMar w:left="940" w:top="119" w:right="95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1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We consent to the reference to our firm under the caption “Experts” and to the use of our report dated March 31, 2022, in this Post-Effective Amendment No. 1 to the Registration Statement (Form S-1 No. 333-261034) and related Prospectus of Bakkt Holdings, Inc., for the registration of 231,562,828 shares of Class A common stock.</w:t>
      </w:r>
    </w:p>
    <w:p>
      <w:pPr>
        <w:spacing w:after="0" w:line="18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Atlanta, Georgia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5, 2022</w:t>
      </w:r>
    </w:p>
    <w:p>
      <w:pPr>
        <w:sectPr>
          <w:pgSz w:w="11900" w:h="16838" w:orient="portrait"/>
          <w:cols w:equalWidth="0" w:num="1">
            <w:col w:w="10000"/>
          </w:cols>
          <w:pgMar w:left="940" w:top="119" w:right="95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6"/>
          <w:szCs w:val="16"/>
          <w:b w:val="1"/>
          <w:bCs w:val="1"/>
          <w:color w:val="auto"/>
        </w:rPr>
        <w:t>Exhibit 23.2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12"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6"/>
          <w:szCs w:val="16"/>
          <w:color w:val="auto"/>
        </w:rPr>
        <w:t>We hereby consent to the use in the Prospectus of Bakkt Holdings, Inc. constituting a part of this Post-Effective Amendment No. 1 to the Registration Statement to Form S-1 (No. 333-261034) of our report dated March 28, 2022, and to the reference to our Firm under the caption “Experts” in the Prospectus.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WithumSmith+Brown, PC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5, 2022</w:t>
      </w:r>
    </w:p>
    <w:sectPr>
      <w:pgSz w:w="11900" w:h="16838" w:orient="portrait"/>
      <w:cols w:equalWidth="0" w:num="1">
        <w:col w:w="10000"/>
      </w:cols>
      <w:pgMar w:left="940" w:top="119"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1)"/>
      <w:numFmt w:val="decimal"/>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1)"/>
      <w:numFmt w:val="lowerRoman"/>
      <w:start w:val="2"/>
    </w:lvl>
  </w:abstractNum>
  <w:abstractNum w:abstractNumId="36">
    <w:nsid w:val="68EBC550"/>
    <w:multiLevelType w:val="hybridMultilevel"/>
    <w:lvl w:ilvl="0">
      <w:lvlJc w:val="left"/>
      <w:lvlText w:val="(%1)"/>
      <w:numFmt w:val="lowerRoman"/>
      <w:start w:val="2"/>
    </w:lvl>
  </w:abstractNum>
  <w:abstractNum w:abstractNumId="37">
    <w:nsid w:val="2DF6D648"/>
    <w:multiLevelType w:val="hybridMultilevel"/>
    <w:lvl w:ilvl="0">
      <w:lvlJc w:val="left"/>
      <w:lvlText w:val="(%1)"/>
      <w:numFmt w:val="decimal"/>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1)"/>
      <w:numFmt w:val="decimal"/>
      <w:start w:val="1"/>
    </w:lvl>
  </w:abstractNum>
  <w:abstractNum w:abstractNumId="40">
    <w:nsid w:val="39EE015C"/>
    <w:multiLevelType w:val="hybridMultilevel"/>
    <w:lvl w:ilvl="0">
      <w:lvlJc w:val="left"/>
      <w:lvlText w:val="(%1)"/>
      <w:numFmt w:val="decimal"/>
      <w:start w:val="1"/>
    </w:lvl>
  </w:abstractNum>
  <w:abstractNum w:abstractNumId="41">
    <w:nsid w:val="57FC4FBB"/>
    <w:multiLevelType w:val="hybridMultilevel"/>
    <w:lvl w:ilvl="0">
      <w:lvlJc w:val="left"/>
      <w:lvlText w:val="(%1)"/>
      <w:numFmt w:val="decimal"/>
      <w:start w:val="1"/>
    </w:lvl>
  </w:abstractNum>
  <w:abstractNum w:abstractNumId="42">
    <w:nsid w:val="CC1016F"/>
    <w:multiLevelType w:val="hybridMultilevel"/>
    <w:lvl w:ilvl="0">
      <w:lvlJc w:val="left"/>
      <w:lvlText w:val="(%1)"/>
      <w:numFmt w:val="decimal"/>
      <w:start w:val="1"/>
    </w:lvl>
  </w:abstractNum>
  <w:abstractNum w:abstractNumId="43">
    <w:nsid w:val="43F18422"/>
    <w:multiLevelType w:val="hybridMultilevel"/>
    <w:lvl w:ilvl="0">
      <w:lvlJc w:val="left"/>
      <w:lvlText w:val="(%1)"/>
      <w:numFmt w:val="decimal"/>
      <w:start w:val="1"/>
    </w:lvl>
  </w:abstractNum>
  <w:abstractNum w:abstractNumId="44">
    <w:nsid w:val="60EF0119"/>
    <w:multiLevelType w:val="hybridMultilevel"/>
    <w:lvl w:ilvl="0">
      <w:lvlJc w:val="left"/>
      <w:lvlText w:val="(%1)"/>
      <w:numFmt w:val="decimal"/>
      <w:start w:val="1"/>
    </w:lvl>
  </w:abstractNum>
  <w:abstractNum w:abstractNumId="45">
    <w:nsid w:val="26F324BA"/>
    <w:multiLevelType w:val="hybridMultilevel"/>
    <w:lvl w:ilvl="0">
      <w:lvlJc w:val="left"/>
      <w:lvlText w:val="(%1)"/>
      <w:numFmt w:val="decimal"/>
      <w:start w:val="1"/>
    </w:lvl>
  </w:abstractNum>
  <w:abstractNum w:abstractNumId="46">
    <w:nsid w:val="7F01579B"/>
    <w:multiLevelType w:val="hybridMultilevel"/>
    <w:lvl w:ilvl="0">
      <w:lvlJc w:val="left"/>
      <w:lvlText w:val="(%1)"/>
      <w:numFmt w:val="decimal"/>
      <w:start w:val="1"/>
    </w:lvl>
  </w:abstractNum>
  <w:abstractNum w:abstractNumId="47">
    <w:nsid w:val="49DA307D"/>
    <w:multiLevelType w:val="hybridMultilevel"/>
    <w:lvl w:ilvl="0">
      <w:lvlJc w:val="left"/>
      <w:lvlText w:val="(%1)"/>
      <w:numFmt w:val="decimal"/>
      <w:start w:val="1"/>
    </w:lvl>
  </w:abstractNum>
  <w:abstractNum w:abstractNumId="48">
    <w:nsid w:val="7055A5F5"/>
    <w:multiLevelType w:val="hybridMultilevel"/>
    <w:lvl w:ilvl="0">
      <w:lvlJc w:val="left"/>
      <w:lvlText w:val="(%1)"/>
      <w:numFmt w:val="decimal"/>
      <w:start w:val="1"/>
    </w:lvl>
  </w:abstractNum>
  <w:abstractNum w:abstractNumId="49">
    <w:nsid w:val="5FB8370B"/>
    <w:multiLevelType w:val="hybridMultilevel"/>
    <w:lvl w:ilvl="0">
      <w:lvlJc w:val="left"/>
      <w:lvlText w:val="(%1)"/>
      <w:numFmt w:val="decimal"/>
      <w:start w:val="1"/>
    </w:lvl>
  </w:abstractNum>
  <w:abstractNum w:abstractNumId="50">
    <w:nsid w:val="50801EE1"/>
    <w:multiLevelType w:val="hybridMultilevel"/>
    <w:lvl w:ilvl="0">
      <w:lvlJc w:val="left"/>
      <w:lvlText w:val="(%1)"/>
      <w:numFmt w:val="lowerRoman"/>
      <w:start w:val="3"/>
    </w:lvl>
  </w:abstractNum>
  <w:abstractNum w:abstractNumId="51">
    <w:nsid w:val="488AC1A"/>
    <w:multiLevelType w:val="hybridMultilevel"/>
    <w:lvl w:ilvl="0">
      <w:lvlJc w:val="left"/>
      <w:lvlText w:val="(%1)"/>
      <w:numFmt w:val="decimal"/>
      <w:start w:val="1"/>
    </w:lvl>
  </w:abstractNum>
  <w:abstractNum w:abstractNumId="52">
    <w:nsid w:val="5FB8011C"/>
    <w:multiLevelType w:val="hybridMultilevel"/>
    <w:lvl w:ilvl="0">
      <w:lvlJc w:val="left"/>
      <w:lvlText w:val="•"/>
      <w:numFmt w:val="bullet"/>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
      <w:numFmt w:val="bullet"/>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
      <w:numFmt w:val="bullet"/>
      <w:start w:val="1"/>
    </w:lvl>
    <w:lvl w:ilvl="1">
      <w:lvlJc w:val="left"/>
      <w:lvlText w:val="•"/>
      <w:numFmt w:val="bullet"/>
      <w:start w:val="1"/>
    </w:lvl>
  </w:abstractNum>
  <w:abstractNum w:abstractNumId="59">
    <w:nsid w:val="73A1821B"/>
    <w:multiLevelType w:val="hybridMultilevel"/>
    <w:lvl w:ilvl="0">
      <w:lvlJc w:val="left"/>
      <w:lvlText w:val="•"/>
      <w:numFmt w:val="bullet"/>
      <w:start w:val="1"/>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
      <w:numFmt w:val="bullet"/>
      <w:start w:val="1"/>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1)"/>
      <w:numFmt w:val="lowerRoman"/>
      <w:start w:val="2"/>
    </w:lvl>
  </w:abstractNum>
  <w:abstractNum w:abstractNumId="64">
    <w:nsid w:val="6A3DD3E8"/>
    <w:multiLevelType w:val="hybridMultilevel"/>
    <w:lvl w:ilvl="0">
      <w:lvlJc w:val="left"/>
      <w:lvlText w:val="(%1)"/>
      <w:numFmt w:val="decimal"/>
      <w:start w:val="1"/>
    </w:lvl>
  </w:abstractNum>
  <w:abstractNum w:abstractNumId="65">
    <w:nsid w:val="71C91298"/>
    <w:multiLevelType w:val="hybridMultilevel"/>
    <w:lvl w:ilvl="0">
      <w:lvlJc w:val="left"/>
      <w:lvlText w:val="•"/>
      <w:numFmt w:val="bullet"/>
      <w:start w:val="1"/>
    </w:lvl>
  </w:abstractNum>
  <w:abstractNum w:abstractNumId="66">
    <w:nsid w:val="9DAF632"/>
    <w:multiLevelType w:val="hybridMultilevel"/>
    <w:lvl w:ilvl="0">
      <w:lvlJc w:val="left"/>
      <w:lvlText w:val="•"/>
      <w:numFmt w:val="bullet"/>
      <w:start w:val="1"/>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1)"/>
      <w:numFmt w:val="decimal"/>
      <w:start w:val="1"/>
    </w:lvl>
  </w:abstractNum>
  <w:abstractNum w:abstractNumId="71">
    <w:nsid w:val="59ADEA3D"/>
    <w:multiLevelType w:val="hybridMultilevel"/>
    <w:lvl w:ilvl="0">
      <w:lvlJc w:val="left"/>
      <w:lvlText w:val="(%1)"/>
      <w:numFmt w:val="decimal"/>
      <w:start w:val="1"/>
    </w:lvl>
  </w:abstractNum>
  <w:abstractNum w:abstractNumId="72">
    <w:nsid w:val="288F1A34"/>
    <w:multiLevelType w:val="hybridMultilevel"/>
    <w:lvl w:ilvl="0">
      <w:lvlJc w:val="left"/>
      <w:lvlText w:val="(%1)"/>
      <w:numFmt w:val="decimal"/>
      <w:start w:val="1"/>
    </w:lvl>
  </w:abstractNum>
  <w:abstractNum w:abstractNumId="73">
    <w:nsid w:val="2A155DBC"/>
    <w:multiLevelType w:val="hybridMultilevel"/>
    <w:lvl w:ilvl="0">
      <w:lvlJc w:val="left"/>
      <w:lvlText w:val="(%1)"/>
      <w:numFmt w:val="decimal"/>
      <w:start w:val="1"/>
    </w:lvl>
  </w:abstractNum>
  <w:abstractNum w:abstractNumId="74">
    <w:nsid w:val="1D9F6E5F"/>
    <w:multiLevelType w:val="hybridMultilevel"/>
    <w:lvl w:ilvl="0">
      <w:lvlJc w:val="left"/>
      <w:lvlText w:val="(%1)"/>
      <w:numFmt w:val="lowerRoman"/>
      <w:start w:val="4"/>
    </w:lvl>
  </w:abstractNum>
  <w:abstractNum w:abstractNumId="75">
    <w:nsid w:val="97E1B4E"/>
    <w:multiLevelType w:val="hybridMultilevel"/>
    <w:lvl w:ilvl="0">
      <w:lvlJc w:val="left"/>
      <w:lvlText w:val="(%1)"/>
      <w:numFmt w:val="decimal"/>
      <w:start w:val="1"/>
    </w:lvl>
  </w:abstractNum>
  <w:abstractNum w:abstractNumId="76">
    <w:nsid w:val="51088277"/>
    <w:multiLevelType w:val="hybridMultilevel"/>
    <w:lvl w:ilvl="0">
      <w:lvlJc w:val="left"/>
      <w:lvlText w:val="(%1)"/>
      <w:numFmt w:val="decimal"/>
      <w:start w:val="1"/>
    </w:lvl>
  </w:abstractNum>
  <w:abstractNum w:abstractNumId="77">
    <w:nsid w:val="1CA0C5FA"/>
    <w:multiLevelType w:val="hybridMultilevel"/>
    <w:lvl w:ilvl="0">
      <w:lvlJc w:val="left"/>
      <w:lvlText w:val="(%1)"/>
      <w:numFmt w:val="decimal"/>
      <w:start w:val="1"/>
    </w:lvl>
  </w:abstractNum>
  <w:abstractNum w:abstractNumId="78">
    <w:nsid w:val="53584BCB"/>
    <w:multiLevelType w:val="hybridMultilevel"/>
    <w:lvl w:ilvl="0">
      <w:lvlJc w:val="left"/>
      <w:lvlText w:val="•"/>
      <w:numFmt w:val="bullet"/>
      <w:start w:val="1"/>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
      <w:numFmt w:val="bullet"/>
      <w:start w:val="1"/>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1)"/>
      <w:numFmt w:val="decimal"/>
      <w:start w:val="1"/>
    </w:lvl>
  </w:abstractNum>
  <w:abstractNum w:abstractNumId="84">
    <w:nsid w:val="E7FFA2B"/>
    <w:multiLevelType w:val="hybridMultilevel"/>
    <w:lvl w:ilvl="0">
      <w:lvlJc w:val="left"/>
      <w:lvlText w:val="(%1)"/>
      <w:numFmt w:val="decimal"/>
      <w:start w:val="2"/>
    </w:lvl>
  </w:abstractNum>
  <w:abstractNum w:abstractNumId="85">
    <w:nsid w:val="3C5991AA"/>
    <w:multiLevelType w:val="hybridMultilevel"/>
    <w:lvl w:ilvl="0">
      <w:lvlJc w:val="left"/>
      <w:lvlText w:val="*"/>
      <w:numFmt w:val="bullet"/>
      <w:start w:val="1"/>
    </w:lvl>
  </w:abstractNum>
  <w:abstractNum w:abstractNumId="86">
    <w:nsid w:val="4BD8591A"/>
    <w:multiLevelType w:val="hybridMultilevel"/>
    <w:lvl w:ilvl="0">
      <w:lvlJc w:val="left"/>
      <w:lvlText w:val="(%1)"/>
      <w:numFmt w:val="decimal"/>
      <w:start w:val="1"/>
    </w:lvl>
  </w:abstractNum>
  <w:abstractNum w:abstractNumId="87">
    <w:nsid w:val="78DF6A55"/>
    <w:multiLevelType w:val="hybridMultilevel"/>
    <w:lvl w:ilvl="0">
      <w:lvlJc w:val="left"/>
      <w:lvlText w:val="(%1)"/>
      <w:numFmt w:val="decimal"/>
      <w:start w:val="4"/>
    </w:lvl>
  </w:abstractNum>
  <w:abstractNum w:abstractNumId="88">
    <w:nsid w:val="39B7AAA2"/>
    <w:multiLevelType w:val="hybridMultilevel"/>
    <w:lvl w:ilvl="0">
      <w:lvlJc w:val="left"/>
      <w:lvlText w:val="(%1)"/>
      <w:numFmt w:val="decimal"/>
      <w:start w:val="13"/>
    </w:lvl>
  </w:abstractNum>
  <w:abstractNum w:abstractNumId="89">
    <w:nsid w:val="2B0D8DBE"/>
    <w:multiLevelType w:val="hybridMultilevel"/>
    <w:lvl w:ilvl="0">
      <w:lvlJc w:val="left"/>
      <w:lvlText w:val="(%1)"/>
      <w:numFmt w:val="decimal"/>
      <w:start w:val="18"/>
    </w:lvl>
  </w:abstractNum>
  <w:abstractNum w:abstractNumId="90">
    <w:nsid w:val="6C80EC70"/>
    <w:multiLevelType w:val="hybridMultilevel"/>
    <w:lvl w:ilvl="0">
      <w:lvlJc w:val="left"/>
      <w:lvlText w:val="(%1)"/>
      <w:numFmt w:val="decimal"/>
      <w:start w:val="26"/>
    </w:lvl>
  </w:abstractNum>
  <w:abstractNum w:abstractNumId="91">
    <w:nsid w:val="379E21B5"/>
    <w:multiLevelType w:val="hybridMultilevel"/>
    <w:lvl w:ilvl="0">
      <w:lvlJc w:val="left"/>
      <w:lvlText w:val="(%1)"/>
      <w:numFmt w:val="decimal"/>
      <w:start w:val="32"/>
    </w:lvl>
  </w:abstractNum>
  <w:abstractNum w:abstractNumId="92">
    <w:nsid w:val="69E373"/>
    <w:multiLevelType w:val="hybridMultilevel"/>
    <w:lvl w:ilvl="0">
      <w:lvlJc w:val="left"/>
      <w:lvlText w:val="•"/>
      <w:numFmt w:val="bullet"/>
      <w:start w:val="1"/>
    </w:lvl>
  </w:abstractNum>
  <w:abstractNum w:abstractNumId="93">
    <w:nsid w:val="2C27173B"/>
    <w:multiLevelType w:val="hybridMultilevel"/>
    <w:lvl w:ilvl="0">
      <w:lvlJc w:val="left"/>
      <w:lvlText w:val="(%1)"/>
      <w:numFmt w:val="lowerRoman"/>
      <w:start w:val="2"/>
    </w:lvl>
  </w:abstractNum>
  <w:abstractNum w:abstractNumId="94">
    <w:nsid w:val="4C9B0904"/>
    <w:multiLevelType w:val="hybridMultilevel"/>
    <w:lvl w:ilvl="0">
      <w:lvlJc w:val="left"/>
      <w:lvlText w:val="•"/>
      <w:numFmt w:val="bullet"/>
      <w:start w:val="1"/>
    </w:lvl>
  </w:abstractNum>
  <w:abstractNum w:abstractNumId="95">
    <w:nsid w:val="6AA7B75C"/>
    <w:multiLevelType w:val="hybridMultilevel"/>
    <w:lvl w:ilvl="0">
      <w:lvlJc w:val="left"/>
      <w:lvlText w:val="•"/>
      <w:numFmt w:val="bullet"/>
      <w:start w:val="1"/>
    </w:lvl>
  </w:abstractNum>
  <w:abstractNum w:abstractNumId="96">
    <w:nsid w:val="1DF029D3"/>
    <w:multiLevelType w:val="hybridMultilevel"/>
    <w:lvl w:ilvl="0">
      <w:lvlJc w:val="left"/>
      <w:lvlText w:val="•"/>
      <w:numFmt w:val="bullet"/>
      <w:start w:val="1"/>
    </w:lvl>
  </w:abstractNum>
  <w:abstractNum w:abstractNumId="97">
    <w:nsid w:val="5675FF36"/>
    <w:multiLevelType w:val="hybridMultilevel"/>
    <w:lvl w:ilvl="0">
      <w:lvlJc w:val="left"/>
      <w:lvlText w:val="•"/>
      <w:numFmt w:val="bullet"/>
      <w:start w:val="1"/>
    </w:lvl>
  </w:abstractNum>
  <w:abstractNum w:abstractNumId="98">
    <w:nsid w:val="3DD15094"/>
    <w:multiLevelType w:val="hybridMultilevel"/>
    <w:lvl w:ilvl="0">
      <w:lvlJc w:val="left"/>
      <w:lvlText w:val="•"/>
      <w:numFmt w:val="bullet"/>
      <w:start w:val="1"/>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
      <w:numFmt w:val="bullet"/>
      <w:start w:val="1"/>
    </w:lvl>
  </w:abstractNum>
  <w:abstractNum w:abstractNumId="101">
    <w:nsid w:val="5B25ACE2"/>
    <w:multiLevelType w:val="hybridMultilevel"/>
    <w:lvl w:ilvl="0">
      <w:lvlJc w:val="left"/>
      <w:lvlText w:val="•"/>
      <w:numFmt w:val="bullet"/>
      <w:start w:val="1"/>
    </w:lvl>
  </w:abstractNum>
  <w:abstractNum w:abstractNumId="102">
    <w:nsid w:val="175DFCF0"/>
    <w:multiLevelType w:val="hybridMultilevel"/>
    <w:lvl w:ilvl="0">
      <w:lvlJc w:val="left"/>
      <w:lvlText w:val="•"/>
      <w:numFmt w:val="bullet"/>
      <w:start w:val="1"/>
    </w:lvl>
  </w:abstractNum>
  <w:abstractNum w:abstractNumId="103">
    <w:nsid w:val="4F97E3E4"/>
    <w:multiLevelType w:val="hybridMultilevel"/>
    <w:lvl w:ilvl="0">
      <w:lvlJc w:val="left"/>
      <w:lvlText w:val="•"/>
      <w:numFmt w:val="bullet"/>
      <w:start w:val="1"/>
    </w:lvl>
  </w:abstractNum>
  <w:abstractNum w:abstractNumId="104">
    <w:nsid w:val="53B0A9E"/>
    <w:multiLevelType w:val="hybridMultilevel"/>
    <w:lvl w:ilvl="0">
      <w:lvlJc w:val="left"/>
      <w:lvlText w:val="•"/>
      <w:numFmt w:val="bullet"/>
      <w:start w:val="1"/>
    </w:lvl>
  </w:abstractNum>
  <w:abstractNum w:abstractNumId="105">
    <w:nsid w:val="34FD6B4F"/>
    <w:multiLevelType w:val="hybridMultilevel"/>
    <w:lvl w:ilvl="0">
      <w:lvlJc w:val="left"/>
      <w:lvlText w:val="•"/>
      <w:numFmt w:val="bullet"/>
      <w:start w:val="1"/>
    </w:lvl>
  </w:abstractNum>
  <w:abstractNum w:abstractNumId="106">
    <w:nsid w:val="5915FF32"/>
    <w:multiLevelType w:val="hybridMultilevel"/>
    <w:lvl w:ilvl="0">
      <w:lvlJc w:val="left"/>
      <w:lvlText w:val="•"/>
      <w:numFmt w:val="bullet"/>
      <w:start w:val="1"/>
    </w:lvl>
  </w:abstractNum>
  <w:abstractNum w:abstractNumId="107">
    <w:nsid w:val="56438D15"/>
    <w:multiLevelType w:val="hybridMultilevel"/>
    <w:lvl w:ilvl="0">
      <w:lvlJc w:val="left"/>
      <w:lvlText w:val="•"/>
      <w:numFmt w:val="bullet"/>
      <w:start w:val="1"/>
    </w:lvl>
  </w:abstractNum>
  <w:abstractNum w:abstractNumId="108">
    <w:nsid w:val="519E3149"/>
    <w:multiLevelType w:val="hybridMultilevel"/>
    <w:lvl w:ilvl="0">
      <w:lvlJc w:val="left"/>
      <w:lvlText w:val="2"/>
      <w:numFmt w:val="bullet"/>
      <w:start w:val="1"/>
    </w:lvl>
  </w:abstractNum>
  <w:abstractNum w:abstractNumId="109">
    <w:nsid w:val="2C6E4AFD"/>
    <w:multiLevelType w:val="hybridMultilevel"/>
    <w:lvl w:ilvl="0">
      <w:lvlJc w:val="left"/>
      <w:lvlText w:val="3"/>
      <w:numFmt w:val="bullet"/>
      <w:start w:val="1"/>
    </w:lvl>
  </w:abstractNum>
  <w:abstractNum w:abstractNumId="110">
    <w:nsid w:val="17A1B582"/>
    <w:multiLevelType w:val="hybridMultilevel"/>
    <w:lvl w:ilvl="0">
      <w:lvlJc w:val="left"/>
      <w:lvlText w:val="(%1)"/>
      <w:numFmt w:val="decimal"/>
      <w:start w:val="1"/>
    </w:lvl>
  </w:abstractNum>
  <w:abstractNum w:abstractNumId="111">
    <w:nsid w:val="4DF72E4E"/>
    <w:multiLevelType w:val="hybridMultilevel"/>
    <w:lvl w:ilvl="0">
      <w:lvlJc w:val="left"/>
      <w:lvlText w:val="(%1)"/>
      <w:numFmt w:val="decimal"/>
      <w:start w:val="1"/>
    </w:lvl>
  </w:abstractNum>
  <w:abstractNum w:abstractNumId="112">
    <w:nsid w:val="5046B5A9"/>
    <w:multiLevelType w:val="hybridMultilevel"/>
    <w:lvl w:ilvl="0">
      <w:lvlJc w:val="left"/>
      <w:lvlText w:val="(%1)"/>
      <w:numFmt w:val="decimal"/>
      <w:start w:val="1"/>
    </w:lvl>
  </w:abstractNum>
  <w:abstractNum w:abstractNumId="113">
    <w:nsid w:val="5D888A08"/>
    <w:multiLevelType w:val="hybridMultilevel"/>
    <w:lvl w:ilvl="0">
      <w:lvlJc w:val="left"/>
      <w:lvlText w:val="%1."/>
      <w:numFmt w:val="decimal"/>
      <w:start w:val="1"/>
    </w:lvl>
  </w:abstractNum>
  <w:abstractNum w:abstractNumId="114">
    <w:nsid w:val="2A082C70"/>
    <w:multiLevelType w:val="hybridMultilevel"/>
    <w:lvl w:ilvl="0">
      <w:lvlJc w:val="left"/>
      <w:lvlText w:val="%1."/>
      <w:numFmt w:val="decimal"/>
      <w:start w:val="2"/>
    </w:lvl>
  </w:abstractNum>
  <w:abstractNum w:abstractNumId="115">
    <w:nsid w:val="5EC6AFD4"/>
    <w:multiLevelType w:val="hybridMultilevel"/>
    <w:lvl w:ilvl="0">
      <w:lvlJc w:val="left"/>
      <w:lvlText w:val="•"/>
      <w:numFmt w:val="bullet"/>
      <w:start w:val="1"/>
    </w:lvl>
  </w:abstractNum>
  <w:abstractNum w:abstractNumId="116">
    <w:nsid w:val="19E21BB2"/>
    <w:multiLevelType w:val="hybridMultilevel"/>
    <w:lvl w:ilvl="0">
      <w:lvlJc w:val="left"/>
      <w:lvlText w:val="•"/>
      <w:numFmt w:val="bullet"/>
      <w:start w:val="1"/>
    </w:lvl>
  </w:abstractNum>
  <w:abstractNum w:abstractNumId="117">
    <w:nsid w:val="75E0858A"/>
    <w:multiLevelType w:val="hybridMultilevel"/>
    <w:lvl w:ilvl="0">
      <w:lvlJc w:val="left"/>
      <w:lvlText w:val="•"/>
      <w:numFmt w:val="bullet"/>
      <w:start w:val="1"/>
    </w:lvl>
  </w:abstractNum>
  <w:abstractNum w:abstractNumId="118">
    <w:nsid w:val="57A61A29"/>
    <w:multiLevelType w:val="hybridMultilevel"/>
    <w:lvl w:ilvl="0">
      <w:lvlJc w:val="left"/>
      <w:lvlText w:val="(%1)"/>
      <w:numFmt w:val="lowerLetter"/>
      <w:start w:val="1"/>
    </w:lvl>
  </w:abstractNum>
  <w:abstractNum w:abstractNumId="119">
    <w:nsid w:val="5399C654"/>
    <w:multiLevelType w:val="hybridMultilevel"/>
    <w:lvl w:ilvl="0">
      <w:lvlJc w:val="left"/>
      <w:lvlText w:val="(%1)"/>
      <w:numFmt w:val="lowerLetter"/>
      <w:start w:val="2"/>
    </w:lvl>
  </w:abstractNum>
  <w:abstractNum w:abstractNumId="120">
    <w:nsid w:val="20EE1348"/>
    <w:multiLevelType w:val="hybridMultilevel"/>
    <w:lvl w:ilvl="0">
      <w:lvlJc w:val="left"/>
      <w:lvlText w:val="•"/>
      <w:numFmt w:val="bullet"/>
      <w:start w:val="1"/>
    </w:lvl>
  </w:abstractNum>
  <w:abstractNum w:abstractNumId="121">
    <w:nsid w:val="4427069A"/>
    <w:multiLevelType w:val="hybridMultilevel"/>
    <w:lvl w:ilvl="0">
      <w:lvlJc w:val="left"/>
      <w:lvlText w:val="(%1)"/>
      <w:numFmt w:val="decimal"/>
      <w:start w:val="1"/>
    </w:lvl>
  </w:abstractNum>
  <w:abstractNum w:abstractNumId="122">
    <w:nsid w:val="B37E80A"/>
    <w:multiLevelType w:val="hybridMultilevel"/>
    <w:lvl w:ilvl="0">
      <w:lvlJc w:val="left"/>
      <w:lvlText w:val="(%1)"/>
      <w:numFmt w:val="decimal"/>
      <w:start w:val="2"/>
    </w:lvl>
  </w:abstractNum>
  <w:abstractNum w:abstractNumId="123">
    <w:nsid w:val="2157F6BC"/>
    <w:multiLevelType w:val="hybridMultilevel"/>
    <w:lvl w:ilvl="0">
      <w:lvlJc w:val="left"/>
      <w:lvlText w:val="(%1)"/>
      <w:numFmt w:val="decimal"/>
      <w:start w:val="1"/>
    </w:lvl>
  </w:abstractNum>
  <w:abstractNum w:abstractNumId="124">
    <w:nsid w:val="704E1DD5"/>
    <w:multiLevelType w:val="hybridMultilevel"/>
    <w:lvl w:ilvl="0">
      <w:lvlJc w:val="left"/>
      <w:lvlText w:val="(%1)"/>
      <w:numFmt w:val="decimal"/>
      <w:start w:val="3"/>
    </w:lvl>
  </w:abstractNum>
  <w:abstractNum w:abstractNumId="125">
    <w:nsid w:val="57D2F10E"/>
    <w:multiLevelType w:val="hybridMultilevel"/>
    <w:lvl w:ilvl="0">
      <w:lvlJc w:val="left"/>
      <w:lvlText w:val="(%1)"/>
      <w:numFmt w:val="lowerRoman"/>
      <w:start w:val="2"/>
    </w:lvl>
  </w:abstractNum>
  <w:abstractNum w:abstractNumId="126">
    <w:nsid w:val="BFFAE18"/>
    <w:multiLevelType w:val="hybridMultilevel"/>
    <w:lvl w:ilvl="0">
      <w:lvlJc w:val="left"/>
      <w:lvlText w:val="(%1)"/>
      <w:numFmt w:val="lowerRoman"/>
      <w:start w:val="4"/>
    </w:lvl>
  </w:abstractNum>
  <w:abstractNum w:abstractNumId="127">
    <w:nsid w:val="E3E47A8"/>
    <w:multiLevelType w:val="hybridMultilevel"/>
    <w:lvl w:ilvl="0">
      <w:lvlJc w:val="left"/>
      <w:lvlText w:val="%1."/>
      <w:numFmt w:val="decimal"/>
      <w:start w:val="10"/>
    </w:lvl>
  </w:abstractNum>
  <w:abstractNum w:abstractNumId="128">
    <w:nsid w:val="2E48F044"/>
    <w:multiLevelType w:val="hybridMultilevel"/>
    <w:lvl w:ilvl="0">
      <w:lvlJc w:val="left"/>
      <w:lvlText w:val="%1."/>
      <w:numFmt w:val="decimal"/>
      <w:start w:val="11"/>
    </w:lvl>
  </w:abstractNum>
  <w:abstractNum w:abstractNumId="129">
    <w:nsid w:val="49D0FEAC"/>
    <w:multiLevelType w:val="hybridMultilevel"/>
    <w:lvl w:ilvl="0">
      <w:lvlJc w:val="left"/>
      <w:lvlText w:val="•"/>
      <w:numFmt w:val="bullet"/>
      <w:start w:val="1"/>
    </w:lvl>
  </w:abstractNum>
  <w:abstractNum w:abstractNumId="130">
    <w:nsid w:val="4BEE5A5B"/>
    <w:multiLevelType w:val="hybridMultilevel"/>
    <w:lvl w:ilvl="0">
      <w:lvlJc w:val="left"/>
      <w:lvlText w:val="(%1)"/>
      <w:numFmt w:val="decimal"/>
      <w:start w:val="1"/>
    </w:lvl>
  </w:abstractNum>
  <w:abstractNum w:abstractNumId="131">
    <w:nsid w:val="5551B9F3"/>
    <w:multiLevelType w:val="hybridMultilevel"/>
    <w:lvl w:ilvl="0">
      <w:lvlJc w:val="left"/>
      <w:lvlText w:val="•"/>
      <w:numFmt w:val="bullet"/>
      <w:start w:val="1"/>
    </w:lvl>
  </w:abstractNum>
  <w:abstractNum w:abstractNumId="132">
    <w:nsid w:val="24F6AB8E"/>
    <w:multiLevelType w:val="hybridMultilevel"/>
    <w:lvl w:ilvl="0">
      <w:lvlJc w:val="left"/>
      <w:lvlText w:val="•"/>
      <w:numFmt w:val="bullet"/>
      <w:start w:val="1"/>
    </w:lvl>
  </w:abstractNum>
  <w:abstractNum w:abstractNumId="133">
    <w:nsid w:val="634C574C"/>
    <w:multiLevelType w:val="hybridMultilevel"/>
    <w:lvl w:ilvl="0">
      <w:lvlJc w:val="left"/>
      <w:lvlText w:val="•"/>
      <w:numFmt w:val="bullet"/>
      <w:start w:val="1"/>
    </w:lvl>
  </w:abstractNum>
  <w:abstractNum w:abstractNumId="134">
    <w:nsid w:val="24E99DD7"/>
    <w:multiLevelType w:val="hybridMultilevel"/>
    <w:lvl w:ilvl="0">
      <w:lvlJc w:val="left"/>
      <w:lvlText w:val="$"/>
      <w:numFmt w:val="bullet"/>
      <w:start w:val="1"/>
    </w:lvl>
  </w:abstractNum>
  <w:abstractNum w:abstractNumId="135">
    <w:nsid w:val="2A31B62D"/>
    <w:multiLevelType w:val="hybridMultilevel"/>
    <w:lvl w:ilvl="0">
      <w:lvlJc w:val="left"/>
      <w:lvlText w:val="$"/>
      <w:numFmt w:val="bullet"/>
      <w:start w:val="1"/>
    </w:lvl>
  </w:abstractNum>
  <w:abstractNum w:abstractNumId="136">
    <w:nsid w:val="1849C29B"/>
    <w:multiLevelType w:val="hybridMultilevel"/>
    <w:lvl w:ilvl="0">
      <w:lvlJc w:val="left"/>
      <w:lvlText w:val="•"/>
      <w:numFmt w:val="bullet"/>
      <w:start w:val="1"/>
    </w:lvl>
  </w:abstractNum>
  <w:abstractNum w:abstractNumId="137">
    <w:nsid w:val="7DFF9D09"/>
    <w:multiLevelType w:val="hybridMultilevel"/>
    <w:lvl w:ilvl="0">
      <w:lvlJc w:val="left"/>
      <w:lvlText w:val="†"/>
      <w:numFmt w:val="bullet"/>
      <w:start w:val="1"/>
    </w:lvl>
  </w:abstractNum>
  <w:abstractNum w:abstractNumId="138">
    <w:nsid w:val="754342"/>
    <w:multiLevelType w:val="hybridMultilevel"/>
    <w:lvl w:ilvl="0">
      <w:lvlJc w:val="left"/>
      <w:lvlText w:val="(%1)"/>
      <w:numFmt w:val="decimal"/>
      <w:start w:val="1"/>
    </w:lvl>
    <w:lvl w:ilvl="1">
      <w:lvlJc w:val="left"/>
      <w:lvlText w:val="(%2)"/>
      <w:numFmt w:val="lowerRoman"/>
      <w:start w:val="1"/>
    </w:lvl>
  </w:abstractNum>
  <w:abstractNum w:abstractNumId="139">
    <w:nsid w:val="69E7F3E5"/>
    <w:multiLevelType w:val="hybridMultilevel"/>
    <w:lvl w:ilvl="0">
      <w:lvlJc w:val="left"/>
      <w:lvlText w:val="(%1)"/>
      <w:numFmt w:val="decimal"/>
      <w:start w:val="3"/>
    </w:lvl>
    <w:lvl w:ilvl="1">
      <w:lvlJc w:val="left"/>
      <w:lvlText w:val="(%2)"/>
      <w:numFmt w:val="upperLetter"/>
      <w:start w:val="1"/>
    </w:lvl>
  </w:abstractNum>
  <w:abstractNum w:abstractNumId="140">
    <w:nsid w:val="2A6DE806"/>
    <w:multiLevelType w:val="hybridMultilevel"/>
    <w:lvl w:ilvl="0">
      <w:lvlJc w:val="left"/>
      <w:lvlText w:val="%1"/>
      <w:numFmt w:val="decimal"/>
      <w:start w:val="1"/>
    </w:lvl>
    <w:lvl w:ilvl="1">
      <w:lvlJc w:val="left"/>
      <w:lvlText w:val="(%2)"/>
      <w:numFmt w:val="lowerRoman"/>
      <w:start w:val="2"/>
    </w:lvl>
  </w:abstractNum>
  <w:abstractNum w:abstractNumId="141">
    <w:nsid w:val="1816F8C4"/>
    <w:multiLevelType w:val="hybridMultilevel"/>
    <w:lvl w:ilvl="0">
      <w:lvlJc w:val="left"/>
      <w:lvlText w:val="(%1)"/>
      <w:numFmt w:val="decimal"/>
      <w:start w:val="5"/>
    </w:lvl>
    <w:lvl w:ilvl="1">
      <w:lvlJc w:val="left"/>
      <w:lvlText w:val="(%2)"/>
      <w:numFmt w:val="lowerRoman"/>
      <w:start w:val="1"/>
    </w:lvl>
  </w:abstractNum>
  <w:abstractNum w:abstractNumId="142">
    <w:nsid w:val="37DF223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82" Type="http://schemas.openxmlformats.org/officeDocument/2006/relationships/image" Target="media/image269.png"/><Relationship Id="rId299" Type="http://schemas.openxmlformats.org/officeDocument/2006/relationships/image" Target="media/image270.png"/><Relationship Id="rId313" Type="http://schemas.openxmlformats.org/officeDocument/2006/relationships/image" Target="media/image271.png"/><Relationship Id="rId314" Type="http://schemas.openxmlformats.org/officeDocument/2006/relationships/image" Target="media/image272.png"/><Relationship Id="rId315" Type="http://schemas.openxmlformats.org/officeDocument/2006/relationships/image" Target="media/image273.png"/><Relationship Id="rId316" Type="http://schemas.openxmlformats.org/officeDocument/2006/relationships/image" Target="media/image274.png"/><Relationship Id="rId317" Type="http://schemas.openxmlformats.org/officeDocument/2006/relationships/image" Target="media/image275.png"/><Relationship Id="rId318" Type="http://schemas.openxmlformats.org/officeDocument/2006/relationships/image" Target="media/image276.png"/><Relationship Id="rId276" Type="http://schemas.openxmlformats.org/officeDocument/2006/relationships/hyperlink" Target="http://www.sec.gov/Archives/edgar/data/1820302/000119312521005832/d913171dex21.htm" TargetMode="External"/><Relationship Id="rId277" Type="http://schemas.openxmlformats.org/officeDocument/2006/relationships/hyperlink" Target="http://www.sec.gov/Archives/edgar/data/1820302/000119312521101249/d107545dex21.htm" TargetMode="External"/><Relationship Id="rId278" Type="http://schemas.openxmlformats.org/officeDocument/2006/relationships/hyperlink" Target="http://www.sec.gov/Archives/edgar/data/1820302/000119312521286927/d204551dex21.htm" TargetMode="External"/><Relationship Id="rId279" Type="http://schemas.openxmlformats.org/officeDocument/2006/relationships/hyperlink" Target="http://www.sec.gov/Archives/edgar/data/1820302/000119312521303985/d219325dex31.htm" TargetMode="External"/><Relationship Id="rId280" Type="http://schemas.openxmlformats.org/officeDocument/2006/relationships/hyperlink" Target="http://www.sec.gov/Archives/edgar/data/1820302/000119312521303985/d219325dex32.htm" TargetMode="External"/><Relationship Id="rId281" Type="http://schemas.openxmlformats.org/officeDocument/2006/relationships/hyperlink" Target="http://www.sec.gov/Archives/edgar/data/1820302/000119312521303985/d219325dex41.htm" TargetMode="External"/><Relationship Id="rId283" Type="http://schemas.openxmlformats.org/officeDocument/2006/relationships/hyperlink" Target="http://www.sec.gov/Archives/edgar/data/1820302/000119312521303985/d219325dex42.htm" TargetMode="External"/><Relationship Id="rId284" Type="http://schemas.openxmlformats.org/officeDocument/2006/relationships/hyperlink" Target="http://www.sec.gov/Archives/edgar/data/1820302/000119312520256308/d38926dex41.htm" TargetMode="External"/><Relationship Id="rId285" Type="http://schemas.openxmlformats.org/officeDocument/2006/relationships/hyperlink" Target="http://www.sec.gov/Archives/edgar/data/1820302/000119312521303985/d219325dex43.htm" TargetMode="External"/><Relationship Id="rId286" Type="http://schemas.openxmlformats.org/officeDocument/2006/relationships/hyperlink" Target="http://www.sec.gov/Archives/edgar/data/1820302/000119312521328170/d226097dex51.htm" TargetMode="External"/><Relationship Id="rId287" Type="http://schemas.openxmlformats.org/officeDocument/2006/relationships/hyperlink" Target="http://www.sec.gov/Archives/edgar/data/1820302/000119312520256308/d38926dex101.htm" TargetMode="External"/><Relationship Id="rId288" Type="http://schemas.openxmlformats.org/officeDocument/2006/relationships/hyperlink" Target="http://www.sec.gov/Archives/edgar/data/1820302/000119312521005832/d913171dex103.htm" TargetMode="External"/><Relationship Id="rId289" Type="http://schemas.openxmlformats.org/officeDocument/2006/relationships/hyperlink" Target="http://www.sec.gov/Archives/edgar/data/1820302/000119312521005832/d913171dex101.htm" TargetMode="External"/><Relationship Id="rId290" Type="http://schemas.openxmlformats.org/officeDocument/2006/relationships/hyperlink" Target="http://www.sec.gov/Archives/edgar/data/1820302/000119312521303985/d219325dex108.htm" TargetMode="External"/><Relationship Id="rId291" Type="http://schemas.openxmlformats.org/officeDocument/2006/relationships/hyperlink" Target="http://www.sec.gov/Archives/edgar/data/1820302/000119312521303985/d219325dex1010.htm" TargetMode="External"/><Relationship Id="rId292" Type="http://schemas.openxmlformats.org/officeDocument/2006/relationships/hyperlink" Target="http://www.sec.gov/Archives/edgar/data/1820302/000119312521303985/d219325dex106.htm" TargetMode="External"/><Relationship Id="rId293" Type="http://schemas.openxmlformats.org/officeDocument/2006/relationships/hyperlink" Target="http://www.sec.gov/Archives/edgar/data/1820302/000119312521303985/d219325dex101.htm" TargetMode="External"/><Relationship Id="rId294" Type="http://schemas.openxmlformats.org/officeDocument/2006/relationships/hyperlink" Target="http://www.sec.gov/Archives/edgar/data/1820302/000119312521303985/d219325dex102.htm" TargetMode="External"/><Relationship Id="rId295" Type="http://schemas.openxmlformats.org/officeDocument/2006/relationships/hyperlink" Target="http://www.sec.gov/Archives/edgar/data/1820302/000119312521303985/d219325dex103.htm" TargetMode="External"/><Relationship Id="rId296" Type="http://schemas.openxmlformats.org/officeDocument/2006/relationships/hyperlink" Target="http://www.sec.gov/Archives/edgar/data/1820302/000119312521303985/d219325dex104.htm" TargetMode="External"/><Relationship Id="rId297" Type="http://schemas.openxmlformats.org/officeDocument/2006/relationships/hyperlink" Target="http://www.sec.gov/Archives/edgar/data/1820302/000119312521303985/d219325dex105.htm" TargetMode="External"/><Relationship Id="rId298" Type="http://schemas.openxmlformats.org/officeDocument/2006/relationships/hyperlink" Target="http://www.sec.gov/Archives/edgar/data/1820302/000119312521303985/d219325dex109.htm" TargetMode="External"/><Relationship Id="rId300" Type="http://schemas.openxmlformats.org/officeDocument/2006/relationships/hyperlink" Target="http://www.sec.gov/Archives/edgar/data/1820302/000119312521303985/d219325dex107.htm" TargetMode="External"/><Relationship Id="rId301" Type="http://schemas.openxmlformats.org/officeDocument/2006/relationships/hyperlink" Target="http://www.sec.gov/Archives/edgar/data/1820302/000119312521327401/d262546dex101.htm" TargetMode="External"/><Relationship Id="rId302" Type="http://schemas.openxmlformats.org/officeDocument/2006/relationships/hyperlink" Target="http://www.sec.gov/Archives/edgar/data/1820302/000119312521303985/d219325dex1012.htm" TargetMode="External"/><Relationship Id="rId303" Type="http://schemas.openxmlformats.org/officeDocument/2006/relationships/hyperlink" Target="http://www.sec.gov/Archives/edgar/data/1820302/000119312521303985/d219325dex1013.htm" TargetMode="External"/><Relationship Id="rId304" Type="http://schemas.openxmlformats.org/officeDocument/2006/relationships/hyperlink" Target="http://www.sec.gov/Archives/edgar/data/1820302/000182030222000005/a1018-marcdannunzioemplo.htm" TargetMode="External"/><Relationship Id="rId305" Type="http://schemas.openxmlformats.org/officeDocument/2006/relationships/hyperlink" Target="http://www.sec.gov/Archives/edgar/data/1820302/000182030222000005/a44-firstamendmenttowarr.htm" TargetMode="External"/><Relationship Id="rId306" Type="http://schemas.openxmlformats.org/officeDocument/2006/relationships/hyperlink" Target="http://www.sec.gov/Archives/edgar/data/1820302/000119312522018414/d293247dex101.htm" TargetMode="External"/><Relationship Id="rId307" Type="http://schemas.openxmlformats.org/officeDocument/2006/relationships/hyperlink" Target="http://www.sec.gov/Archives/edgar/data/1820302/000119312522018414/d293247dex102.htm" TargetMode="External"/><Relationship Id="rId308" Type="http://schemas.openxmlformats.org/officeDocument/2006/relationships/hyperlink" Target="http://www.sec.gov/Archives/edgar/data/1820302/000182030222000005/a1011-formofrsuagreement.htm" TargetMode="External"/><Relationship Id="rId309" Type="http://schemas.openxmlformats.org/officeDocument/2006/relationships/hyperlink" Target="http://www.sec.gov/Archives/edgar/data/1820302/000182030222000005/a1012-formofrsuagreement.htm" TargetMode="External"/><Relationship Id="rId310" Type="http://schemas.openxmlformats.org/officeDocument/2006/relationships/hyperlink" Target="http://www.sec.gov/Archives/edgar/data/1820302/000182030222000005/a1013-formofpsuagreement.htm" TargetMode="External"/><Relationship Id="rId311" Type="http://schemas.openxmlformats.org/officeDocument/2006/relationships/hyperlink" Target="http://www.sec.gov/Archives/edgar/data/1820302/000119312521328170/d226097dex211.htm" TargetMode="External"/><Relationship Id="rId312" Type="http://schemas.openxmlformats.org/officeDocument/2006/relationships/hyperlink" Target="http://www.sec.gov/ix?doc=/Archives/edgar/data/1820302/000119312521328170/d226097ds1.htm#fin226097_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2022-04-05T16:36:42Z</dcterms:created>
  <dcterms:modified xsi:type="dcterms:W3CDTF">2022-04-05T16:36:42Z</dcterms:modified>
</cp:coreProperties>
</file>