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10,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41-2324812</w:t>
      </w:r>
    </w:p>
    <w:p>
      <w:pPr>
        <w:spacing w:after="0" w:line="12" w:lineRule="exact"/>
        <w:rPr>
          <w:sz w:val="24"/>
          <w:szCs w:val="24"/>
          <w:color w:val="auto"/>
        </w:rPr>
      </w:pPr>
    </w:p>
    <w:p>
      <w:pPr>
        <w:sectPr>
          <w:pgSz w:w="11900" w:h="16838" w:orient="portrait"/>
          <w:cols w:equalWidth="0" w:num="2">
            <w:col w:w="7180" w:space="720"/>
            <w:col w:w="3120"/>
          </w:cols>
          <w:pgMar w:left="440" w:top="225" w:right="4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2">
            <w:col w:w="6900" w:space="720"/>
            <w:col w:w="3400"/>
          </w:cols>
          <w:pgMar w:left="440" w:top="225" w:right="439" w:bottom="144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Bakkt Holdings, Inc. 2021 Omnibus Incentive Plan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ectPr>
          <w:pgSz w:w="11900" w:h="16838" w:orient="portrait"/>
          <w:cols w:equalWidth="0" w:num="1">
            <w:col w:w="11020"/>
          </w:cols>
          <w:pgMar w:left="440" w:top="225" w:right="439" w:bottom="1440"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80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57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26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Jared M. Fishman</w:t>
            </w:r>
          </w:p>
        </w:tc>
        <w:tc>
          <w:tcPr>
            <w:tcW w:w="5780" w:type="dxa"/>
            <w:vAlign w:val="bottom"/>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26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Matthew Goodman</w:t>
            </w:r>
          </w:p>
        </w:tc>
        <w:tc>
          <w:tcPr>
            <w:tcW w:w="5780" w:type="dxa"/>
            <w:vAlign w:val="bottom"/>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30"/>
        </w:trPr>
        <w:tc>
          <w:tcPr>
            <w:tcW w:w="26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Mario Schollmeyer</w:t>
            </w:r>
          </w:p>
        </w:tc>
        <w:tc>
          <w:tcPr>
            <w:tcW w:w="5780" w:type="dxa"/>
            <w:vAlign w:val="bottom"/>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r>
      <w:tr>
        <w:trPr>
          <w:trHeight w:val="216"/>
        </w:trPr>
        <w:tc>
          <w:tcPr>
            <w:tcW w:w="26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Sullivan &amp; Cromwell LLP</w:t>
            </w:r>
          </w:p>
        </w:tc>
        <w:tc>
          <w:tcPr>
            <w:tcW w:w="578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7"/>
              </w:rPr>
              <w:t>New York, New York 10006</w:t>
            </w:r>
          </w:p>
        </w:tc>
      </w:tr>
      <w:tr>
        <w:trPr>
          <w:trHeight w:val="216"/>
        </w:trPr>
        <w:tc>
          <w:tcPr>
            <w:tcW w:w="26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125 Broad Street</w:t>
            </w:r>
          </w:p>
        </w:tc>
        <w:tc>
          <w:tcPr>
            <w:tcW w:w="5780" w:type="dxa"/>
            <w:vAlign w:val="bottom"/>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26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New York, NY 10004</w:t>
            </w:r>
          </w:p>
        </w:tc>
        <w:tc>
          <w:tcPr>
            <w:tcW w:w="5780" w:type="dxa"/>
            <w:vAlign w:val="bottom"/>
          </w:tcPr>
          <w:p>
            <w:pPr>
              <w:spacing w:after="0"/>
              <w:rPr>
                <w:sz w:val="18"/>
                <w:szCs w:val="18"/>
                <w:color w:val="auto"/>
              </w:rPr>
            </w:pPr>
          </w:p>
        </w:tc>
      </w:tr>
      <w:tr>
        <w:trPr>
          <w:trHeight w:val="238"/>
        </w:trPr>
        <w:tc>
          <w:tcPr>
            <w:tcW w:w="26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(212) 558-4000</w:t>
            </w:r>
          </w:p>
        </w:tc>
        <w:tc>
          <w:tcPr>
            <w:tcW w:w="57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This Post-Effective Amendment No. 1 (the “Amendment”) is being filed pursuant to Rule 414 under the Securities Act of 1933, as amended (the “Securities Act”), to notify the Securities and Exchange Commission (the “Commission”) that effective as of November 3, 2025, Bakkt Intermediate Holdings, Inc. (formerly “Bakkt Holdings, Inc.”), a Delaware corporation (the “Predecessor Registrant”), merged (the “Merger”) with and into Bakkt Merger Sub 1, Inc., a Delaware corporation (“Merger Sub”) and a direct wholly-owned subsidiary of Bakkt Holdings, Inc. (formerly “Bakkt NewCo Holdings, Inc.”), a Delaware corporation (the “Successor Registrant”), pursuant to which the Predecessor Registrant became a direct wholly-owned subsidiary of the Successor Registrant, in accordance with the Agreement and Plan of Merger, dated November 3, 2025, among the Predecessor Registrant, the Successor Registrant and Merger Sub. For the purposes of this Amendment and the Registration Statement (as defined below), (i) as of any time prior to the effective time of the Merger, references to the “Company,” “we,” “us,” “our” and similar terms mean the Predecessor Registrant and references to “Class A Common Stock” mean the Class A Common Stock, par value $0.0001 per share, of the Predecessor Registrant and (ii) as of the effective time of the Merger and thereafter, references to the “Company,” “we,” “us,” “our” and similar terms mean the Successor Registrant and references to “Class A Common Stock” mean the Class A Common Stock, par value $0.0001 per share, of the Successor Registrant. This Amendment does not reflect any increase in the number of shares issuable pursuant to the Company’s equity compensation plans.</w:t>
      </w:r>
    </w:p>
    <w:p>
      <w:pPr>
        <w:spacing w:after="0" w:line="190" w:lineRule="exact"/>
        <w:rPr>
          <w:sz w:val="20"/>
          <w:szCs w:val="20"/>
          <w:color w:val="auto"/>
        </w:rPr>
      </w:pPr>
    </w:p>
    <w:p>
      <w:pPr>
        <w:ind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relates to the Registration Statement (the “Registration Statement”) of the Predecessor Registrant on Form S-8 (</w:t>
      </w:r>
      <w:hyperlink r:id="rId18">
        <w:r>
          <w:rPr>
            <w:rFonts w:ascii="Times New Roman" w:cs="Times New Roman" w:eastAsia="Times New Roman" w:hAnsi="Times New Roman"/>
            <w:sz w:val="18"/>
            <w:szCs w:val="18"/>
            <w:u w:val="single" w:color="auto"/>
            <w:color w:val="0000EE"/>
          </w:rPr>
          <w:t>File No. 333-261768</w:t>
        </w:r>
      </w:hyperlink>
      <w:r>
        <w:rPr>
          <w:rFonts w:ascii="Times New Roman" w:cs="Times New Roman" w:eastAsia="Times New Roman" w:hAnsi="Times New Roman"/>
          <w:sz w:val="18"/>
          <w:szCs w:val="18"/>
          <w:color w:val="auto"/>
        </w:rPr>
        <w:t>), filed with the Commission on December 20, 2021, registering 25,816,946 shares of Class A Common Stock issuable under the Bakkt Holdings, Inc. 2021 Omnibus Incentive Plan (the “Plan”).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Merger, all of the outstanding capital stock of the Predecessor Registrant (including any options or other rights to acquire the same) was converted automatically, on a share-for-share basis, into equivalent capital stock of the Successor Registrant (and rights to acquire the same). As a result of the Merger, each stockholder of the Predecessor Registrant became a stockholder of the Successor Registrant. In connection with the Merger, the Successor Registrant assumed the Predecessor Registrant’s existing obligations in connection with awards granted under the Plan.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accordance with Rule 414 under the Securities Act, the Successor Registrant hereby expressly adopts the Registration Statement as its own registration statement except as amended by this Amendment, for all purposes of the Securities Act and under the Securities Exchange Act of 1934, as amended (the “Exchange Act”). All registration fees were paid at the time of filing of the original Registration Statement.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700" w:firstLine="2713"/>
        <w:spacing w:after="0" w:line="378" w:lineRule="auto"/>
        <w:rPr>
          <w:sz w:val="20"/>
          <w:szCs w:val="20"/>
          <w:color w:val="auto"/>
        </w:rPr>
      </w:pPr>
      <w:r>
        <w:rPr>
          <w:rFonts w:ascii="Times New Roman" w:cs="Times New Roman" w:eastAsia="Times New Roman" w:hAnsi="Times New Roman"/>
          <w:sz w:val="18"/>
          <w:szCs w:val="18"/>
          <w:b w:val="1"/>
          <w:bCs w:val="1"/>
          <w:color w:val="auto"/>
        </w:rPr>
        <w:t>INFORMATION REQUIRED IN THE REGISTRATION STATEMENT Item 3. Incorporation of Documents by Reference.</w:t>
      </w:r>
    </w:p>
    <w:p>
      <w:pPr>
        <w:spacing w:after="0"/>
        <w:rPr>
          <w:sz w:val="20"/>
          <w:szCs w:val="20"/>
          <w:color w:val="auto"/>
        </w:rPr>
      </w:pPr>
      <w:r>
        <w:rPr>
          <w:rFonts w:ascii="Times New Roman" w:cs="Times New Roman" w:eastAsia="Times New Roman" w:hAnsi="Times New Roman"/>
          <w:sz w:val="18"/>
          <w:szCs w:val="18"/>
          <w:color w:val="auto"/>
        </w:rPr>
        <w:t>The Company incorporates by reference the following documents that the Company has previously filed with the Commission:</w:t>
      </w:r>
    </w:p>
    <w:p>
      <w:pPr>
        <w:spacing w:after="0" w:line="131" w:lineRule="exact"/>
        <w:rPr>
          <w:sz w:val="20"/>
          <w:szCs w:val="20"/>
          <w:color w:val="auto"/>
        </w:rPr>
      </w:pPr>
    </w:p>
    <w:p>
      <w:pPr>
        <w:ind w:left="1420" w:hanging="439"/>
        <w:spacing w:after="0" w:line="282" w:lineRule="auto"/>
        <w:tabs>
          <w:tab w:leader="none" w:pos="1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March 20, 2025 (the “Annual Report”);</w:t>
      </w:r>
    </w:p>
    <w:p>
      <w:pPr>
        <w:spacing w:after="0" w:line="67" w:lineRule="exact"/>
        <w:rPr>
          <w:rFonts w:ascii="Times New Roman" w:cs="Times New Roman" w:eastAsia="Times New Roman" w:hAnsi="Times New Roman"/>
          <w:sz w:val="18"/>
          <w:szCs w:val="18"/>
          <w:color w:val="auto"/>
        </w:rPr>
      </w:pPr>
    </w:p>
    <w:p>
      <w:pPr>
        <w:ind w:left="1420" w:right="40" w:hanging="439"/>
        <w:spacing w:after="0" w:line="282" w:lineRule="auto"/>
        <w:tabs>
          <w:tab w:leader="none" w:pos="1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Company’s Definitive Proxy Statement on </w:t>
      </w:r>
      <w:hyperlink r:id="rId2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the Annual Report, filed with the Commission on April 28, 2025;</w:t>
      </w:r>
    </w:p>
    <w:p>
      <w:pPr>
        <w:spacing w:after="0" w:line="67" w:lineRule="exact"/>
        <w:rPr>
          <w:rFonts w:ascii="Times New Roman" w:cs="Times New Roman" w:eastAsia="Times New Roman" w:hAnsi="Times New Roman"/>
          <w:sz w:val="18"/>
          <w:szCs w:val="18"/>
          <w:color w:val="auto"/>
        </w:rPr>
      </w:pPr>
    </w:p>
    <w:p>
      <w:pPr>
        <w:ind w:left="1420" w:right="340" w:hanging="439"/>
        <w:spacing w:after="0" w:line="282" w:lineRule="auto"/>
        <w:tabs>
          <w:tab w:leader="none" w:pos="142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auto"/>
          </w:rPr>
          <w:t xml:space="preserve">The Company’s Quarterly Reports on Form 10-Q for the quarters ended March 31, 2025, filed with the Commission on </w:t>
        </w:r>
        <w:r>
          <w:rPr>
            <w:rFonts w:ascii="Times New Roman" w:cs="Times New Roman" w:eastAsia="Times New Roman" w:hAnsi="Times New Roman"/>
            <w:sz w:val="18"/>
            <w:szCs w:val="18"/>
            <w:u w:val="single" w:color="auto"/>
            <w:color w:val="0000EE"/>
          </w:rPr>
          <w:t>May 12,</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 June 30, 2025, filed with the Commission on</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August 11, 2025</w:t>
        </w:r>
      </w:hyperlink>
      <w:hyperlink r:id="rId21">
        <w:r>
          <w:rPr>
            <w:rFonts w:ascii="Times New Roman" w:cs="Times New Roman" w:eastAsia="Times New Roman" w:hAnsi="Times New Roman"/>
            <w:sz w:val="18"/>
            <w:szCs w:val="18"/>
            <w:color w:val="000000"/>
          </w:rPr>
          <w:t>;</w:t>
        </w:r>
      </w:hyperlink>
    </w:p>
    <w:p>
      <w:pPr>
        <w:sectPr>
          <w:pgSz w:w="11900" w:h="16838" w:orient="portrait"/>
          <w:cols w:equalWidth="0" w:num="1">
            <w:col w:w="11000"/>
          </w:cols>
          <w:pgMar w:left="440" w:top="266" w:right="459" w:bottom="1440" w:gutter="0" w:footer="0" w:header="0"/>
        </w:sectPr>
      </w:pPr>
    </w:p>
    <w:bookmarkStart w:id="2" w:name="page3"/>
    <w:bookmarkEnd w:id="2"/>
    <w:p>
      <w:pPr>
        <w:ind w:left="1420" w:right="40" w:hanging="439"/>
        <w:spacing w:after="0" w:line="254" w:lineRule="auto"/>
        <w:tabs>
          <w:tab w:leader="none" w:pos="1420" w:val="left"/>
        </w:tabs>
        <w:numPr>
          <w:ilvl w:val="0"/>
          <w:numId w:val="2"/>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Company’s Current Reports on Form 8-K filed with the Commission on </w:t>
      </w:r>
      <w:hyperlink r:id="rId24">
        <w:r>
          <w:rPr>
            <w:rFonts w:ascii="Times New Roman" w:cs="Times New Roman" w:eastAsia="Times New Roman" w:hAnsi="Times New Roman"/>
            <w:sz w:val="18"/>
            <w:szCs w:val="18"/>
            <w:u w:val="single" w:color="auto"/>
            <w:color w:val="0000EE"/>
          </w:rPr>
          <w:t>March 17, 2025</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March 20, 2025</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April 22,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8">
        <w:r>
          <w:rPr>
            <w:rFonts w:ascii="Times New Roman" w:cs="Times New Roman" w:eastAsia="Times New Roman" w:hAnsi="Times New Roman"/>
            <w:sz w:val="18"/>
            <w:szCs w:val="18"/>
            <w:u w:val="single" w:color="auto"/>
            <w:color w:val="0000EE"/>
          </w:rPr>
          <w:t xml:space="preserve">June 10, 2025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information furnished rather than filed),</w:t>
      </w:r>
      <w:r>
        <w:rPr>
          <w:rFonts w:ascii="Times New Roman" w:cs="Times New Roman" w:eastAsia="Times New Roman" w:hAnsi="Times New Roman"/>
          <w:sz w:val="18"/>
          <w:szCs w:val="18"/>
          <w:color w:val="0000EE"/>
        </w:rPr>
        <w:t xml:space="preserve"> </w:t>
      </w:r>
      <w:hyperlink r:id="rId29">
        <w:r>
          <w:rPr>
            <w:rFonts w:ascii="Times New Roman" w:cs="Times New Roman" w:eastAsia="Times New Roman" w:hAnsi="Times New Roman"/>
            <w:sz w:val="18"/>
            <w:szCs w:val="18"/>
            <w:u w:val="single" w:color="auto"/>
            <w:color w:val="0000EE"/>
          </w:rPr>
          <w:t>June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0">
        <w:r>
          <w:rPr>
            <w:rFonts w:ascii="Times New Roman" w:cs="Times New Roman" w:eastAsia="Times New Roman" w:hAnsi="Times New Roman"/>
            <w:sz w:val="18"/>
            <w:szCs w:val="18"/>
            <w:u w:val="single" w:color="auto"/>
            <w:color w:val="0000EE"/>
          </w:rPr>
          <w:t>June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1">
        <w:r>
          <w:rPr>
            <w:rFonts w:ascii="Times New Roman" w:cs="Times New Roman" w:eastAsia="Times New Roman" w:hAnsi="Times New Roman"/>
            <w:sz w:val="18"/>
            <w:szCs w:val="18"/>
            <w:u w:val="single" w:color="auto"/>
            <w:color w:val="0000EE"/>
          </w:rPr>
          <w:t>June 20,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2">
        <w:r>
          <w:rPr>
            <w:rFonts w:ascii="Times New Roman" w:cs="Times New Roman" w:eastAsia="Times New Roman" w:hAnsi="Times New Roman"/>
            <w:sz w:val="18"/>
            <w:szCs w:val="18"/>
            <w:u w:val="single" w:color="auto"/>
            <w:color w:val="0000EE"/>
          </w:rPr>
          <w:t>July 28,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information furnished rather than filed),</w:t>
      </w:r>
      <w:r>
        <w:rPr>
          <w:rFonts w:ascii="Times New Roman" w:cs="Times New Roman" w:eastAsia="Times New Roman" w:hAnsi="Times New Roman"/>
          <w:sz w:val="18"/>
          <w:szCs w:val="18"/>
          <w:color w:val="0000EE"/>
        </w:rPr>
        <w:t xml:space="preserve"> </w:t>
      </w:r>
      <w:hyperlink r:id="rId33">
        <w:r>
          <w:rPr>
            <w:rFonts w:ascii="Times New Roman" w:cs="Times New Roman" w:eastAsia="Times New Roman" w:hAnsi="Times New Roman"/>
            <w:sz w:val="18"/>
            <w:szCs w:val="18"/>
            <w:u w:val="single" w:color="auto"/>
            <w:color w:val="0000EE"/>
          </w:rPr>
          <w:t xml:space="preserve">July 30, 2025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information furnished rather than filed),</w:t>
      </w:r>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August 6,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information furnished rather than filed),</w:t>
      </w:r>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August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August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August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September 15,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September 22,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 xml:space="preserve">October 1, 2025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information furnished rather than filed),</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October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October 14,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 xml:space="preserve">October 20, 2025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information furnished rather than filed),</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October 21,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October 22,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October 31,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information furnished rather than filed),</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 xml:space="preserve">November 3,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 xml:space="preserve">November 3,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Company’s Current Report on Form 8-K/A filed with the Commission on </w:t>
      </w:r>
      <w:hyperlink r:id="rId49">
        <w:r>
          <w:rPr>
            <w:rFonts w:ascii="Times New Roman" w:cs="Times New Roman" w:eastAsia="Times New Roman" w:hAnsi="Times New Roman"/>
            <w:sz w:val="18"/>
            <w:szCs w:val="18"/>
            <w:u w:val="single" w:color="auto"/>
            <w:color w:val="0000EE"/>
          </w:rPr>
          <w:t>November 7, 2025</w:t>
        </w:r>
      </w:hyperlink>
      <w:r>
        <w:rPr>
          <w:rFonts w:ascii="Times New Roman" w:cs="Times New Roman" w:eastAsia="Times New Roman" w:hAnsi="Times New Roman"/>
          <w:sz w:val="18"/>
          <w:szCs w:val="18"/>
          <w:color w:val="000000"/>
        </w:rPr>
        <w:t>; and</w:t>
      </w:r>
    </w:p>
    <w:p>
      <w:pPr>
        <w:spacing w:after="0" w:line="97" w:lineRule="exact"/>
        <w:rPr>
          <w:rFonts w:ascii="Times New Roman" w:cs="Times New Roman" w:eastAsia="Times New Roman" w:hAnsi="Times New Roman"/>
          <w:sz w:val="18"/>
          <w:szCs w:val="18"/>
          <w:color w:val="000000"/>
        </w:rPr>
      </w:pPr>
    </w:p>
    <w:p>
      <w:pPr>
        <w:ind w:left="1420" w:right="80" w:hanging="439"/>
        <w:spacing w:after="0" w:line="258" w:lineRule="auto"/>
        <w:tabs>
          <w:tab w:leader="none" w:pos="142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the Company’s common stock contained in </w:t>
      </w:r>
      <w:hyperlink r:id="rId50">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Company’s Current Report on Form 8-K filed on November 3, 2025, which updates the description of the Company’s Class A Common Stock contained in the Company’s Registration Statement on </w:t>
      </w:r>
      <w:hyperlink r:id="rId51">
        <w:r>
          <w:rPr>
            <w:rFonts w:ascii="Times New Roman" w:cs="Times New Roman" w:eastAsia="Times New Roman" w:hAnsi="Times New Roman"/>
            <w:sz w:val="18"/>
            <w:szCs w:val="18"/>
            <w:u w:val="single" w:color="auto"/>
            <w:color w:val="0000EE"/>
          </w:rPr>
          <w:t>Form 8-A (File No. 001-39544)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on October 15, 2021, pursuant to Section </w:t>
      </w:r>
      <w:hyperlink r:id="rId52">
        <w:r>
          <w:rPr>
            <w:rFonts w:ascii="Times New Roman" w:cs="Times New Roman" w:eastAsia="Times New Roman" w:hAnsi="Times New Roman"/>
            <w:sz w:val="18"/>
            <w:szCs w:val="18"/>
            <w:color w:val="auto"/>
          </w:rPr>
          <w:t xml:space="preserve">12(b) of the Exchange Act, including any amendment or report filed for the purpose of updating such description, including </w:t>
        </w:r>
        <w:r>
          <w:rPr>
            <w:rFonts w:ascii="Times New Roman" w:cs="Times New Roman" w:eastAsia="Times New Roman" w:hAnsi="Times New Roman"/>
            <w:sz w:val="18"/>
            <w:szCs w:val="18"/>
            <w:u w:val="single" w:color="auto"/>
            <w:color w:val="0000EE"/>
          </w:rPr>
          <w:t>Exhibit</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the Annual Report.</w:t>
        </w:r>
      </w:hyperlink>
    </w:p>
    <w:p>
      <w:pPr>
        <w:spacing w:after="0" w:line="183" w:lineRule="exact"/>
        <w:rPr>
          <w:rFonts w:ascii="Times New Roman" w:cs="Times New Roman" w:eastAsia="Times New Roman" w:hAnsi="Times New Roman"/>
          <w:sz w:val="18"/>
          <w:szCs w:val="18"/>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All documents filed by the Company with the Commission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(including, without limitation, information furnished under Item 2.02 or Item 7.01 of Current Reports on Form 8-K and the exhibits related to such items furnished under Item 9.01) shall not be deemed incorporated by reference into this Registration Statement.</w:t>
      </w:r>
    </w:p>
    <w:p>
      <w:pPr>
        <w:spacing w:after="0" w:line="189"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Current Report on Form 8-K, or any exhibit thereto, is or was furnished to, rather than filed with, the Commission, such information or exhibit is specifically not incorporated by reference.</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Corporate Law (“DGCL”) authorizes a corporation’s board of directors to grant, and authorizes a court to award, indemnity to officers, directors and other corporate agents.</w:t>
      </w:r>
    </w:p>
    <w:p>
      <w:pPr>
        <w:spacing w:after="0" w:line="162" w:lineRule="exact"/>
        <w:rPr>
          <w:rFonts w:ascii="Times New Roman" w:cs="Times New Roman" w:eastAsia="Times New Roman" w:hAnsi="Times New Roman"/>
          <w:sz w:val="18"/>
          <w:szCs w:val="18"/>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Company or its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jc w:val="center"/>
        <w:ind w:left="5460" w:right="1160" w:hanging="4924"/>
        <w:spacing w:after="0" w:line="454" w:lineRule="auto"/>
        <w:tabs>
          <w:tab w:leader="none" w:pos="9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 2</w:t>
      </w:r>
    </w:p>
    <w:p>
      <w:pPr>
        <w:sectPr>
          <w:pgSz w:w="11900" w:h="16838" w:orient="portrait"/>
          <w:cols w:equalWidth="0" w:num="1">
            <w:col w:w="10980"/>
          </w:cols>
          <w:pgMar w:left="440" w:top="270" w:right="479" w:bottom="1440" w:gutter="0" w:footer="0" w:header="0"/>
        </w:sectPr>
      </w:pPr>
    </w:p>
    <w:bookmarkStart w:id="3" w:name="page4"/>
    <w:bookmarkEnd w:id="3"/>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from which they derived an improper personal benefit.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the Company’s Amended and Restated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Certain of the Company’s non-employee directors may, through their relationships with their employers, be insured and/or indemnified against certain liabilities incurred in their capacity as members of the board of directors.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540" w:type="dxa"/>
            <w:vAlign w:val="bottom"/>
            <w:gridSpan w:val="11"/>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3"/>
                <w:szCs w:val="23"/>
                <w:color w:val="auto"/>
              </w:rPr>
            </w:pPr>
          </w:p>
        </w:tc>
        <w:tc>
          <w:tcPr>
            <w:tcW w:w="98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Amended and Restated Certificate of Incorporation of Bakkt Holdings, Inc. (incorporated by reference to Exhibit 3.1 to Bakkt Holdings,</w:t>
              </w:r>
            </w:hyperlink>
          </w:p>
        </w:tc>
        <w:tc>
          <w:tcPr>
            <w:tcW w:w="32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Inc.’s Current Report on Form 8-K (File No. 001-39544) filed with the SEC on November 3, 2025).</w:t>
              </w:r>
            </w:hyperlink>
          </w:p>
        </w:tc>
        <w:tc>
          <w:tcPr>
            <w:tcW w:w="2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10140" w:type="dxa"/>
            <w:vAlign w:val="bottom"/>
            <w:gridSpan w:val="18"/>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Amended and Restated Bylaws of Bakkt Holdings, Inc. (incorporated by reference to Exhibit 3.2 to Bakkt Holdings, Inc.’s Current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on Form 8-K (File No. 001-39544) filed with the SEC on November 3, 2025).</w:t>
              </w:r>
            </w:hyperlink>
          </w:p>
        </w:tc>
        <w:tc>
          <w:tcPr>
            <w:tcW w:w="4320" w:type="dxa"/>
            <w:vAlign w:val="bottom"/>
            <w:tcBorders>
              <w:top w:val="single" w:sz="8" w:color="0000EE"/>
            </w:tcBorders>
            <w:gridSpan w:val="8"/>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99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Specimen Class A Common Stock Certificate of the Company (incorporated by reference to Exhibit 4.1 to the Company’s Form 8-K filed</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with the Commission on October 21,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98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Bakkt Holdings, Inc. 2021 Omnibus Incentive Plan (incorporated by reference to Exhibit 10.9 to the Company’s Form 8-K filed with the</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Commission on October 21, 2021).</w:t>
              </w:r>
            </w:hyperlink>
          </w:p>
        </w:tc>
        <w:tc>
          <w:tcPr>
            <w:tcW w:w="7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140" w:type="dxa"/>
            <w:vAlign w:val="bottom"/>
            <w:gridSpan w:val="18"/>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Amendment No. 1 to Bakkt Holdings, Inc. 2021 Omnibus Incentive Plan (incorporated by reference to Exhibit 10.11 to the Company’s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Form 10-K filed with the Commission on March 20, 2025).</w:t>
              </w:r>
            </w:hyperlink>
          </w:p>
        </w:tc>
        <w:tc>
          <w:tcPr>
            <w:tcW w:w="5480" w:type="dxa"/>
            <w:vAlign w:val="bottom"/>
            <w:tcBorders>
              <w:top w:val="single" w:sz="8" w:color="0000EE"/>
            </w:tcBorders>
            <w:gridSpan w:val="6"/>
          </w:tcPr>
          <w:p>
            <w:pPr>
              <w:spacing w:after="0"/>
              <w:rPr>
                <w:sz w:val="17"/>
                <w:szCs w:val="17"/>
                <w:color w:val="auto"/>
              </w:rPr>
            </w:pPr>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10140" w:type="dxa"/>
            <w:vAlign w:val="bottom"/>
            <w:gridSpan w:val="18"/>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Amendment No. 2 to Bakkt Holdings, Inc. 2021 Omnibus Incentive Plan (incorporated by reference to Exhibit 10.12 to the Company’s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Form 10-K filed with the Commission on March 20, 2025).</w:t>
              </w:r>
            </w:hyperlink>
          </w:p>
        </w:tc>
        <w:tc>
          <w:tcPr>
            <w:tcW w:w="5480" w:type="dxa"/>
            <w:vAlign w:val="bottom"/>
            <w:tcBorders>
              <w:top w:val="single" w:sz="8" w:color="0000EE"/>
            </w:tcBorders>
            <w:gridSpan w:val="6"/>
          </w:tcPr>
          <w:p>
            <w:pPr>
              <w:spacing w:after="0"/>
              <w:rPr>
                <w:sz w:val="17"/>
                <w:szCs w:val="17"/>
                <w:color w:val="auto"/>
              </w:rPr>
            </w:pPr>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24"/>
                <w:szCs w:val="24"/>
                <w:color w:val="auto"/>
              </w:rPr>
            </w:pPr>
          </w:p>
        </w:tc>
        <w:tc>
          <w:tcPr>
            <w:tcW w:w="10140" w:type="dxa"/>
            <w:vAlign w:val="bottom"/>
            <w:gridSpan w:val="18"/>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Amendment No. 3 to Bakkt Holdings, Inc. 2021 Omnibus Incentive Plan (incorporated by reference to Exhibit 4.5 to the Company’s Form</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S-8 filed with the Commission on June 27, 2025).</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35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Opinion of Sullivan &amp; Cromwell LLP.</w:t>
            </w:r>
          </w:p>
        </w:tc>
        <w:tc>
          <w:tcPr>
            <w:tcW w:w="65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69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 of the Company.</w:t>
            </w:r>
          </w:p>
        </w:tc>
        <w:tc>
          <w:tcPr>
            <w:tcW w:w="3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6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 accounting firm of the Company.</w:t>
            </w:r>
          </w:p>
        </w:tc>
        <w:tc>
          <w:tcPr>
            <w:tcW w:w="38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20" w:type="dxa"/>
            <w:vAlign w:val="bottom"/>
          </w:tcPr>
          <w:p>
            <w:pPr>
              <w:spacing w:after="0"/>
              <w:rPr>
                <w:sz w:val="24"/>
                <w:szCs w:val="24"/>
                <w:color w:val="auto"/>
              </w:rPr>
            </w:pPr>
          </w:p>
        </w:tc>
        <w:tc>
          <w:tcPr>
            <w:tcW w:w="46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Sullivan &amp; Cromwell LLP (included in Exhibit 5.1).</w:t>
            </w:r>
          </w:p>
        </w:tc>
        <w:tc>
          <w:tcPr>
            <w:tcW w:w="55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3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66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2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92"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960" w:right="42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0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3" w:lineRule="auto"/>
        <w:tabs>
          <w:tab w:leader="none" w:pos="112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7"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ectPr>
          <w:pgSz w:w="11900" w:h="16838" w:orient="portrait"/>
          <w:cols w:equalWidth="0" w:num="1">
            <w:col w:w="11020"/>
          </w:cols>
          <w:pgMar w:left="440" w:top="251" w:right="439" w:bottom="0" w:gutter="0" w:footer="0" w:header="0"/>
        </w:sectPr>
      </w:pPr>
    </w:p>
    <w:bookmarkStart w:id="5" w:name="page6"/>
    <w:bookmarkEnd w:id="5"/>
    <w:p>
      <w:pPr>
        <w:ind w:left="440" w:right="280" w:firstLine="419"/>
        <w:spacing w:after="0" w:line="282" w:lineRule="auto"/>
        <w:tabs>
          <w:tab w:leader="none" w:pos="11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1" w:lineRule="exact"/>
        <w:rPr>
          <w:sz w:val="20"/>
          <w:szCs w:val="20"/>
          <w:color w:val="auto"/>
        </w:rPr>
      </w:pPr>
    </w:p>
    <w:p>
      <w:pPr>
        <w:ind w:left="960" w:right="40" w:hanging="532"/>
        <w:spacing w:after="0" w:line="25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9" w:lineRule="exact"/>
        <w:rPr>
          <w:sz w:val="20"/>
          <w:szCs w:val="20"/>
          <w:color w:val="auto"/>
        </w:rPr>
      </w:pPr>
    </w:p>
    <w:p>
      <w:pPr>
        <w:ind w:left="960" w:hanging="532"/>
        <w:spacing w:after="0" w:line="254"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New York, State of New York, on November 10,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Akshay Naheta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Akshay Naheta, Marc D’Annunzio and Karen Alexander, and each or any one of them, as such person’s true and lawful attorney-in-fact and agent with full power of substitution and resubstitution, for such person in such person’s name, place and stead, in any and all capacities, to sign any and all amendments (including any further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121" w:right="459" w:bottom="1440" w:gutter="0" w:footer="0" w:header="0"/>
        </w:sectPr>
      </w:pPr>
    </w:p>
    <w:bookmarkStart w:id="6" w:name="page7"/>
    <w:bookmarkEnd w:id="6"/>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the requirements of the Securities Act, this Post-Effective Amendment No. 1 to the Registration Statement has been signed by the following persons in the capacities and on the 10th day of November,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Henderson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10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Collins</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Madelyn Alden Schwartzer</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Madelyn Alden Schwartzer</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Alfred</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Michael Alfred</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Brown</w:t>
            </w:r>
          </w:p>
        </w:tc>
        <w:tc>
          <w:tcPr>
            <w:tcW w:w="10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Colleen Brown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360"/>
        </w:trPr>
        <w:tc>
          <w:tcPr>
            <w:tcW w:w="4260" w:type="dxa"/>
            <w:vAlign w:val="bottom"/>
          </w:tcPr>
          <w:p>
            <w:pPr>
              <w:spacing w:after="0"/>
              <w:rPr>
                <w:sz w:val="24"/>
                <w:szCs w:val="24"/>
                <w:color w:val="auto"/>
              </w:rPr>
            </w:pPr>
          </w:p>
        </w:tc>
        <w:tc>
          <w:tcPr>
            <w:tcW w:w="6760" w:type="dxa"/>
            <w:vAlign w:val="bottom"/>
            <w:gridSpan w:val="2"/>
          </w:tcPr>
          <w:p>
            <w:pPr>
              <w:jc w:val="right"/>
              <w:ind w:right="5392"/>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508000</wp:posOffset>
            </wp:positionH>
            <wp:positionV relativeFrom="page">
              <wp:posOffset>380365</wp:posOffset>
            </wp:positionV>
            <wp:extent cx="311150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311150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TELEPHONE: 1-212-558-4000</w:t>
      </w:r>
    </w:p>
    <w:p>
      <w:pPr>
        <w:spacing w:after="0" w:line="3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FACSIMILE: 1-212-558-3588</w:t>
      </w:r>
    </w:p>
    <w:p>
      <w:pPr>
        <w:spacing w:after="0" w:line="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WWW.SULLCROM.COM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Liberty Street, Suite 305-306,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125 Broad Street</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New York, New York 10004-2498</w:t>
      </w:r>
    </w:p>
    <w:p>
      <w:pPr>
        <w:spacing w:after="0" w:line="1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31" w:lineRule="exact"/>
        <w:rPr>
          <w:sz w:val="20"/>
          <w:szCs w:val="20"/>
          <w:color w:val="auto"/>
        </w:rPr>
      </w:pPr>
    </w:p>
    <w:p>
      <w:pPr>
        <w:jc w:val="center"/>
        <w:ind w:left="360" w:right="240"/>
        <w:spacing w:after="0" w:line="401" w:lineRule="auto"/>
        <w:rPr>
          <w:sz w:val="20"/>
          <w:szCs w:val="20"/>
          <w:color w:val="auto"/>
        </w:rPr>
      </w:pPr>
      <w:r>
        <w:rPr>
          <w:rFonts w:ascii="Times New Roman" w:cs="Times New Roman" w:eastAsia="Times New Roman" w:hAnsi="Times New Roman"/>
          <w:sz w:val="18"/>
          <w:szCs w:val="18"/>
          <w:color w:val="auto"/>
        </w:rPr>
        <w:t>LOS ANGELES • PALO ALTO • WASHINGTON, D.C. BRUSSELS • FRANKFURT • LONDON • PARIS BEIJING • HONG KONG • TOKYO MELBOURNE • SYDNEY</w:t>
      </w:r>
    </w:p>
    <w:p>
      <w:pPr>
        <w:spacing w:after="0" w:line="75"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8"/>
          <w:szCs w:val="18"/>
          <w:color w:val="auto"/>
        </w:rPr>
        <w:t>                           November 10, 2025</w:t>
      </w:r>
    </w:p>
    <w:p>
      <w:pPr>
        <w:spacing w:after="0" w:line="1628" w:lineRule="exact"/>
        <w:rPr>
          <w:sz w:val="20"/>
          <w:szCs w:val="20"/>
          <w:color w:val="auto"/>
        </w:rPr>
      </w:pPr>
    </w:p>
    <w:p>
      <w:pPr>
        <w:sectPr>
          <w:pgSz w:w="11900" w:h="16838" w:orient="portrait"/>
          <w:cols w:equalWidth="0" w:num="2">
            <w:col w:w="5240" w:space="720"/>
            <w:col w:w="5060"/>
          </w:cols>
          <w:pgMar w:left="440" w:top="117" w:right="439" w:bottom="1440" w:gutter="0" w:footer="0" w:header="0"/>
        </w:sectPr>
      </w:pPr>
    </w:p>
    <w:p>
      <w:pPr>
        <w:ind w:right="120" w:firstLine="1432"/>
        <w:spacing w:after="0" w:line="261"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25,816,946 shares of Class A common stock, par value $0.0001 per share (the “Securities”), of Bakkt Holdings, Inc., a Delaware corporation (the “Company”), issuable under the Company’s 2021 Omnibus Incentive Plan (the “Plan”), we, as your counsel, have examined such corporate records, certificates and other documents, and such questions of law, as we have considered necessary or appropriate for the purposes of this opinion.</w:t>
      </w:r>
    </w:p>
    <w:p>
      <w:pPr>
        <w:spacing w:after="0" w:line="180" w:lineRule="exact"/>
        <w:rPr>
          <w:sz w:val="20"/>
          <w:szCs w:val="20"/>
          <w:color w:val="auto"/>
        </w:rPr>
      </w:pPr>
    </w:p>
    <w:p>
      <w:pPr>
        <w:jc w:val="both"/>
        <w:ind w:right="40" w:firstLine="1432"/>
        <w:spacing w:after="0" w:line="266"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and the Securities have been duly issued in accordance with the terms of the Plan, the Securities will be validly issued, fully paid and nonassessable.</w:t>
      </w:r>
    </w:p>
    <w:p>
      <w:pPr>
        <w:spacing w:after="0" w:line="176" w:lineRule="exact"/>
        <w:rPr>
          <w:sz w:val="20"/>
          <w:szCs w:val="20"/>
          <w:color w:val="auto"/>
        </w:rPr>
      </w:pPr>
    </w:p>
    <w:p>
      <w:pPr>
        <w:ind w:right="380" w:firstLine="1432"/>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40" w:firstLine="1432"/>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pacing w:after="0" w:line="162" w:lineRule="exact"/>
        <w:rPr>
          <w:sz w:val="20"/>
          <w:szCs w:val="20"/>
          <w:color w:val="auto"/>
        </w:rPr>
      </w:pPr>
    </w:p>
    <w:p>
      <w:pPr>
        <w:ind w:right="60" w:firstLine="1432"/>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ectPr>
          <w:pgSz w:w="11900" w:h="16838" w:orient="portrait"/>
          <w:cols w:equalWidth="0" w:num="1">
            <w:col w:w="11020"/>
          </w:cols>
          <w:pgMar w:left="440" w:top="117" w:right="439" w:bottom="1440" w:gutter="0" w:footer="0" w:header="0"/>
          <w:type w:val="continuous"/>
        </w:sectPr>
      </w:pPr>
    </w:p>
    <w:bookmarkStart w:id="8" w:name="page9"/>
    <w:bookmarkEnd w:id="8"/>
    <w:p>
      <w:pPr>
        <w:spacing w:after="0"/>
        <w:tabs>
          <w:tab w:leader="none" w:pos="107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w:t>
      </w:r>
      <w:r>
        <w:rPr>
          <w:sz w:val="20"/>
          <w:szCs w:val="20"/>
          <w:color w:val="auto"/>
        </w:rPr>
        <w:tab/>
      </w: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 SULLIVAN &amp; CROMWELL LLP</w:t>
      </w:r>
    </w:p>
    <w:p>
      <w:pPr>
        <w:sectPr>
          <w:pgSz w:w="11900" w:h="16838" w:orient="portrait"/>
          <w:cols w:equalWidth="0" w:num="1">
            <w:col w:w="11020"/>
          </w:cols>
          <w:pgMar w:left="440" w:top="270" w:right="4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Post-Effective Amendment No. 1 to the Registration Statement (Form S-8 No. 333-261768) pertaining to the 2021 Omnibus Incentive Plan of Bakkt Holdings, Inc.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filed with the Securities and Exchange Commission.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March 19, 2025, with respect to the consolidated financial statements of Bakkt Holdings, Inc., and the effectiveness of internal control over financial reporting, appearing in the Company’s Annual Report (Form 10-K) as of and for the year ended December 31, 2024 incorporated herein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Roman"/>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53" Type="http://schemas.openxmlformats.org/officeDocument/2006/relationships/image" Target="media/image12.png"/><Relationship Id="rId60" Type="http://schemas.openxmlformats.org/officeDocument/2006/relationships/image" Target="media/image13.png"/><Relationship Id="rId61" Type="http://schemas.openxmlformats.org/officeDocument/2006/relationships/image" Target="media/image14.png"/><Relationship Id="rId62" Type="http://schemas.openxmlformats.org/officeDocument/2006/relationships/image" Target="media/image15.png"/><Relationship Id="rId63" Type="http://schemas.openxmlformats.org/officeDocument/2006/relationships/image" Target="media/image16.jpeg"/><Relationship Id="rId64" Type="http://schemas.openxmlformats.org/officeDocument/2006/relationships/image" Target="media/image17.png"/><Relationship Id="rId18" Type="http://schemas.openxmlformats.org/officeDocument/2006/relationships/hyperlink" Target="http://www.sec.gov/Archives/edgar/data/1820302/000119312521362393/d255985ds8.htm" TargetMode="External"/><Relationship Id="rId19" Type="http://schemas.openxmlformats.org/officeDocument/2006/relationships/hyperlink" Target="http://www.sec.gov/ix?doc=/Archives/edgar/data/1820302/000162828025013959/bakkt-20241231.htm" TargetMode="External"/><Relationship Id="rId20" Type="http://schemas.openxmlformats.org/officeDocument/2006/relationships/hyperlink" Target="http://www.sec.gov/ix?doc=/Archives/edgar/data/1820302/000162828025020274/bakkt-20250428.htm" TargetMode="External"/><Relationship Id="rId21" Type="http://schemas.openxmlformats.org/officeDocument/2006/relationships/hyperlink" Target="http://www.sec.gov/ix?doc=/Archives/edgar/data/1820302/000162828025024743/bakkt-20250331.htm" TargetMode="External"/><Relationship Id="rId22" Type="http://schemas.openxmlformats.org/officeDocument/2006/relationships/hyperlink" Target="http://www.sec.gov/ix?doc=/Archives/edgar/data/1820302/000162828025039625/bakkt-20250630.htm" TargetMode="External"/><Relationship Id="rId24" Type="http://schemas.openxmlformats.org/officeDocument/2006/relationships/hyperlink" Target="http://www.sec.gov/ix?doc=/Archives/edgar/data/1820302/000162828025013121/bakkt-20250317.htm" TargetMode="External"/><Relationship Id="rId25" Type="http://schemas.openxmlformats.org/officeDocument/2006/relationships/hyperlink" Target="http://www.sec.gov/ix?doc=/Archives/edgar/data/1820302/000162828025013900/bakkt-20250319.htm" TargetMode="External"/><Relationship Id="rId26" Type="http://schemas.openxmlformats.org/officeDocument/2006/relationships/hyperlink" Target="http://www.sec.gov/ix?doc=/Archives/edgar/data/1820302/000162828025015682/bakkt-20250327.htm" TargetMode="External"/><Relationship Id="rId27" Type="http://schemas.openxmlformats.org/officeDocument/2006/relationships/hyperlink" Target="http://www.sec.gov/ix?doc=/Archives/edgar/data/1820302/000162828025018854/bakkt-20250421.htm" TargetMode="External"/><Relationship Id="rId28" Type="http://schemas.openxmlformats.org/officeDocument/2006/relationships/hyperlink" Target="http://www.sec.gov/ix?doc=/Archives/edgar/data/1820302/000119312525138191/d76438d8k.htm" TargetMode="External"/><Relationship Id="rId29" Type="http://schemas.openxmlformats.org/officeDocument/2006/relationships/hyperlink" Target="http://www.sec.gov/ix?doc=/Archives/edgar/data/1820302/000162828025030475/bakkt-20250610.htm" TargetMode="External"/><Relationship Id="rId30" Type="http://schemas.openxmlformats.org/officeDocument/2006/relationships/hyperlink" Target="http://www.sec.gov/ix?doc=/Archives/edgar/data/1820302/000162828025031314/bakkt-20250609.htm" TargetMode="External"/><Relationship Id="rId31" Type="http://schemas.openxmlformats.org/officeDocument/2006/relationships/hyperlink" Target="http://www.sec.gov/ix?doc=/Archives/edgar/data/1820302/000119312525142918/d80998d8k.htm" TargetMode="External"/><Relationship Id="rId32" Type="http://schemas.openxmlformats.org/officeDocument/2006/relationships/hyperlink" Target="http://www.sec.gov/ix?doc=/Archives/edgar/data/1820302/000162828025036239/bakkt-20250723.htm" TargetMode="External"/><Relationship Id="rId33" Type="http://schemas.openxmlformats.org/officeDocument/2006/relationships/hyperlink" Target="http://www.sec.gov/ix?doc=/Archives/edgar/data/1820302/000119312525169353/d37228d8k.htm" TargetMode="External"/><Relationship Id="rId34" Type="http://schemas.openxmlformats.org/officeDocument/2006/relationships/hyperlink" Target="http://www.sec.gov/ix?doc=/Archives/edgar/data/1820302/000162828025038417/bakkt-20250806.htm" TargetMode="External"/><Relationship Id="rId35" Type="http://schemas.openxmlformats.org/officeDocument/2006/relationships/hyperlink" Target="http://www.sec.gov/ix?doc=/Archives/edgar/data/1820302/000162828025039333/bakkt-20250806.htm" TargetMode="External"/><Relationship Id="rId36" Type="http://schemas.openxmlformats.org/officeDocument/2006/relationships/hyperlink" Target="http://www.sec.gov/ix?doc=/Archives/edgar/data/1820302/000119312525178246/d18816d8k.htm" TargetMode="External"/><Relationship Id="rId37" Type="http://schemas.openxmlformats.org/officeDocument/2006/relationships/hyperlink" Target="http://www.sec.gov/ix?doc=/Archives/edgar/data/1820302/000182030225000005/bakkt-20250826.htm" TargetMode="External"/><Relationship Id="rId38" Type="http://schemas.openxmlformats.org/officeDocument/2006/relationships/hyperlink" Target="http://www.sec.gov/ix?doc=/Archives/edgar/data/1820302/000119312525203599/d100139d8k.htm" TargetMode="External"/><Relationship Id="rId39" Type="http://schemas.openxmlformats.org/officeDocument/2006/relationships/hyperlink" Target="http://www.sec.gov/ix?doc=/Archives/edgar/data/1820302/000162828025042251/bakkt-20250917.htm" TargetMode="External"/><Relationship Id="rId40" Type="http://schemas.openxmlformats.org/officeDocument/2006/relationships/hyperlink" Target="http://www.sec.gov/ix?doc=/Archives/edgar/data/1820302/000162828025043317/bakkt-20250930.htm" TargetMode="External"/><Relationship Id="rId41" Type="http://schemas.openxmlformats.org/officeDocument/2006/relationships/hyperlink" Target="http://www.sec.gov/ix?doc=/Archives/edgar/data/1820302/000119312525234538/d87349d8k.htm" TargetMode="External"/><Relationship Id="rId42" Type="http://schemas.openxmlformats.org/officeDocument/2006/relationships/hyperlink" Target="http://www.sec.gov/ix?doc=/Archives/edgar/data/0001820302/000119312525237364/d32118d8k.htm" TargetMode="External"/><Relationship Id="rId43" Type="http://schemas.openxmlformats.org/officeDocument/2006/relationships/hyperlink" Target="http://www.sec.gov/ix?doc=/Archives/edgar/data/1820302/000119312525242750/d74254d8k.htm" TargetMode="External"/><Relationship Id="rId44" Type="http://schemas.openxmlformats.org/officeDocument/2006/relationships/hyperlink" Target="http://www.sec.gov/ix?doc=/Archives/edgar/data/1820302/000162828025045560/bakkt-20251019.htm" TargetMode="External"/><Relationship Id="rId45" Type="http://schemas.openxmlformats.org/officeDocument/2006/relationships/hyperlink" Target="http://www.sec.gov/ix?doc=/Archives/edgar/data/1820302/000119312525245822/d36779d8k.htm" TargetMode="External"/><Relationship Id="rId46" Type="http://schemas.openxmlformats.org/officeDocument/2006/relationships/hyperlink" Target="http://www.sec.gov/ix?doc=/Archives/edgar/data/1820302/000162828025047840/bakkt-20251031.htm" TargetMode="External"/><Relationship Id="rId47" Type="http://schemas.openxmlformats.org/officeDocument/2006/relationships/hyperlink" Target="http://www.sec.gov/ix?doc=/Archives/edgar/data/1820302/000119312525262732/d83327d8k12b.htm" TargetMode="External"/><Relationship Id="rId48" Type="http://schemas.openxmlformats.org/officeDocument/2006/relationships/hyperlink" Target="http://www.sec.gov/ix?doc=/Archives/edgar/data/1820302/000119312525262474/d98917d8k.htm" TargetMode="External"/><Relationship Id="rId49" Type="http://schemas.openxmlformats.org/officeDocument/2006/relationships/hyperlink" Target="http://www.sec.gov/ix?doc=/Archives/edgar/data/0001820302/000119312525272524/d70742d8ka.htm" TargetMode="External"/><Relationship Id="rId50" Type="http://schemas.openxmlformats.org/officeDocument/2006/relationships/hyperlink" Target="http://www.sec.gov/Archives/edgar/data/1820302/000119312525262732/d83327dex991.htm" TargetMode="External"/><Relationship Id="rId51" Type="http://schemas.openxmlformats.org/officeDocument/2006/relationships/hyperlink" Target="http://www.sec.gov/Archives/edgar/data/1820302/000119312521299620/d211377d8a12b.htm" TargetMode="External"/><Relationship Id="rId52" Type="http://schemas.openxmlformats.org/officeDocument/2006/relationships/hyperlink" Target="http://www.sec.gov/Archives/edgar/data/1820302/000182030222000005/a46-descriptionofsecurit.htm" TargetMode="External"/><Relationship Id="rId54" Type="http://schemas.openxmlformats.org/officeDocument/2006/relationships/hyperlink" Target="http://www.sec.gov/Archives/edgar/data/1820302/000119312525262732/d83327dex31.htm" TargetMode="External"/><Relationship Id="rId55" Type="http://schemas.openxmlformats.org/officeDocument/2006/relationships/hyperlink" Target="http://www.sec.gov/Archives/edgar/data/1820302/000119312525262732/d83327dex32.htm" TargetMode="External"/><Relationship Id="rId56" Type="http://schemas.openxmlformats.org/officeDocument/2006/relationships/hyperlink" Target="http://www.sec.gov/Archives/edgar/data/1820302/000119312521303985/d219325dex41.htm" TargetMode="External"/><Relationship Id="rId57" Type="http://schemas.openxmlformats.org/officeDocument/2006/relationships/hyperlink" Target="http://www.sec.gov/Archives/edgar/data/1820302/000119312521303985/d219325dex109.htm" TargetMode="External"/><Relationship Id="rId58" Type="http://schemas.openxmlformats.org/officeDocument/2006/relationships/hyperlink" Target="http://www.sec.gov/Archives/edgar/data/0001820302/000182030224000056/ex1011amendno1toequityplan.htm" TargetMode="External"/><Relationship Id="rId59" Type="http://schemas.openxmlformats.org/officeDocument/2006/relationships/hyperlink" Target="http://www.sec.gov/Archives/edgar/data/1820302/000119312525151371/d41678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2025-11-10T13:51:38Z</dcterms:created>
  <dcterms:modified xsi:type="dcterms:W3CDTF">2025-11-10T13:51:38Z</dcterms:modified>
</cp:coreProperties>
</file>