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SCHEDULE 13G</w:t>
      </w:r>
    </w:p>
    <w:p>
      <w:pPr>
        <w:spacing w:after="0" w:line="14"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Amendment No. 2</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ind w:left="660"/>
        <w:spacing w:after="0"/>
        <w:rPr>
          <w:sz w:val="20"/>
          <w:szCs w:val="20"/>
          <w:color w:val="auto"/>
        </w:rPr>
      </w:pPr>
      <w:r>
        <w:rPr>
          <w:rFonts w:ascii="Arial" w:cs="Arial" w:eastAsia="Arial" w:hAnsi="Arial"/>
          <w:sz w:val="22"/>
          <w:szCs w:val="22"/>
          <w:color w:val="auto"/>
        </w:rPr>
        <w:t>[_] Rule 13d-1(b)</w:t>
      </w:r>
    </w:p>
    <w:p>
      <w:pPr>
        <w:spacing w:after="0" w:line="233" w:lineRule="exact"/>
        <w:rPr>
          <w:sz w:val="24"/>
          <w:szCs w:val="24"/>
          <w:color w:val="auto"/>
        </w:rPr>
      </w:pPr>
    </w:p>
    <w:p>
      <w:pPr>
        <w:ind w:left="660"/>
        <w:spacing w:after="0"/>
        <w:rPr>
          <w:sz w:val="20"/>
          <w:szCs w:val="20"/>
          <w:color w:val="auto"/>
        </w:rPr>
      </w:pPr>
      <w:r>
        <w:rPr>
          <w:rFonts w:ascii="Arial" w:cs="Arial" w:eastAsia="Arial" w:hAnsi="Arial"/>
          <w:sz w:val="22"/>
          <w:szCs w:val="22"/>
          <w:color w:val="auto"/>
        </w:rPr>
        <w:t>[_] Rule 13d-1(c)</w:t>
      </w:r>
    </w:p>
    <w:p>
      <w:pPr>
        <w:spacing w:after="0" w:line="233" w:lineRule="exact"/>
        <w:rPr>
          <w:sz w:val="24"/>
          <w:szCs w:val="24"/>
          <w:color w:val="auto"/>
        </w:rPr>
      </w:pPr>
    </w:p>
    <w:p>
      <w:pPr>
        <w:ind w:left="660"/>
        <w:spacing w:after="0"/>
        <w:rPr>
          <w:sz w:val="20"/>
          <w:szCs w:val="20"/>
          <w:color w:val="auto"/>
        </w:rPr>
      </w:pPr>
      <w:r>
        <w:rPr>
          <w:rFonts w:ascii="Arial" w:cs="Arial" w:eastAsia="Arial" w:hAnsi="Arial"/>
          <w:sz w:val="22"/>
          <w:szCs w:val="22"/>
          <w:color w:val="auto"/>
        </w:rPr>
        <w:t>[X] Rule 13d-1(d)</w:t>
      </w:r>
    </w:p>
    <w:p>
      <w:pPr>
        <w:spacing w:after="0" w:line="23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CUSIP No.</w:t>
            </w:r>
          </w:p>
        </w:tc>
        <w:tc>
          <w:tcPr>
            <w:tcW w:w="874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05759B107</w:t>
            </w:r>
          </w:p>
        </w:tc>
      </w:tr>
    </w:tbl>
    <w:p>
      <w:pPr>
        <w:spacing w:after="0" w:line="265" w:lineRule="exact"/>
        <w:rPr>
          <w:sz w:val="20"/>
          <w:szCs w:val="20"/>
          <w:color w:val="auto"/>
        </w:rPr>
      </w:pPr>
    </w:p>
    <w:p>
      <w:pPr>
        <w:ind w:left="980" w:right="7740" w:hanging="932"/>
        <w:spacing w:after="0" w:line="318" w:lineRule="auto"/>
        <w:tabs>
          <w:tab w:leader="none" w:pos="9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Names of Reporting Persons </w:t>
      </w:r>
      <w:r>
        <w:rPr>
          <w:rFonts w:ascii="Arial" w:cs="Arial" w:eastAsia="Arial" w:hAnsi="Arial"/>
          <w:sz w:val="16"/>
          <w:szCs w:val="16"/>
          <w:color w:val="auto"/>
        </w:rPr>
        <w:t>Alpine Global Management, LLC</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980" w:hanging="932"/>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74" w:lineRule="exact"/>
        <w:rPr>
          <w:rFonts w:ascii="Arial" w:cs="Arial" w:eastAsia="Arial" w:hAnsi="Arial"/>
          <w:sz w:val="18"/>
          <w:szCs w:val="18"/>
          <w:b w:val="1"/>
          <w:bCs w:val="1"/>
          <w:color w:val="auto"/>
        </w:rPr>
      </w:pPr>
    </w:p>
    <w:p>
      <w:pPr>
        <w:ind w:left="1580" w:hanging="292"/>
        <w:spacing w:after="0"/>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580" w:hanging="292"/>
        <w:spacing w:after="0"/>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9" w:lineRule="exact"/>
        <w:rPr>
          <w:sz w:val="20"/>
          <w:szCs w:val="20"/>
          <w:color w:val="auto"/>
        </w:rPr>
      </w:pPr>
    </w:p>
    <w:p>
      <w:pPr>
        <w:ind w:left="980" w:hanging="932"/>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0"/>
          <w:szCs w:val="20"/>
          <w:color w:val="auto"/>
        </w:rPr>
      </w:pPr>
    </w:p>
    <w:p>
      <w:pPr>
        <w:ind w:left="980" w:right="7460" w:hanging="932"/>
        <w:spacing w:after="0" w:line="360" w:lineRule="auto"/>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920" w:type="dxa"/>
            <w:vAlign w:val="bottom"/>
          </w:tcPr>
          <w:p>
            <w:pPr>
              <w:jc w:val="right"/>
              <w:ind w:right="690"/>
              <w:spacing w:after="0"/>
              <w:rPr>
                <w:sz w:val="20"/>
                <w:szCs w:val="20"/>
                <w:color w:val="auto"/>
              </w:rPr>
            </w:pPr>
            <w:r>
              <w:rPr>
                <w:rFonts w:ascii="Arial" w:cs="Arial" w:eastAsia="Arial" w:hAnsi="Arial"/>
                <w:sz w:val="18"/>
                <w:szCs w:val="18"/>
                <w:b w:val="1"/>
                <w:bCs w:val="1"/>
                <w:color w:val="auto"/>
              </w:rPr>
              <w:t>5</w:t>
            </w:r>
          </w:p>
        </w:tc>
        <w:tc>
          <w:tcPr>
            <w:tcW w:w="7940" w:type="dxa"/>
            <w:vAlign w:val="bottom"/>
          </w:tcPr>
          <w:p>
            <w:pPr>
              <w:ind w:left="80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97"/>
        </w:trPr>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40" w:type="dxa"/>
            <w:vAlign w:val="bottom"/>
          </w:tcPr>
          <w:p>
            <w:pPr>
              <w:ind w:left="800"/>
              <w:spacing w:after="0"/>
              <w:rPr>
                <w:sz w:val="20"/>
                <w:szCs w:val="20"/>
                <w:color w:val="auto"/>
              </w:rPr>
            </w:pPr>
            <w:r>
              <w:rPr>
                <w:rFonts w:ascii="Arial" w:cs="Arial" w:eastAsia="Arial" w:hAnsi="Arial"/>
                <w:sz w:val="18"/>
                <w:szCs w:val="18"/>
                <w:color w:val="auto"/>
              </w:rPr>
              <w:t>228,400</w:t>
            </w:r>
          </w:p>
        </w:tc>
        <w:tc>
          <w:tcPr>
            <w:tcW w:w="0" w:type="dxa"/>
            <w:vAlign w:val="bottom"/>
          </w:tcPr>
          <w:p>
            <w:pPr>
              <w:spacing w:after="0"/>
              <w:rPr>
                <w:sz w:val="1"/>
                <w:szCs w:val="1"/>
                <w:color w:val="auto"/>
              </w:rPr>
            </w:pPr>
          </w:p>
        </w:tc>
      </w:tr>
      <w:tr>
        <w:trPr>
          <w:trHeight w:val="48"/>
        </w:trPr>
        <w:tc>
          <w:tcPr>
            <w:tcW w:w="22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7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2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0"/>
              </w:rPr>
              <w:t>Number of Shares</w:t>
            </w:r>
          </w:p>
        </w:tc>
        <w:tc>
          <w:tcPr>
            <w:tcW w:w="920" w:type="dxa"/>
            <w:vAlign w:val="bottom"/>
          </w:tcPr>
          <w:p>
            <w:pPr>
              <w:jc w:val="right"/>
              <w:ind w:right="690"/>
              <w:spacing w:after="0"/>
              <w:rPr>
                <w:sz w:val="20"/>
                <w:szCs w:val="20"/>
                <w:color w:val="auto"/>
              </w:rPr>
            </w:pPr>
            <w:r>
              <w:rPr>
                <w:rFonts w:ascii="Arial" w:cs="Arial" w:eastAsia="Arial" w:hAnsi="Arial"/>
                <w:sz w:val="18"/>
                <w:szCs w:val="18"/>
                <w:b w:val="1"/>
                <w:bCs w:val="1"/>
                <w:color w:val="auto"/>
              </w:rPr>
              <w:t>6</w:t>
            </w:r>
          </w:p>
        </w:tc>
        <w:tc>
          <w:tcPr>
            <w:tcW w:w="7940" w:type="dxa"/>
            <w:vAlign w:val="bottom"/>
          </w:tcPr>
          <w:p>
            <w:pPr>
              <w:ind w:left="8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17"/>
        </w:trPr>
        <w:tc>
          <w:tcPr>
            <w:tcW w:w="226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7940" w:type="dxa"/>
            <w:vAlign w:val="bottom"/>
            <w:vMerge w:val="restart"/>
          </w:tcPr>
          <w:p>
            <w:pPr>
              <w:ind w:left="8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22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Beneficially Owned by Each</w:t>
            </w:r>
          </w:p>
        </w:tc>
        <w:tc>
          <w:tcPr>
            <w:tcW w:w="920" w:type="dxa"/>
            <w:vAlign w:val="bottom"/>
            <w:tcBorders>
              <w:bottom w:val="single" w:sz="8" w:color="auto"/>
            </w:tcBorders>
          </w:tcPr>
          <w:p>
            <w:pPr>
              <w:spacing w:after="0"/>
              <w:rPr>
                <w:sz w:val="19"/>
                <w:szCs w:val="19"/>
                <w:color w:val="auto"/>
              </w:rPr>
            </w:pPr>
          </w:p>
        </w:tc>
        <w:tc>
          <w:tcPr>
            <w:tcW w:w="7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Reporting Person With:</w:t>
            </w:r>
          </w:p>
        </w:tc>
        <w:tc>
          <w:tcPr>
            <w:tcW w:w="920" w:type="dxa"/>
            <w:vAlign w:val="bottom"/>
          </w:tcPr>
          <w:p>
            <w:pPr>
              <w:jc w:val="right"/>
              <w:ind w:right="690"/>
              <w:spacing w:after="0"/>
              <w:rPr>
                <w:sz w:val="20"/>
                <w:szCs w:val="20"/>
                <w:color w:val="auto"/>
              </w:rPr>
            </w:pPr>
            <w:r>
              <w:rPr>
                <w:rFonts w:ascii="Arial" w:cs="Arial" w:eastAsia="Arial" w:hAnsi="Arial"/>
                <w:sz w:val="18"/>
                <w:szCs w:val="18"/>
                <w:b w:val="1"/>
                <w:bCs w:val="1"/>
                <w:color w:val="auto"/>
              </w:rPr>
              <w:t>7</w:t>
            </w:r>
          </w:p>
        </w:tc>
        <w:tc>
          <w:tcPr>
            <w:tcW w:w="7940" w:type="dxa"/>
            <w:vAlign w:val="bottom"/>
          </w:tcPr>
          <w:p>
            <w:pPr>
              <w:ind w:left="80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97"/>
        </w:trPr>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40" w:type="dxa"/>
            <w:vAlign w:val="bottom"/>
          </w:tcPr>
          <w:p>
            <w:pPr>
              <w:ind w:left="800"/>
              <w:spacing w:after="0"/>
              <w:rPr>
                <w:sz w:val="20"/>
                <w:szCs w:val="20"/>
                <w:color w:val="auto"/>
              </w:rPr>
            </w:pPr>
            <w:r>
              <w:rPr>
                <w:rFonts w:ascii="Arial" w:cs="Arial" w:eastAsia="Arial" w:hAnsi="Arial"/>
                <w:sz w:val="18"/>
                <w:szCs w:val="18"/>
                <w:color w:val="auto"/>
              </w:rPr>
              <w:t>228,400</w:t>
            </w:r>
          </w:p>
        </w:tc>
        <w:tc>
          <w:tcPr>
            <w:tcW w:w="0" w:type="dxa"/>
            <w:vAlign w:val="bottom"/>
          </w:tcPr>
          <w:p>
            <w:pPr>
              <w:spacing w:after="0"/>
              <w:rPr>
                <w:sz w:val="1"/>
                <w:szCs w:val="1"/>
                <w:color w:val="auto"/>
              </w:rPr>
            </w:pPr>
          </w:p>
        </w:tc>
      </w:tr>
      <w:tr>
        <w:trPr>
          <w:trHeight w:val="48"/>
        </w:trPr>
        <w:tc>
          <w:tcPr>
            <w:tcW w:w="22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7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260" w:type="dxa"/>
            <w:vAlign w:val="bottom"/>
          </w:tcPr>
          <w:p>
            <w:pPr>
              <w:spacing w:after="0"/>
              <w:rPr>
                <w:sz w:val="22"/>
                <w:szCs w:val="22"/>
                <w:color w:val="auto"/>
              </w:rPr>
            </w:pPr>
          </w:p>
        </w:tc>
        <w:tc>
          <w:tcPr>
            <w:tcW w:w="920" w:type="dxa"/>
            <w:vAlign w:val="bottom"/>
          </w:tcPr>
          <w:p>
            <w:pPr>
              <w:jc w:val="right"/>
              <w:ind w:right="690"/>
              <w:spacing w:after="0"/>
              <w:rPr>
                <w:sz w:val="20"/>
                <w:szCs w:val="20"/>
                <w:color w:val="auto"/>
              </w:rPr>
            </w:pPr>
            <w:r>
              <w:rPr>
                <w:rFonts w:ascii="Arial" w:cs="Arial" w:eastAsia="Arial" w:hAnsi="Arial"/>
                <w:sz w:val="18"/>
                <w:szCs w:val="18"/>
                <w:b w:val="1"/>
                <w:bCs w:val="1"/>
                <w:color w:val="auto"/>
              </w:rPr>
              <w:t>8</w:t>
            </w:r>
          </w:p>
        </w:tc>
        <w:tc>
          <w:tcPr>
            <w:tcW w:w="7940" w:type="dxa"/>
            <w:vAlign w:val="bottom"/>
          </w:tcPr>
          <w:p>
            <w:pPr>
              <w:ind w:left="8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97"/>
        </w:trPr>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40" w:type="dxa"/>
            <w:vAlign w:val="bottom"/>
          </w:tcPr>
          <w:p>
            <w:pPr>
              <w:ind w:left="8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0" w:lineRule="exact"/>
        <w:rPr>
          <w:sz w:val="20"/>
          <w:szCs w:val="20"/>
          <w:color w:val="auto"/>
        </w:rPr>
      </w:pPr>
    </w:p>
    <w:p>
      <w:pPr>
        <w:ind w:left="980" w:right="5200" w:hanging="932"/>
        <w:spacing w:after="0" w:line="360" w:lineRule="auto"/>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228,400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980" w:right="3580" w:hanging="932"/>
        <w:spacing w:after="0" w:line="360" w:lineRule="auto"/>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Arial" w:cs="Arial" w:eastAsia="Arial" w:hAnsi="Arial"/>
          <w:sz w:val="18"/>
          <w:szCs w:val="18"/>
          <w:color w:val="auto"/>
        </w:rPr>
        <w:t>[ ]</w:t>
      </w:r>
    </w:p>
    <w:p>
      <w:pPr>
        <w:ind w:left="980" w:right="6460" w:hanging="932"/>
        <w:spacing w:after="0" w:line="284" w:lineRule="auto"/>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0.1%</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b w:val="1"/>
          <w:bCs w:val="1"/>
          <w:color w:val="auto"/>
        </w:rPr>
      </w:pPr>
    </w:p>
    <w:p>
      <w:pPr>
        <w:ind w:left="980" w:right="6880" w:hanging="932"/>
        <w:spacing w:after="0" w:line="427" w:lineRule="auto"/>
        <w:tabs>
          <w:tab w:leader="none" w:pos="9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Type of Reporting Person (See Instructions) </w:t>
      </w:r>
      <w:r>
        <w:rPr>
          <w:rFonts w:ascii="Arial" w:cs="Arial" w:eastAsia="Arial" w:hAnsi="Arial"/>
          <w:sz w:val="16"/>
          <w:szCs w:val="16"/>
          <w:color w:val="auto"/>
        </w:rPr>
        <w:t>OO, Other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-853440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06" w:lineRule="exact"/>
        <w:rPr>
          <w:sz w:val="20"/>
          <w:szCs w:val="20"/>
          <w:color w:val="auto"/>
        </w:rPr>
      </w:pPr>
    </w:p>
    <w:p>
      <w:pPr>
        <w:ind w:left="900" w:hanging="892"/>
        <w:spacing w:after="0"/>
        <w:tabs>
          <w:tab w:leader="none" w:pos="90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Bakkt Holdings, Inc.</w:t>
      </w:r>
    </w:p>
    <w:p>
      <w:pPr>
        <w:spacing w:after="0" w:line="200" w:lineRule="exact"/>
        <w:rPr>
          <w:sz w:val="20"/>
          <w:szCs w:val="20"/>
          <w:color w:val="auto"/>
        </w:rPr>
      </w:pPr>
    </w:p>
    <w:p>
      <w:pPr>
        <w:ind w:left="920" w:hanging="912"/>
        <w:spacing w:after="0"/>
        <w:tabs>
          <w:tab w:leader="none" w:pos="92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10000 Avalon Boulevard, Suite 1000, Alpharetta, Georgia</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00" w:lineRule="exact"/>
        <w:rPr>
          <w:sz w:val="20"/>
          <w:szCs w:val="20"/>
          <w:color w:val="auto"/>
        </w:rPr>
      </w:pPr>
    </w:p>
    <w:p>
      <w:pPr>
        <w:spacing w:after="0" w:line="23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Alpine Global Management, LLC</w:t>
      </w:r>
    </w:p>
    <w:p>
      <w:pPr>
        <w:spacing w:after="0" w:line="200" w:lineRule="exact"/>
        <w:rPr>
          <w:sz w:val="20"/>
          <w:szCs w:val="20"/>
          <w:color w:val="auto"/>
        </w:rPr>
      </w:pP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140 Broadway, 38</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Floor</w:t>
      </w:r>
    </w:p>
    <w:p>
      <w:pPr>
        <w:spacing w:after="0"/>
        <w:rPr>
          <w:sz w:val="20"/>
          <w:szCs w:val="20"/>
          <w:color w:val="auto"/>
        </w:rPr>
      </w:pPr>
      <w:r>
        <w:rPr>
          <w:rFonts w:ascii="Arial" w:cs="Arial" w:eastAsia="Arial" w:hAnsi="Arial"/>
          <w:sz w:val="22"/>
          <w:szCs w:val="22"/>
          <w:color w:val="auto"/>
        </w:rPr>
        <w:t>New York, NY 10005</w:t>
      </w:r>
    </w:p>
    <w:p>
      <w:pPr>
        <w:spacing w:after="0" w:line="200" w:lineRule="exact"/>
        <w:rPr>
          <w:sz w:val="20"/>
          <w:szCs w:val="20"/>
          <w:color w:val="auto"/>
        </w:rPr>
      </w:pPr>
    </w:p>
    <w:p>
      <w:pPr>
        <w:spacing w:after="0" w:line="20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Delaware, USA</w:t>
      </w:r>
    </w:p>
    <w:p>
      <w:pPr>
        <w:spacing w:after="0" w:line="200" w:lineRule="exact"/>
        <w:rPr>
          <w:sz w:val="20"/>
          <w:szCs w:val="20"/>
          <w:color w:val="auto"/>
        </w:rPr>
      </w:pP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Class of Securities: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Class A common stock, $0.0001 par value per share</w:t>
      </w:r>
    </w:p>
    <w:p>
      <w:pPr>
        <w:spacing w:after="0" w:line="200" w:lineRule="exact"/>
        <w:rPr>
          <w:sz w:val="20"/>
          <w:szCs w:val="20"/>
          <w:color w:val="auto"/>
        </w:rPr>
      </w:pPr>
    </w:p>
    <w:p>
      <w:pPr>
        <w:spacing w:after="0" w:line="225" w:lineRule="exact"/>
        <w:rPr>
          <w:sz w:val="20"/>
          <w:szCs w:val="20"/>
          <w:color w:val="auto"/>
        </w:rPr>
      </w:pPr>
    </w:p>
    <w:p>
      <w:pPr>
        <w:spacing w:after="0"/>
        <w:tabs>
          <w:tab w:leader="none" w:pos="640" w:val="left"/>
          <w:tab w:leader="none" w:pos="28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8"/>
          <w:szCs w:val="18"/>
          <w:b w:val="1"/>
          <w:bCs w:val="1"/>
          <w:color w:val="auto"/>
        </w:rPr>
        <w:t>CUSIP No.:</w:t>
      </w:r>
      <w:r>
        <w:rPr>
          <w:sz w:val="20"/>
          <w:szCs w:val="20"/>
          <w:color w:val="auto"/>
        </w:rPr>
        <w:tab/>
      </w:r>
      <w:r>
        <w:rPr>
          <w:rFonts w:ascii="Arial" w:cs="Arial" w:eastAsia="Arial" w:hAnsi="Arial"/>
          <w:sz w:val="16"/>
          <w:szCs w:val="16"/>
          <w:color w:val="auto"/>
        </w:rPr>
        <w:t>05759B107</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Rule 13d-1(b)(1)(ii)(E);</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Rule 13d-1(b)(1)(ii)(F);</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associations as defined in Section 3(b) of the Federal Deposit Insurance Act (12 U.S.C. 1813);</w:t>
      </w:r>
    </w:p>
    <w:p>
      <w:pPr>
        <w:spacing w:after="0" w:line="238"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Rule 240.13d-1(b)(1)(ii)(J);</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Rule 240.13d-1(b)(1)(ii)(K). If filing as a non-U.S. institution in accordance with Rule 240.13d-1(b)</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(1)(ii)(J), please specify the type of institution: ____</w:t>
      </w:r>
    </w:p>
    <w:p>
      <w:pPr>
        <w:spacing w:after="0" w:line="198"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0" w:lineRule="exact"/>
        <w:rPr>
          <w:sz w:val="20"/>
          <w:szCs w:val="20"/>
          <w:color w:val="auto"/>
        </w:rPr>
      </w:pPr>
    </w:p>
    <w:p>
      <w:pPr>
        <w:spacing w:after="0" w:line="231" w:lineRule="exact"/>
        <w:rPr>
          <w:sz w:val="20"/>
          <w:szCs w:val="20"/>
          <w:color w:val="auto"/>
        </w:rPr>
      </w:pPr>
    </w:p>
    <w:p>
      <w:pPr>
        <w:ind w:left="600" w:hanging="592"/>
        <w:spacing w:after="0"/>
        <w:tabs>
          <w:tab w:leader="none" w:pos="6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228,400</w:t>
      </w:r>
    </w:p>
    <w:p>
      <w:pPr>
        <w:spacing w:after="0" w:line="200" w:lineRule="exact"/>
        <w:rPr>
          <w:sz w:val="20"/>
          <w:szCs w:val="20"/>
          <w:color w:val="auto"/>
        </w:rPr>
      </w:pPr>
    </w:p>
    <w:p>
      <w:pPr>
        <w:ind w:left="980" w:hanging="918"/>
        <w:spacing w:after="0"/>
        <w:tabs>
          <w:tab w:leader="none" w:pos="98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w:t>
      </w:r>
    </w:p>
    <w:p>
      <w:pPr>
        <w:sectPr>
          <w:pgSz w:w="11900" w:h="16838" w:orient="portrait"/>
          <w:cols w:equalWidth="0" w:num="1">
            <w:col w:w="11200"/>
          </w:cols>
          <w:pgMar w:left="320" w:top="328" w:right="379" w:bottom="208" w:gutter="0" w:footer="0" w:header="0"/>
        </w:sectPr>
      </w:pPr>
    </w:p>
    <w:bookmarkStart w:id="3" w:name="page4"/>
    <w:bookmarkEnd w:id="3"/>
    <w:p>
      <w:pPr>
        <w:ind w:left="660"/>
        <w:spacing w:after="0" w:line="251" w:lineRule="auto"/>
        <w:rPr>
          <w:sz w:val="20"/>
          <w:szCs w:val="20"/>
          <w:color w:val="auto"/>
        </w:rPr>
      </w:pPr>
      <w:r>
        <w:rPr>
          <w:rFonts w:ascii="Arial" w:cs="Arial" w:eastAsia="Arial" w:hAnsi="Arial"/>
          <w:sz w:val="22"/>
          <w:szCs w:val="22"/>
          <w:color w:val="auto"/>
        </w:rPr>
        <w:t>0.1% Based upon 190,726,638 shares of the registrant’s Class A common stock, par value $0.0001 per share, as reported by Bakkt Holdings, Inc. in its Form 424(b)(3) filed on December 22, 2022.</w:t>
      </w:r>
    </w:p>
    <w:p>
      <w:pPr>
        <w:spacing w:after="0" w:line="167" w:lineRule="exact"/>
        <w:rPr>
          <w:sz w:val="20"/>
          <w:szCs w:val="20"/>
          <w:color w:val="auto"/>
        </w:rPr>
      </w:pPr>
    </w:p>
    <w:p>
      <w:pPr>
        <w:ind w:left="940" w:hanging="878"/>
        <w:spacing w:after="0"/>
        <w:tabs>
          <w:tab w:leader="none" w:pos="94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shares as to which such person has:</w:t>
      </w:r>
    </w:p>
    <w:p>
      <w:pPr>
        <w:spacing w:after="0" w:line="14" w:lineRule="exact"/>
        <w:rPr>
          <w:rFonts w:ascii="Arial" w:cs="Arial" w:eastAsia="Arial" w:hAnsi="Arial"/>
          <w:sz w:val="22"/>
          <w:szCs w:val="22"/>
          <w:b w:val="1"/>
          <w:bCs w:val="1"/>
          <w:color w:val="auto"/>
        </w:rPr>
      </w:pPr>
    </w:p>
    <w:p>
      <w:pPr>
        <w:ind w:left="1860" w:hanging="1204"/>
        <w:spacing w:after="0"/>
        <w:tabs>
          <w:tab w:leader="none" w:pos="1860" w:val="left"/>
        </w:tabs>
        <w:numPr>
          <w:ilvl w:val="1"/>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Sole power to vote or to direct the vote: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228,400</w:t>
      </w:r>
    </w:p>
    <w:p>
      <w:pPr>
        <w:spacing w:after="0" w:line="227" w:lineRule="exact"/>
        <w:rPr>
          <w:sz w:val="20"/>
          <w:szCs w:val="20"/>
          <w:color w:val="auto"/>
        </w:rPr>
      </w:pPr>
    </w:p>
    <w:p>
      <w:pPr>
        <w:ind w:left="1920" w:hanging="1264"/>
        <w:spacing w:after="0"/>
        <w:tabs>
          <w:tab w:leader="none" w:pos="192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Shared power to vote or to direct the vote: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0</w:t>
      </w:r>
    </w:p>
    <w:p>
      <w:pPr>
        <w:spacing w:after="0" w:line="236" w:lineRule="exact"/>
        <w:rPr>
          <w:sz w:val="20"/>
          <w:szCs w:val="20"/>
          <w:color w:val="auto"/>
        </w:rPr>
      </w:pPr>
    </w:p>
    <w:p>
      <w:pPr>
        <w:ind w:left="1660" w:hanging="1004"/>
        <w:spacing w:after="0"/>
        <w:tabs>
          <w:tab w:leader="none" w:pos="1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dispose or to direct the disposition of:</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228,400</w:t>
      </w:r>
    </w:p>
    <w:p>
      <w:pPr>
        <w:spacing w:after="0" w:line="200" w:lineRule="exact"/>
        <w:rPr>
          <w:sz w:val="20"/>
          <w:szCs w:val="20"/>
          <w:color w:val="auto"/>
        </w:rPr>
      </w:pPr>
    </w:p>
    <w:p>
      <w:pPr>
        <w:spacing w:after="0" w:line="279" w:lineRule="exact"/>
        <w:rPr>
          <w:sz w:val="20"/>
          <w:szCs w:val="20"/>
          <w:color w:val="auto"/>
        </w:rPr>
      </w:pPr>
    </w:p>
    <w:p>
      <w:pPr>
        <w:ind w:left="1660" w:hanging="1004"/>
        <w:spacing w:after="0"/>
        <w:tabs>
          <w:tab w:leader="none" w:pos="1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dispose or to direct the disposition of:</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[X].</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9"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2" w:lineRule="exact"/>
        <w:rPr>
          <w:sz w:val="20"/>
          <w:szCs w:val="20"/>
          <w:color w:val="auto"/>
        </w:rPr>
      </w:pPr>
    </w:p>
    <w:p>
      <w:pPr>
        <w:ind w:left="20" w:right="20" w:hanging="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16459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firstLine="8"/>
        <w:spacing w:after="0" w:line="181" w:lineRule="auto"/>
        <w:tabs>
          <w:tab w:leader="none" w:pos="144" w:val="left"/>
        </w:tabs>
        <w:numPr>
          <w:ilvl w:val="0"/>
          <w:numId w:val="20"/>
        </w:numPr>
        <w:rPr>
          <w:rFonts w:ascii="Arial" w:cs="Arial" w:eastAsia="Arial" w:hAnsi="Arial"/>
          <w:sz w:val="36"/>
          <w:szCs w:val="36"/>
          <w:color w:val="auto"/>
          <w:vertAlign w:val="superscript"/>
        </w:rPr>
      </w:pPr>
      <w:r>
        <w:rPr>
          <w:rFonts w:ascii="Arial" w:cs="Arial" w:eastAsia="Arial" w:hAnsi="Arial"/>
          <w:sz w:val="22"/>
          <w:szCs w:val="22"/>
          <w:color w:val="auto"/>
        </w:rPr>
        <w:t>In addition to Alpine Global Management, LLC, Alpine Partners (BVI), L.P. also owns the shares indirectly and is a beneficial owner.</w:t>
      </w:r>
    </w:p>
    <w:p>
      <w:pPr>
        <w:spacing w:after="0" w:line="1" w:lineRule="exact"/>
        <w:rPr>
          <w:rFonts w:ascii="Arial" w:cs="Arial" w:eastAsia="Arial" w:hAnsi="Arial"/>
          <w:sz w:val="36"/>
          <w:szCs w:val="36"/>
          <w:color w:val="auto"/>
          <w:vertAlign w:val="superscript"/>
        </w:rPr>
      </w:pPr>
    </w:p>
    <w:p>
      <w:pPr>
        <w:spacing w:after="0" w:line="196" w:lineRule="auto"/>
        <w:rPr>
          <w:rFonts w:ascii="Arial" w:cs="Arial" w:eastAsia="Arial" w:hAnsi="Arial"/>
          <w:sz w:val="36"/>
          <w:szCs w:val="36"/>
          <w:color w:val="auto"/>
          <w:vertAlign w:val="superscript"/>
        </w:rPr>
      </w:pPr>
      <w:r>
        <w:rPr>
          <w:rFonts w:ascii="Arial" w:cs="Arial" w:eastAsia="Arial" w:hAnsi="Arial"/>
          <w:sz w:val="35"/>
          <w:szCs w:val="35"/>
          <w:color w:val="auto"/>
          <w:vertAlign w:val="superscript"/>
        </w:rPr>
        <w:t>2</w:t>
      </w:r>
      <w:r>
        <w:rPr>
          <w:rFonts w:ascii="Arial" w:cs="Arial" w:eastAsia="Arial" w:hAnsi="Arial"/>
          <w:sz w:val="22"/>
          <w:szCs w:val="22"/>
          <w:color w:val="auto"/>
        </w:rPr>
        <w:t xml:space="preserve"> On October 15, 2021, VPC Impact Acquisition Holdings has completed its merger with Bakkt Holdings, Inc. The percentage of class reflected here is based on a total number of Class A common stock of the Issuer issued and outstanding according to its Form 424(b)(3) filed on December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SIGNATURE</w:t>
      </w:r>
    </w:p>
    <w:p>
      <w:pPr>
        <w:spacing w:after="0" w:line="14" w:lineRule="exact"/>
        <w:rPr>
          <w:sz w:val="20"/>
          <w:szCs w:val="20"/>
          <w:color w:val="auto"/>
        </w:rPr>
      </w:pPr>
    </w:p>
    <w:p>
      <w:pPr>
        <w:ind w:right="340"/>
        <w:spacing w:after="0" w:line="23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Dated: January 14, 2022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Amy Tarlowe</w:t>
      </w:r>
    </w:p>
    <w:p>
      <w:pPr>
        <w:spacing w:after="0" w:line="238" w:lineRule="auto"/>
        <w:rPr>
          <w:sz w:val="20"/>
          <w:szCs w:val="20"/>
          <w:color w:val="auto"/>
        </w:rPr>
      </w:pPr>
      <w:r>
        <w:rPr>
          <w:rFonts w:ascii="Arial" w:cs="Arial" w:eastAsia="Arial" w:hAnsi="Arial"/>
          <w:sz w:val="22"/>
          <w:szCs w:val="22"/>
          <w:color w:val="auto"/>
        </w:rPr>
        <w:t>Name: Amy Tarlowe</w:t>
      </w:r>
    </w:p>
    <w:p>
      <w:pPr>
        <w:spacing w:after="0"/>
        <w:rPr>
          <w:sz w:val="20"/>
          <w:szCs w:val="20"/>
          <w:color w:val="auto"/>
        </w:rPr>
      </w:pPr>
      <w:r>
        <w:rPr>
          <w:rFonts w:ascii="Arial" w:cs="Arial" w:eastAsia="Arial" w:hAnsi="Arial"/>
          <w:sz w:val="22"/>
          <w:szCs w:val="22"/>
          <w:color w:val="auto"/>
        </w:rPr>
        <w:t>Title: Chief Operating Officer</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bullet"/>
      <w:start w:val="1"/>
    </w:lvl>
  </w:abstractNum>
  <w:abstractNum w:abstractNumId="1">
    <w:nsid w:val="1F16E9E8"/>
    <w:multiLevelType w:val="hybridMultilevel"/>
    <w:lvl w:ilvl="0">
      <w:lvlJc w:val="left"/>
      <w:lvlText w:val="2"/>
      <w:numFmt w:val="bullet"/>
      <w:start w:val="1"/>
    </w:lvl>
    <w:lvl w:ilvl="1">
      <w:lvlJc w:val="left"/>
      <w:lvlText w:val="(%2)"/>
      <w:numFmt w:val="lowerLetter"/>
      <w:start w:val="1"/>
    </w:lvl>
  </w:abstractNum>
  <w:abstractNum w:abstractNumId="2">
    <w:nsid w:val="1190CDE7"/>
    <w:multiLevelType w:val="hybridMultilevel"/>
    <w:lvl w:ilvl="0">
      <w:lvlJc w:val="left"/>
      <w:lvlText w:val="3"/>
      <w:numFmt w:val="bullet"/>
      <w:start w:val="1"/>
    </w:lvl>
  </w:abstractNum>
  <w:abstractNum w:abstractNumId="3">
    <w:nsid w:val="66EF438D"/>
    <w:multiLevelType w:val="hybridMultilevel"/>
    <w:lvl w:ilvl="0">
      <w:lvlJc w:val="left"/>
      <w:lvlText w:val="4"/>
      <w:numFmt w:val="bullet"/>
      <w:start w:val="1"/>
    </w:lvl>
  </w:abstractNum>
  <w:abstractNum w:abstractNumId="4">
    <w:nsid w:val="140E0F76"/>
    <w:multiLevelType w:val="hybridMultilevel"/>
    <w:lvl w:ilvl="0">
      <w:lvlJc w:val="left"/>
      <w:lvlText w:val="9"/>
      <w:numFmt w:val="bullet"/>
      <w:start w:val="1"/>
    </w:lvl>
  </w:abstractNum>
  <w:abstractNum w:abstractNumId="5">
    <w:nsid w:val="3352255A"/>
    <w:multiLevelType w:val="hybridMultilevel"/>
    <w:lvl w:ilvl="0">
      <w:lvlJc w:val="left"/>
      <w:lvlText w:val="%1"/>
      <w:numFmt w:val="decimal"/>
      <w:start w:val="10"/>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2"/>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2"/>
    </w:lvl>
  </w:abstractNum>
  <w:abstractNum w:abstractNumId="10">
    <w:nsid w:val="41A7C4C9"/>
    <w:multiLevelType w:val="hybridMultilevel"/>
    <w:lvl w:ilvl="0">
      <w:lvlJc w:val="left"/>
      <w:lvlText w:val="(%1)"/>
      <w:numFmt w:val="lowerLetter"/>
      <w:start w:val="3"/>
    </w:lvl>
  </w:abstractNum>
  <w:abstractNum w:abstractNumId="11">
    <w:nsid w:val="6B68079A"/>
    <w:multiLevelType w:val="hybridMultilevel"/>
    <w:lvl w:ilvl="0">
      <w:lvlJc w:val="left"/>
      <w:lvlText w:val="(%1)"/>
      <w:numFmt w:val="lowerLetter"/>
      <w:start w:val="4"/>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2"/>
    </w:lvl>
  </w:abstractNum>
  <w:abstractNum w:abstractNumId="15">
    <w:nsid w:val="431BD7B7"/>
    <w:multiLevelType w:val="hybridMultilevel"/>
    <w:lvl w:ilvl="0">
      <w:lvlJc w:val="left"/>
      <w:lvlText w:val="(%1)"/>
      <w:numFmt w:val="lowerLetter"/>
      <w:start w:val="3"/>
    </w:lvl>
    <w:lvl w:ilvl="1">
      <w:lvlJc w:val="left"/>
      <w:lvlText w:val="(%2)"/>
      <w:numFmt w:val="lowerLetter"/>
      <w:start w:val="9"/>
    </w:lvl>
  </w:abstractNum>
  <w:abstractNum w:abstractNumId="16">
    <w:nsid w:val="3F2DBA31"/>
    <w:multiLevelType w:val="hybridMultilevel"/>
    <w:lvl w:ilvl="0">
      <w:lvlJc w:val="left"/>
      <w:lvlText w:val="(%1)"/>
      <w:numFmt w:val="lowerRoman"/>
      <w:start w:val="2"/>
    </w:lvl>
  </w:abstractNum>
  <w:abstractNum w:abstractNumId="17">
    <w:nsid w:val="7C83E458"/>
    <w:multiLevelType w:val="hybridMultilevel"/>
    <w:lvl w:ilvl="0">
      <w:lvlJc w:val="left"/>
      <w:lvlText w:val="(%1)"/>
      <w:numFmt w:val="lowerRoman"/>
      <w:start w:val="3"/>
    </w:lvl>
  </w:abstractNum>
  <w:abstractNum w:abstractNumId="18">
    <w:nsid w:val="257130A3"/>
    <w:multiLevelType w:val="hybridMultilevel"/>
    <w:lvl w:ilvl="0">
      <w:lvlJc w:val="left"/>
      <w:lvlText w:val="(%1)"/>
      <w:numFmt w:val="lowerRoman"/>
      <w:start w:val="4"/>
    </w:lvl>
  </w:abstractNum>
  <w:abstractNum w:abstractNumId="19">
    <w:nsid w:val="62BBD95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2022-01-14T16:04:56Z</dcterms:created>
  <dcterms:modified xsi:type="dcterms:W3CDTF">2022-01-14T16:04:56Z</dcterms:modified>
</cp:coreProperties>
</file>