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7"/>
          <w:szCs w:val="17"/>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0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2"/>
                <w:szCs w:val="12"/>
                <w:color w:val="auto"/>
              </w:rPr>
            </w:pPr>
          </w:p>
        </w:tc>
        <w:tc>
          <w:tcPr>
            <w:tcW w:w="1160" w:type="dxa"/>
            <w:vAlign w:val="bottom"/>
          </w:tcPr>
          <w:p>
            <w:pPr>
              <w:ind w:left="2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05/19/2022</w:t>
            </w: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540" w:space="300"/>
            <w:col w:w="7240"/>
          </w:cols>
          <w:pgMar w:left="460" w:top="219" w:right="359" w:bottom="0" w:gutter="0" w:footer="0" w:header="0"/>
          <w:type w:val="continuous"/>
        </w:sectPr>
      </w:pPr>
    </w:p>
    <w:p>
      <w:pPr>
        <w:spacing w:after="0" w:line="2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$0.0001</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05/19/2022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16,000</w:t>
            </w:r>
            <w:r>
              <w:rPr>
                <w:rFonts w:ascii="Times New Roman" w:cs="Times New Roman" w:eastAsia="Times New Roman" w:hAnsi="Times New Roman"/>
                <w:sz w:val="22"/>
                <w:szCs w:val="22"/>
                <w:color w:val="008000"/>
                <w:w w:val="97"/>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8,320,190</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7"/>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from $2.72-2.7616,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Director by Deputization. See Exhibit 99.1 - Joint Filer Information, which is incorporated herein by reference and describes in further detail the relationships of the Reporting Persons to the Issuer.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6540"/>
        <w:spacing w:after="0" w:line="201" w:lineRule="auto"/>
        <w:tabs>
          <w:tab w:leader="none" w:pos="8720" w:val="left"/>
        </w:tabs>
        <w:rPr>
          <w:sz w:val="20"/>
          <w:szCs w:val="20"/>
          <w:color w:val="auto"/>
        </w:rPr>
      </w:pPr>
      <w:r>
        <w:rPr>
          <w:rFonts w:ascii="Times New Roman" w:cs="Times New Roman" w:eastAsia="Times New Roman" w:hAnsi="Times New Roman"/>
          <w:sz w:val="17"/>
          <w:szCs w:val="17"/>
          <w:color w:val="0000FF"/>
        </w:rPr>
        <w:t>in-Fact for VPC Impact</w:t>
      </w:r>
      <w:r>
        <w:rPr>
          <w:sz w:val="20"/>
          <w:szCs w:val="20"/>
          <w:color w:val="auto"/>
        </w:rPr>
        <w:tab/>
      </w:r>
      <w:r>
        <w:rPr>
          <w:rFonts w:ascii="Times New Roman" w:cs="Times New Roman" w:eastAsia="Times New Roman" w:hAnsi="Times New Roman"/>
          <w:sz w:val="26"/>
          <w:szCs w:val="26"/>
          <w:color w:val="0000FF"/>
          <w:vertAlign w:val="subscript"/>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ind w:left="6540"/>
        <w:spacing w:after="0" w:line="184" w:lineRule="auto"/>
        <w:rPr>
          <w:sz w:val="20"/>
          <w:szCs w:val="20"/>
          <w:color w:val="auto"/>
        </w:rPr>
      </w:pPr>
      <w:r>
        <w:rPr>
          <w:rFonts w:ascii="Times New Roman" w:cs="Times New Roman" w:eastAsia="Times New Roman" w:hAnsi="Times New Roman"/>
          <w:sz w:val="17"/>
          <w:szCs w:val="17"/>
          <w:color w:val="0000FF"/>
        </w:rPr>
        <w:t xml:space="preserve">/s/ Brian Munsie, Attorney-in- </w:t>
      </w:r>
      <w:r>
        <w:rPr>
          <w:rFonts w:ascii="Times New Roman" w:cs="Times New Roman" w:eastAsia="Times New Roman" w:hAnsi="Times New Roman"/>
          <w:sz w:val="33"/>
          <w:szCs w:val="33"/>
          <w:color w:val="0000FF"/>
          <w:vertAlign w:val="subscript"/>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087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0871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8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580"/>
          </w:cols>
          <w:pgMar w:left="500" w:top="127" w:right="819" w:bottom="1440" w:gutter="0" w:footer="0" w:header="0"/>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1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7"/>
          <w:szCs w:val="17"/>
          <w:color w:val="auto"/>
        </w:rPr>
        <w:t>VPC Impact Acquisition Holdings Sponsor, LLC</w:t>
      </w:r>
    </w:p>
    <w:p>
      <w:pPr>
        <w:spacing w:after="0" w:line="1" w:lineRule="exact"/>
        <w:rPr>
          <w:sz w:val="20"/>
          <w:szCs w:val="20"/>
          <w:color w:val="auto"/>
        </w:rPr>
      </w:pPr>
    </w:p>
    <w:p>
      <w:pPr>
        <w:ind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05/19/2022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N. Levy</w:t>
      </w:r>
    </w:p>
    <w:p>
      <w:pPr>
        <w:spacing w:after="0" w:line="207" w:lineRule="exact"/>
        <w:rPr>
          <w:sz w:val="20"/>
          <w:szCs w:val="20"/>
          <w:color w:val="auto"/>
        </w:rPr>
      </w:pPr>
    </w:p>
    <w:p>
      <w:pPr>
        <w:ind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05/19/2022</w:t>
      </w:r>
    </w:p>
    <w:sectPr>
      <w:pgSz w:w="11900" w:h="16838" w:orient="portrait"/>
      <w:cols w:equalWidth="0" w:num="2">
        <w:col w:w="3960" w:space="300"/>
        <w:col w:w="57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2022-05-23T13:43:40Z</dcterms:created>
  <dcterms:modified xsi:type="dcterms:W3CDTF">2022-05-23T13:43:40Z</dcterms:modified>
</cp:coreProperties>
</file>