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Alexander Karen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03/18/2024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3"/>
              </w:rPr>
              <w:t>43,942</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right"/>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390,385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02/18/2024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6"/>
              </w:rPr>
              <w:t>563,816</w:t>
            </w:r>
            <w:r>
              <w:rPr>
                <w:rFonts w:ascii="Times New Roman" w:cs="Times New Roman" w:eastAsia="Times New Roman" w:hAnsi="Times New Roman"/>
                <w:sz w:val="22"/>
                <w:szCs w:val="22"/>
                <w:color w:val="008000"/>
                <w:w w:val="96"/>
                <w:vertAlign w:val="superscript"/>
              </w:rPr>
              <w:t>(3)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right"/>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954,201</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02/18/2024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3"/>
              </w:rPr>
              <w:t>10,166</w:t>
            </w:r>
            <w:r>
              <w:rPr>
                <w:rFonts w:ascii="Times New Roman" w:cs="Times New Roman" w:eastAsia="Times New Roman" w:hAnsi="Times New Roman"/>
                <w:sz w:val="22"/>
                <w:szCs w:val="22"/>
                <w:color w:val="008000"/>
                <w:w w:val="93"/>
                <w:vertAlign w:val="superscript"/>
              </w:rPr>
              <w:t>(5)</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right"/>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964,367</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performance stock units ("PSUs") granted on 02/13/2023 and the attainment of performance goals.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224,118 shares of Class A Common Stock subject to restricted stock units ("RSUs") awards that remain subject to vesting.</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RSUs. Each RSU represents a contingent right to receive one share of the issuer's Class A Common Stock. The RSUs shall vest in two equal annual installments on the first two anniversaries of March 18, 2024,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787,934 shares of Class A Common Stock subject to RSU awards that remain subject to vesting.</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PSUs resulting from attainment of performance goals. Each PSU represents a contingent right to receive one share of the issuer's Class A Common Stock. The PSUs shall vest on August 26, 2024, provided that the reporting person continues to be employed by the issuer as of such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798,100 shares of Class A Common Stock subject to RSU and PSU awards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03/20/2024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091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2024-03-20T19:41:43Z</dcterms:created>
  <dcterms:modified xsi:type="dcterms:W3CDTF">2024-03-20T19:41:43Z</dcterms:modified>
</cp:coreProperties>
</file>