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1163955</wp:posOffset>
            </wp:positionH>
            <wp:positionV relativeFrom="page">
              <wp:posOffset>843280</wp:posOffset>
            </wp:positionV>
            <wp:extent cx="5221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page">
              <wp:posOffset>1163955</wp:posOffset>
            </wp:positionH>
            <wp:positionV relativeFrom="page">
              <wp:posOffset>863600</wp:posOffset>
            </wp:positionV>
            <wp:extent cx="5221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98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52705</wp:posOffset>
            </wp:positionV>
            <wp:extent cx="25196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70485</wp:posOffset>
            </wp:positionV>
            <wp:extent cx="2519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3920"/>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43"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8"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August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52705</wp:posOffset>
            </wp:positionV>
            <wp:extent cx="25196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6"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28"/>
          <w:szCs w:val="28"/>
          <w:b w:val="1"/>
          <w:bCs w:val="1"/>
          <w:color w:val="auto"/>
        </w:rPr>
        <w:t>Bakkt Holdings, Inc.</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58420</wp:posOffset>
            </wp:positionV>
            <wp:extent cx="25196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001-39544</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40"/>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17" w:lineRule="exact"/>
        <w:rPr>
          <w:sz w:val="24"/>
          <w:szCs w:val="24"/>
          <w:color w:val="auto"/>
        </w:rPr>
      </w:pPr>
    </w:p>
    <w:p>
      <w:pPr>
        <w:sectPr>
          <w:pgSz w:w="11900" w:h="16838" w:orient="portrait"/>
          <w:cols w:equalWidth="0" w:num="2">
            <w:col w:w="3220" w:space="720"/>
            <w:col w:w="7340"/>
          </w:cols>
          <w:pgMar w:left="300" w:top="1396" w:right="319" w:bottom="1440" w:gutter="0" w:footer="0" w:header="0"/>
          <w:type w:val="continuous"/>
        </w:sectPr>
      </w:pPr>
    </w:p>
    <w:tbl>
      <w:tblPr>
        <w:tblLayout w:type="fixed"/>
        <w:tblInd w:w="1660" w:type="dxa"/>
        <w:tblCellMar>
          <w:top w:w="0" w:type="dxa"/>
          <w:left w:w="0" w:type="dxa"/>
          <w:bottom w:w="0" w:type="dxa"/>
          <w:right w:w="0" w:type="dxa"/>
        </w:tblCellMar>
      </w:tblPr>
      <w:tr>
        <w:trPr>
          <w:trHeight w:val="161"/>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30009</w:t>
            </w:r>
          </w:p>
        </w:tc>
        <w:tc>
          <w:tcPr>
            <w:tcW w:w="0" w:type="dxa"/>
            <w:vAlign w:val="bottom"/>
          </w:tcPr>
          <w:p>
            <w:pPr>
              <w:spacing w:after="0"/>
              <w:rPr>
                <w:sz w:val="1"/>
                <w:szCs w:val="1"/>
                <w:color w:val="auto"/>
              </w:rPr>
            </w:pPr>
          </w:p>
        </w:tc>
      </w:tr>
      <w:tr>
        <w:trPr>
          <w:trHeight w:val="112"/>
        </w:trPr>
        <w:tc>
          <w:tcPr>
            <w:tcW w:w="6300" w:type="dxa"/>
            <w:vAlign w:val="bottom"/>
            <w:vMerge w:val="restart"/>
          </w:tcPr>
          <w:p>
            <w:pPr>
              <w:jc w:val="center"/>
              <w:ind w:right="4013"/>
              <w:spacing w:after="0"/>
              <w:rPr>
                <w:sz w:val="20"/>
                <w:szCs w:val="20"/>
                <w:color w:val="auto"/>
              </w:rPr>
            </w:pPr>
            <w:r>
              <w:rPr>
                <w:rFonts w:ascii="Times New Roman" w:cs="Times New Roman" w:eastAsia="Times New Roman" w:hAnsi="Times New Roman"/>
                <w:sz w:val="14"/>
                <w:szCs w:val="14"/>
                <w:b w:val="1"/>
                <w:bCs w:val="1"/>
                <w:color w:val="auto"/>
              </w:rPr>
              <w:t>Alpharetta, Georgia</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2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2"/>
        </w:trPr>
        <w:tc>
          <w:tcPr>
            <w:tcW w:w="63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534-5849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135255</wp:posOffset>
            </wp:positionV>
            <wp:extent cx="25196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39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ind w:left="20"/>
        <w:spacing w:after="0"/>
        <w:rPr>
          <w:sz w:val="20"/>
          <w:szCs w:val="20"/>
          <w:color w:val="auto"/>
        </w:rPr>
      </w:pPr>
      <w:r>
        <w:rPr>
          <w:rFonts w:ascii="Times New Roman" w:cs="Times New Roman" w:eastAsia="Times New Roman" w:hAnsi="Times New Roman"/>
          <w:sz w:val="14"/>
          <w:szCs w:val="14"/>
          <w:color w:val="auto"/>
        </w:rPr>
        <w:t>below):</w:t>
      </w:r>
    </w:p>
    <w:p>
      <w:pPr>
        <w:spacing w:after="0" w:line="56" w:lineRule="exact"/>
        <w:rPr>
          <w:sz w:val="24"/>
          <w:szCs w:val="2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5380" w:type="dxa"/>
            <w:vAlign w:val="bottom"/>
            <w:vMerge w:val="restart"/>
          </w:tcPr>
          <w:p>
            <w:pPr>
              <w:ind w:left="19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38"/>
        </w:trPr>
        <w:tc>
          <w:tcPr>
            <w:tcW w:w="5380" w:type="dxa"/>
            <w:vAlign w:val="bottom"/>
            <w:tcBorders>
              <w:bottom w:val="single" w:sz="8" w:color="auto"/>
            </w:tcBorders>
            <w:vMerge w:val="continue"/>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65"/>
        </w:trPr>
        <w:tc>
          <w:tcPr>
            <w:tcW w:w="53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r>
        <w:trPr>
          <w:trHeight w:val="186"/>
        </w:trPr>
        <w:tc>
          <w:tcPr>
            <w:tcW w:w="53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9"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593725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40640</wp:posOffset>
            </wp:positionV>
            <wp:extent cx="5221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60325</wp:posOffset>
            </wp:positionV>
            <wp:extent cx="52216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type w:val="continuous"/>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5.03</w:t>
        <w:tab/>
        <w:t>Amendments to Certificate of Incorporation or Bylaws; Change in Fiscal Year.</w:t>
      </w:r>
    </w:p>
    <w:p>
      <w:pPr>
        <w:spacing w:after="0" w:line="212"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4"/>
          <w:szCs w:val="14"/>
          <w:color w:val="auto"/>
        </w:rPr>
        <w:t>On August 7, 2025, the Company filed an amendment to the Company’s Certificate of Incorporation (the “Amendment”) to increase the number of authorized shares of Class A Common Stock from 60,000,000 shares to 560,000,000 shares and, accordingly, to increase the number of authorized shares of the Company’s Common Stock from 70,000,000 to 570,000,000.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description is qualified in its entirety by reference to the Amendment, a copy of which is attached hereto as Exhibit 3.1 and is incorporated herein by reference.</w:t>
      </w:r>
    </w:p>
    <w:p>
      <w:pPr>
        <w:spacing w:after="0" w:line="2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5.07</w:t>
        <w:tab/>
        <w:t>Submission of Matters to a Vote of Security Holders.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On August 6, 2025, Bakkt Holdings, Inc. (the “Company”) held a special meeting of the stockholders (the “Special Meeting”). At the Special Meeting, 3,426,062 shares of the Company’s Class A common stock (“Class A Common Stock”) and 7,089,014 shares of the Company’s Class V common stock (“Class V Common Stock” and, together with the Class A Common Stock, the “Common Stock”), representing 74.3% of the voting power of all issued and outstanding shares of Common Stock as of July 11, 2025, the record date for the Special Meeting, and constituting a quorum for the transaction of business, were present in person or by proxy and voted on the following three proposals, each of which is described in more detail in the Company’s definitive proxy statement for the Special Meeting filed with the Securities and Exchange Commission on July 16, 2025.</w:t>
      </w:r>
    </w:p>
    <w:p>
      <w:pPr>
        <w:spacing w:after="0" w:line="140" w:lineRule="exact"/>
        <w:rPr>
          <w:sz w:val="20"/>
          <w:szCs w:val="20"/>
          <w:color w:val="auto"/>
        </w:rPr>
      </w:pPr>
    </w:p>
    <w:p>
      <w:pPr>
        <w:ind w:firstLine="514"/>
        <w:spacing w:after="0" w:line="319" w:lineRule="auto"/>
        <w:tabs>
          <w:tab w:leader="none" w:pos="101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approved an amendment to the Company’s Certificate of Incorporation to increase the number of authorized shares of Class A Common Stock from 60,000,000 shares to 560,000,000 shares and, accordingly, to increase the number of authorized shares of the Company’s Common Stock from 70,000,000 to 570,000,000. The voting results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Votes For</w:t>
            </w:r>
          </w:p>
        </w:tc>
        <w:tc>
          <w:tcPr>
            <w:tcW w:w="2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Votes Against</w:t>
            </w:r>
          </w:p>
        </w:tc>
        <w:tc>
          <w:tcPr>
            <w:tcW w:w="2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Broker Non-Votes</w:t>
            </w:r>
          </w:p>
        </w:tc>
      </w:tr>
      <w:tr>
        <w:trPr>
          <w:trHeight w:val="40"/>
        </w:trPr>
        <w:tc>
          <w:tcPr>
            <w:tcW w:w="26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r>
      <w:tr>
        <w:trPr>
          <w:trHeight w:val="202"/>
        </w:trPr>
        <w:tc>
          <w:tcPr>
            <w:tcW w:w="262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rPr>
              <w:t>7,618,995</w:t>
            </w:r>
          </w:p>
        </w:tc>
        <w:tc>
          <w:tcPr>
            <w:tcW w:w="240" w:type="dxa"/>
            <w:vAlign w:val="bottom"/>
            <w:shd w:val="clear" w:color="auto" w:fill="CCEEFF"/>
          </w:tcPr>
          <w:p>
            <w:pPr>
              <w:spacing w:after="0"/>
              <w:rPr>
                <w:sz w:val="17"/>
                <w:szCs w:val="17"/>
                <w:color w:val="auto"/>
              </w:rPr>
            </w:pPr>
          </w:p>
        </w:tc>
        <w:tc>
          <w:tcPr>
            <w:tcW w:w="264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rPr>
              <w:t>2,865,167</w:t>
            </w:r>
          </w:p>
        </w:tc>
        <w:tc>
          <w:tcPr>
            <w:tcW w:w="240" w:type="dxa"/>
            <w:vAlign w:val="bottom"/>
            <w:shd w:val="clear" w:color="auto" w:fill="CCEEFF"/>
          </w:tcPr>
          <w:p>
            <w:pPr>
              <w:spacing w:after="0"/>
              <w:rPr>
                <w:sz w:val="17"/>
                <w:szCs w:val="17"/>
                <w:color w:val="auto"/>
              </w:rPr>
            </w:pPr>
          </w:p>
        </w:tc>
        <w:tc>
          <w:tcPr>
            <w:tcW w:w="262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rPr>
              <w:t>30,914</w:t>
            </w:r>
          </w:p>
        </w:tc>
        <w:tc>
          <w:tcPr>
            <w:tcW w:w="260" w:type="dxa"/>
            <w:vAlign w:val="bottom"/>
            <w:shd w:val="clear" w:color="auto" w:fill="CCEEFF"/>
          </w:tcPr>
          <w:p>
            <w:pPr>
              <w:spacing w:after="0"/>
              <w:rPr>
                <w:sz w:val="17"/>
                <w:szCs w:val="17"/>
                <w:color w:val="auto"/>
              </w:rPr>
            </w:pPr>
          </w:p>
        </w:tc>
        <w:tc>
          <w:tcPr>
            <w:tcW w:w="264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4"/>
                <w:szCs w:val="14"/>
                <w:color w:val="auto"/>
              </w:rPr>
              <w:t>-</w:t>
            </w:r>
          </w:p>
        </w:tc>
      </w:tr>
      <w:tr>
        <w:trPr>
          <w:trHeight w:val="43"/>
        </w:trPr>
        <w:tc>
          <w:tcPr>
            <w:tcW w:w="26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r>
    </w:tbl>
    <w:p>
      <w:pPr>
        <w:spacing w:after="0" w:line="70" w:lineRule="exact"/>
        <w:rPr>
          <w:sz w:val="20"/>
          <w:szCs w:val="20"/>
          <w:color w:val="auto"/>
        </w:rPr>
      </w:pPr>
    </w:p>
    <w:p>
      <w:pPr>
        <w:ind w:firstLine="514"/>
        <w:spacing w:after="0" w:line="303" w:lineRule="auto"/>
        <w:tabs>
          <w:tab w:leader="none" w:pos="101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approved an adjournment of the Special Meeting, if necessary or appropriate in the view of our Board, including but not limited to solicit additional proxies if there are not sufficient votes at the time of the Special Meeting to approve Proposal 1. The voting results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Votes For</w:t>
            </w:r>
          </w:p>
        </w:tc>
        <w:tc>
          <w:tcPr>
            <w:tcW w:w="2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Votes Against</w:t>
            </w:r>
          </w:p>
        </w:tc>
        <w:tc>
          <w:tcPr>
            <w:tcW w:w="2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Abstentions</w:t>
            </w:r>
          </w:p>
        </w:tc>
        <w:tc>
          <w:tcPr>
            <w:tcW w:w="2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Broker Non-Votes</w:t>
            </w:r>
          </w:p>
        </w:tc>
      </w:tr>
      <w:tr>
        <w:trPr>
          <w:trHeight w:val="40"/>
        </w:trPr>
        <w:tc>
          <w:tcPr>
            <w:tcW w:w="26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r>
      <w:tr>
        <w:trPr>
          <w:trHeight w:val="213"/>
        </w:trPr>
        <w:tc>
          <w:tcPr>
            <w:tcW w:w="262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rPr>
              <w:t>7,706,971</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4"/>
                <w:szCs w:val="14"/>
                <w:color w:val="auto"/>
              </w:rPr>
              <w:t>2,729,249</w:t>
            </w:r>
          </w:p>
        </w:tc>
        <w:tc>
          <w:tcPr>
            <w:tcW w:w="24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rPr>
              <w:t>78,856</w:t>
            </w:r>
          </w:p>
        </w:tc>
        <w:tc>
          <w:tcPr>
            <w:tcW w:w="2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2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 The following exhibits are filed with this Form 8-K: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0" w:type="dxa"/>
            <w:vAlign w:val="bottom"/>
          </w:tcPr>
          <w:p>
            <w:pPr>
              <w:spacing w:after="0"/>
              <w:rPr>
                <w:sz w:val="16"/>
                <w:szCs w:val="16"/>
                <w:color w:val="auto"/>
              </w:rPr>
            </w:pPr>
          </w:p>
        </w:tc>
        <w:tc>
          <w:tcPr>
            <w:tcW w:w="10000" w:type="dxa"/>
            <w:vAlign w:val="bottom"/>
            <w:gridSpan w:val="2"/>
            <w:vMerge w:val="restart"/>
          </w:tcPr>
          <w:p>
            <w:pPr>
              <w:ind w:left="45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200" w:type="dxa"/>
            <w:vAlign w:val="bottom"/>
            <w:tcBorders>
              <w:bottom w:val="single" w:sz="8" w:color="auto"/>
            </w:tcBorders>
          </w:tcPr>
          <w:p>
            <w:pPr>
              <w:spacing w:after="0"/>
              <w:rPr>
                <w:sz w:val="19"/>
                <w:szCs w:val="19"/>
                <w:color w:val="auto"/>
              </w:rPr>
            </w:pPr>
          </w:p>
        </w:tc>
        <w:tc>
          <w:tcPr>
            <w:tcW w:w="10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7"/>
                <w:szCs w:val="17"/>
                <w:color w:val="auto"/>
                <w:w w:val="93"/>
              </w:rPr>
              <w:t>3.</w:t>
            </w:r>
            <w:r>
              <w:rPr>
                <w:rFonts w:ascii="Times New Roman" w:cs="Times New Roman" w:eastAsia="Times New Roman" w:hAnsi="Times New Roman"/>
                <w:sz w:val="17"/>
                <w:szCs w:val="17"/>
                <w:u w:val="single" w:color="auto"/>
                <w:color w:val="auto"/>
                <w:w w:val="93"/>
              </w:rPr>
              <w:t>1</w:t>
            </w:r>
          </w:p>
        </w:tc>
        <w:tc>
          <w:tcPr>
            <w:tcW w:w="840" w:type="dxa"/>
            <w:vAlign w:val="bottom"/>
          </w:tcPr>
          <w:p>
            <w:pPr>
              <w:spacing w:after="0"/>
              <w:rPr>
                <w:sz w:val="13"/>
                <w:szCs w:val="13"/>
                <w:color w:val="auto"/>
              </w:rPr>
            </w:pPr>
          </w:p>
        </w:tc>
        <w:tc>
          <w:tcPr>
            <w:tcW w:w="10200" w:type="dxa"/>
            <w:vAlign w:val="bottom"/>
            <w:gridSpan w:val="3"/>
          </w:tcPr>
          <w:p>
            <w:pPr>
              <w:ind w:left="200"/>
              <w:spacing w:after="0" w:line="160" w:lineRule="exact"/>
              <w:rPr>
                <w:sz w:val="20"/>
                <w:szCs w:val="20"/>
                <w:color w:val="auto"/>
              </w:rPr>
            </w:pPr>
            <w:r>
              <w:rPr>
                <w:rFonts w:ascii="Times New Roman" w:cs="Times New Roman" w:eastAsia="Times New Roman" w:hAnsi="Times New Roman"/>
                <w:sz w:val="17"/>
                <w:szCs w:val="17"/>
                <w:color w:val="auto"/>
              </w:rPr>
              <w:t>Amendment to the Company’s Amended and Restated Certificate of Incorporation, dated August 7, 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2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0" w:type="dxa"/>
            <w:vAlign w:val="bottom"/>
          </w:tcPr>
          <w:p>
            <w:pPr>
              <w:spacing w:after="0"/>
              <w:rPr>
                <w:sz w:val="1"/>
                <w:szCs w:val="1"/>
                <w:color w:val="auto"/>
              </w:rPr>
            </w:pPr>
          </w:p>
        </w:tc>
      </w:tr>
      <w:tr>
        <w:trPr>
          <w:trHeight w:val="1182"/>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August 8, 2025</w:t>
      </w:r>
    </w:p>
    <w:p>
      <w:pPr>
        <w:spacing w:after="0" w:line="2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BAKKT HOLDINGS, INC.</w:t>
      </w:r>
    </w:p>
    <w:p>
      <w:pPr>
        <w:spacing w:after="0" w:line="223" w:lineRule="exact"/>
        <w:rPr>
          <w:sz w:val="20"/>
          <w:szCs w:val="20"/>
          <w:color w:val="auto"/>
        </w:rPr>
      </w:pPr>
    </w:p>
    <w:tbl>
      <w:tblPr>
        <w:tblLayout w:type="fixed"/>
        <w:tblInd w:w="584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Marc D'Annunzio</w:t>
            </w:r>
          </w:p>
        </w:tc>
      </w:tr>
      <w:tr>
        <w:trPr>
          <w:trHeight w:val="1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 D’Annunzio</w:t>
            </w:r>
          </w:p>
        </w:tc>
      </w:t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Counsel and Secretary</w:t>
            </w:r>
          </w:p>
        </w:tc>
      </w:tr>
    </w:tbl>
    <w:p>
      <w:pPr>
        <w:sectPr>
          <w:pgSz w:w="11900" w:h="16838" w:orient="portrait"/>
          <w:cols w:equalWidth="0" w:num="1">
            <w:col w:w="11280"/>
          </w:cols>
          <w:pgMar w:left="300" w:top="114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2025-08-08T16:38:57Z</dcterms:created>
  <dcterms:modified xsi:type="dcterms:W3CDTF">2025-08-08T16:38:57Z</dcterms:modified>
</cp:coreProperties>
</file>