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1163955</wp:posOffset>
            </wp:positionH>
            <wp:positionV relativeFrom="page">
              <wp:posOffset>843280</wp:posOffset>
            </wp:positionV>
            <wp:extent cx="5221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page">
              <wp:posOffset>1163955</wp:posOffset>
            </wp:positionH>
            <wp:positionV relativeFrom="page">
              <wp:posOffset>863600</wp:posOffset>
            </wp:positionV>
            <wp:extent cx="5221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98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52705</wp:posOffset>
            </wp:positionV>
            <wp:extent cx="25196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70485</wp:posOffset>
            </wp:positionV>
            <wp:extent cx="2519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3920"/>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43"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8"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August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52705</wp:posOffset>
            </wp:positionV>
            <wp:extent cx="25196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6"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28"/>
          <w:szCs w:val="28"/>
          <w:b w:val="1"/>
          <w:bCs w:val="1"/>
          <w:color w:val="auto"/>
        </w:rPr>
        <w:t>Bakkt Holdings, Inc.</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58420</wp:posOffset>
            </wp:positionV>
            <wp:extent cx="25196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001-39544</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40"/>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17" w:lineRule="exact"/>
        <w:rPr>
          <w:sz w:val="24"/>
          <w:szCs w:val="24"/>
          <w:color w:val="auto"/>
        </w:rPr>
      </w:pPr>
    </w:p>
    <w:p>
      <w:pPr>
        <w:sectPr>
          <w:pgSz w:w="11900" w:h="16838" w:orient="portrait"/>
          <w:cols w:equalWidth="0" w:num="2">
            <w:col w:w="3220" w:space="720"/>
            <w:col w:w="7340"/>
          </w:cols>
          <w:pgMar w:left="300" w:top="1396" w:right="319" w:bottom="1440" w:gutter="0" w:footer="0" w:header="0"/>
          <w:type w:val="continuous"/>
        </w:sectPr>
      </w:pPr>
    </w:p>
    <w:tbl>
      <w:tblPr>
        <w:tblLayout w:type="fixed"/>
        <w:tblInd w:w="1660" w:type="dxa"/>
        <w:tblCellMar>
          <w:top w:w="0" w:type="dxa"/>
          <w:left w:w="0" w:type="dxa"/>
          <w:bottom w:w="0" w:type="dxa"/>
          <w:right w:w="0" w:type="dxa"/>
        </w:tblCellMar>
      </w:tblPr>
      <w:tr>
        <w:trPr>
          <w:trHeight w:val="161"/>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30009</w:t>
            </w:r>
          </w:p>
        </w:tc>
        <w:tc>
          <w:tcPr>
            <w:tcW w:w="0" w:type="dxa"/>
            <w:vAlign w:val="bottom"/>
          </w:tcPr>
          <w:p>
            <w:pPr>
              <w:spacing w:after="0"/>
              <w:rPr>
                <w:sz w:val="1"/>
                <w:szCs w:val="1"/>
                <w:color w:val="auto"/>
              </w:rPr>
            </w:pPr>
          </w:p>
        </w:tc>
      </w:tr>
      <w:tr>
        <w:trPr>
          <w:trHeight w:val="112"/>
        </w:trPr>
        <w:tc>
          <w:tcPr>
            <w:tcW w:w="6300" w:type="dxa"/>
            <w:vAlign w:val="bottom"/>
            <w:vMerge w:val="restart"/>
          </w:tcPr>
          <w:p>
            <w:pPr>
              <w:jc w:val="center"/>
              <w:ind w:right="4013"/>
              <w:spacing w:after="0"/>
              <w:rPr>
                <w:sz w:val="20"/>
                <w:szCs w:val="20"/>
                <w:color w:val="auto"/>
              </w:rPr>
            </w:pPr>
            <w:r>
              <w:rPr>
                <w:rFonts w:ascii="Times New Roman" w:cs="Times New Roman" w:eastAsia="Times New Roman" w:hAnsi="Times New Roman"/>
                <w:sz w:val="14"/>
                <w:szCs w:val="14"/>
                <w:b w:val="1"/>
                <w:bCs w:val="1"/>
                <w:color w:val="auto"/>
              </w:rPr>
              <w:t>Alpharetta, Georgia</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2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2"/>
        </w:trPr>
        <w:tc>
          <w:tcPr>
            <w:tcW w:w="63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534-5849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135255</wp:posOffset>
            </wp:positionV>
            <wp:extent cx="25196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39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ind w:left="20"/>
        <w:spacing w:after="0"/>
        <w:rPr>
          <w:sz w:val="20"/>
          <w:szCs w:val="20"/>
          <w:color w:val="auto"/>
        </w:rPr>
      </w:pPr>
      <w:r>
        <w:rPr>
          <w:rFonts w:ascii="Times New Roman" w:cs="Times New Roman" w:eastAsia="Times New Roman" w:hAnsi="Times New Roman"/>
          <w:sz w:val="14"/>
          <w:szCs w:val="14"/>
          <w:color w:val="auto"/>
        </w:rPr>
        <w:t>below):</w:t>
      </w:r>
    </w:p>
    <w:p>
      <w:pPr>
        <w:spacing w:after="0" w:line="56" w:lineRule="exact"/>
        <w:rPr>
          <w:sz w:val="24"/>
          <w:szCs w:val="2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5380" w:type="dxa"/>
            <w:vAlign w:val="bottom"/>
            <w:vMerge w:val="restart"/>
          </w:tcPr>
          <w:p>
            <w:pPr>
              <w:ind w:left="19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38"/>
        </w:trPr>
        <w:tc>
          <w:tcPr>
            <w:tcW w:w="5380" w:type="dxa"/>
            <w:vAlign w:val="bottom"/>
            <w:tcBorders>
              <w:bottom w:val="single" w:sz="8" w:color="auto"/>
            </w:tcBorders>
            <w:vMerge w:val="continue"/>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65"/>
        </w:trPr>
        <w:tc>
          <w:tcPr>
            <w:tcW w:w="53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r>
        <w:trPr>
          <w:trHeight w:val="186"/>
        </w:trPr>
        <w:tc>
          <w:tcPr>
            <w:tcW w:w="53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9"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593725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40640</wp:posOffset>
            </wp:positionV>
            <wp:extent cx="5221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60325</wp:posOffset>
            </wp:positionV>
            <wp:extent cx="52216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type w:val="continuous"/>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Conditions.</w:t>
      </w:r>
    </w:p>
    <w:p>
      <w:pPr>
        <w:spacing w:after="0" w:line="17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On August 11, 2025, Bakkt Holdings, Inc. (the “Company”) issued a press release regarding the Company’s results for the quarter ended June 30, 2025. A copy of the press release is attached hereto as Exhibit 99.1 and incorporated herein by reference.</w:t>
      </w:r>
    </w:p>
    <w:p>
      <w:pPr>
        <w:spacing w:after="0" w:line="14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13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20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66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6"/>
                <w:szCs w:val="16"/>
                <w:color w:val="auto"/>
              </w:rPr>
            </w:pPr>
          </w:p>
        </w:tc>
      </w:tr>
      <w:tr>
        <w:trPr>
          <w:trHeight w:val="141"/>
        </w:trPr>
        <w:tc>
          <w:tcPr>
            <w:tcW w:w="1040" w:type="dxa"/>
            <w:vAlign w:val="bottom"/>
            <w:gridSpan w:val="2"/>
          </w:tcPr>
          <w:p>
            <w:pPr>
              <w:spacing w:after="0"/>
              <w:rPr>
                <w:sz w:val="12"/>
                <w:szCs w:val="12"/>
                <w:color w:val="auto"/>
              </w:rPr>
            </w:pPr>
          </w:p>
        </w:tc>
        <w:tc>
          <w:tcPr>
            <w:tcW w:w="2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99.</w:t>
            </w:r>
            <w:r>
              <w:rPr>
                <w:rFonts w:ascii="Times New Roman" w:cs="Times New Roman" w:eastAsia="Times New Roman" w:hAnsi="Times New Roman"/>
                <w:sz w:val="14"/>
                <w:szCs w:val="14"/>
                <w:u w:val="single" w:color="auto"/>
                <w:color w:val="auto"/>
                <w:w w:val="97"/>
              </w:rPr>
              <w:t>1</w:t>
            </w:r>
          </w:p>
        </w:tc>
        <w:tc>
          <w:tcPr>
            <w:tcW w:w="900" w:type="dxa"/>
            <w:vAlign w:val="bottom"/>
          </w:tcPr>
          <w:p>
            <w:pPr>
              <w:spacing w:after="0"/>
              <w:rPr>
                <w:sz w:val="12"/>
                <w:szCs w:val="12"/>
                <w:color w:val="auto"/>
              </w:rPr>
            </w:pPr>
          </w:p>
        </w:tc>
        <w:tc>
          <w:tcPr>
            <w:tcW w:w="366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rPr>
              <w:t>Press release issued by Bakkt Holdings, Inc. on August 11, 2025</w:t>
            </w: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2"/>
        </w:trPr>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90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169"/>
        </w:trPr>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August 11, 2025</w:t>
      </w:r>
    </w:p>
    <w:p>
      <w:pPr>
        <w:spacing w:after="0" w:line="200" w:lineRule="exact"/>
        <w:rPr>
          <w:sz w:val="20"/>
          <w:szCs w:val="20"/>
          <w:color w:val="auto"/>
        </w:rPr>
      </w:pPr>
    </w:p>
    <w:p>
      <w:pPr>
        <w:spacing w:after="0" w:line="24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BAKKT HOLDINGS, INC.</w:t>
      </w:r>
    </w:p>
    <w:p>
      <w:pPr>
        <w:spacing w:after="0" w:line="223" w:lineRule="exact"/>
        <w:rPr>
          <w:sz w:val="20"/>
          <w:szCs w:val="20"/>
          <w:color w:val="auto"/>
        </w:rPr>
      </w:pPr>
    </w:p>
    <w:tbl>
      <w:tblPr>
        <w:tblLayout w:type="fixed"/>
        <w:tblInd w:w="582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Marc D'Annunzio</w:t>
            </w:r>
          </w:p>
        </w:tc>
      </w:tr>
      <w:tr>
        <w:trPr>
          <w:trHeight w:val="1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 D’Annunzio</w:t>
            </w:r>
          </w:p>
        </w:tc>
      </w:t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Counsel and Secretary</w:t>
            </w:r>
          </w:p>
        </w:tc>
      </w:tr>
    </w:tbl>
    <w:p>
      <w:pPr>
        <w:sectPr>
          <w:pgSz w:w="11900" w:h="16838" w:orient="portrait"/>
          <w:cols w:equalWidth="0" w:num="1">
            <w:col w:w="11260"/>
          </w:cols>
          <w:pgMar w:left="320" w:top="114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2025-08-11T15:51:59Z</dcterms:created>
  <dcterms:modified xsi:type="dcterms:W3CDTF">2025-08-11T15:51:59Z</dcterms:modified>
</cp:coreProperties>
</file>