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Michael Gavin Constantine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02/07/2024</w:t>
            </w:r>
          </w:p>
        </w:tc>
        <w:tc>
          <w:tcPr>
            <w:tcW w:w="1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02/07/2024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67,198</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2,364,881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 2024, the issuer withheld Class A Common Stock that would otherwise have been issued to the reporting person to satisfy such person's tax withholding obligations. The number of shares withheld was determined based on the closing price per share of Class A Common Stock on February 1,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1,301,042 shares of Class A Common Stock subject to restricted stock units awards that remain subject to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Gavin</w:t>
      </w:r>
      <w:r>
        <w:rPr>
          <w:sz w:val="20"/>
          <w:szCs w:val="20"/>
          <w:color w:val="auto"/>
        </w:rPr>
        <w:tab/>
      </w:r>
      <w:r>
        <w:rPr>
          <w:rFonts w:ascii="Times New Roman" w:cs="Times New Roman" w:eastAsia="Times New Roman" w:hAnsi="Times New Roman"/>
          <w:sz w:val="17"/>
          <w:szCs w:val="17"/>
          <w:color w:val="0000FF"/>
        </w:rPr>
        <w:t>02/09/2024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Constantine 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13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1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2024-02-09T19:56:58Z</dcterms:created>
  <dcterms:modified xsi:type="dcterms:W3CDTF">2024-02-09T19:56:58Z</dcterms:modified>
</cp:coreProperties>
</file>