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140" w:type="dxa"/>
            <w:vAlign w:val="bottom"/>
          </w:tcPr>
          <w:p>
            <w:pPr>
              <w:jc w:val="center"/>
              <w:ind w:right="2418"/>
              <w:spacing w:after="0"/>
              <w:rPr>
                <w:sz w:val="20"/>
                <w:szCs w:val="20"/>
                <w:color w:val="auto"/>
              </w:rPr>
            </w:pPr>
            <w:r>
              <w:rPr>
                <w:rFonts w:ascii="Arial" w:cs="Arial" w:eastAsia="Arial" w:hAnsi="Arial"/>
                <w:sz w:val="18"/>
                <w:szCs w:val="18"/>
                <w:b w:val="1"/>
                <w:bCs w:val="1"/>
                <w:color w:val="auto"/>
                <w:w w:val="90"/>
              </w:rPr>
              <w:t>Cayman Islands</w:t>
            </w:r>
          </w:p>
        </w:tc>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001-39544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4140" w:type="dxa"/>
            <w:vAlign w:val="bottom"/>
          </w:tcPr>
          <w:p>
            <w:pPr>
              <w:jc w:val="center"/>
              <w:ind w:right="24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40" w:type="dxa"/>
            <w:vAlign w:val="bottom"/>
          </w:tcPr>
          <w:p>
            <w:pPr>
              <w:jc w:val="center"/>
              <w:ind w:right="2398"/>
              <w:spacing w:after="0"/>
              <w:rPr>
                <w:sz w:val="20"/>
                <w:szCs w:val="20"/>
                <w:color w:val="auto"/>
              </w:rPr>
            </w:pPr>
            <w:r>
              <w:rPr>
                <w:rFonts w:ascii="Arial" w:cs="Arial" w:eastAsia="Arial" w:hAnsi="Arial"/>
                <w:sz w:val="14"/>
                <w:szCs w:val="14"/>
                <w:b w:val="1"/>
                <w:bCs w:val="1"/>
                <w:color w:val="auto"/>
                <w:w w:val="94"/>
              </w:rPr>
              <w:t>of incorporation)</w:t>
            </w:r>
          </w:p>
        </w:tc>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4140" w:type="dxa"/>
            <w:vAlign w:val="bottom"/>
          </w:tcPr>
          <w:p>
            <w:pPr>
              <w:jc w:val="center"/>
              <w:ind w:left="1058"/>
              <w:spacing w:after="0"/>
              <w:rPr>
                <w:sz w:val="20"/>
                <w:szCs w:val="20"/>
                <w:color w:val="auto"/>
              </w:rPr>
            </w:pPr>
            <w:r>
              <w:rPr>
                <w:rFonts w:ascii="Arial" w:cs="Arial" w:eastAsia="Arial" w:hAnsi="Arial"/>
                <w:sz w:val="18"/>
                <w:szCs w:val="18"/>
                <w:b w:val="1"/>
                <w:bCs w:val="1"/>
                <w:color w:val="auto"/>
                <w:w w:val="94"/>
              </w:rPr>
              <w:t>Victory Park Capital Advisors, LLC</w:t>
            </w:r>
          </w:p>
        </w:tc>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40" w:type="dxa"/>
            <w:vAlign w:val="bottom"/>
          </w:tcPr>
          <w:p>
            <w:pPr>
              <w:jc w:val="center"/>
              <w:ind w:left="107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4140" w:type="dxa"/>
            <w:vAlign w:val="bottom"/>
          </w:tcPr>
          <w:p>
            <w:pPr>
              <w:jc w:val="center"/>
              <w:ind w:left="1078"/>
              <w:spacing w:after="0"/>
              <w:rPr>
                <w:sz w:val="20"/>
                <w:szCs w:val="20"/>
                <w:color w:val="auto"/>
              </w:rPr>
            </w:pPr>
            <w:r>
              <w:rPr>
                <w:rFonts w:ascii="Arial" w:cs="Arial" w:eastAsia="Arial" w:hAnsi="Arial"/>
                <w:sz w:val="18"/>
                <w:szCs w:val="18"/>
                <w:b w:val="1"/>
                <w:bCs w:val="1"/>
                <w:color w:val="auto"/>
                <w:w w:val="92"/>
              </w:rPr>
              <w:t>Chicago, IL</w:t>
            </w:r>
          </w:p>
        </w:tc>
        <w:tc>
          <w:tcPr>
            <w:tcW w:w="21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186"/>
        </w:trPr>
        <w:tc>
          <w:tcPr>
            <w:tcW w:w="4140" w:type="dxa"/>
            <w:vAlign w:val="bottom"/>
          </w:tcPr>
          <w:p>
            <w:pPr>
              <w:jc w:val="center"/>
              <w:ind w:left="10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076"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October 5, 2021, VPC Impact Acquisition Holdings ( “VIH”) provided written notice to The Nasdaq Stock Market LLC (“Nasdaq”) of its intention to voluntarily withdraw the listing of its common stock, warrants and units from Nasdaq and list its common stock and warrants on the New York Stock Exchange (“NYSE”) following, and subject to, the completion of its previously announced business combination (the “Proposed Transaction”) with Bakkt Holdings, LLC (“Bakkt”) and related transactions. In connection with the Proposed Transaction, VIH will change its name to Bakkt Holdings, Inc. The common stock and warrants of Bakkt Holdings, Inc. are expected to commence trading on NYSE on or about October 18, 2021 under the symbols “BKKT” and “BKKT WS,” respectively.</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Also on October 5, 2021, VIH issued a press release regarding the change in the stock exchange listing of its common stock, warrants and units. A copy of the press release is furnished herewith as Exhibit 99.1.</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Proposed Transaction, VIH filed a registration statement on Form S-4 that included a proxy statement/prospectus of VIH. On September 17, 2021, the registration statement was declared effective by the SEC.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9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Current Report on Form 8-K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Current Report on Form 8-K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w:t>
      </w:r>
    </w:p>
    <w:p>
      <w:pPr>
        <w:sectPr>
          <w:pgSz w:w="11900" w:h="16838" w:orient="portrait"/>
          <w:cols w:equalWidth="0" w:num="1">
            <w:col w:w="10960"/>
          </w:cols>
          <w:pgMar w:left="440" w:top="297" w:right="499" w:bottom="1440" w:gutter="0" w:footer="0" w:header="0"/>
        </w:sectPr>
      </w:pPr>
    </w:p>
    <w:bookmarkStart w:id="3" w:name="page4"/>
    <w:bookmarkEnd w:id="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578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as of October 5,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SBRL document).</w:t>
            </w:r>
          </w:p>
        </w:tc>
      </w:tr>
    </w:tbl>
    <w:p>
      <w:pPr>
        <w:sectPr>
          <w:pgSz w:w="11900" w:h="16838" w:orient="portrait"/>
          <w:cols w:equalWidth="0" w:num="1">
            <w:col w:w="10980"/>
          </w:cols>
          <w:pgMar w:left="440" w:top="301"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October 5, 2021</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301" w:right="439" w:bottom="1440" w:gutter="0" w:footer="0" w:header="0"/>
        </w:sectPr>
      </w:pPr>
    </w:p>
    <w:bookmarkStart w:id="5" w:name="page6"/>
    <w:bookmarkEnd w:id="5"/>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VPC Impact Acquisition Holdings Announces Transfer of Listing To NYSE In Connection With Its Proposed Business Combination with Bakkt</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CHICAGO – October 5, 2021 – VPC Impact Acquisition Holdings (NASDAQ: VIHAU, VIH and VIHAW) (“VIH”), announced today that it intends to withdraw the listing of its Class A ordinary shares, warrants to purchase Class A ordinary shares and related units from The Nasdaq Stock Market LLC (“Nasdaq”) and list its common stock and warrants on the New York Stock Exchange (the “NYSE”) following, and subject to, the completion of its previously announced business combination (the “Proposed Transaction”) with Bakkt Holdings, LLC (“Bakkt”), which is expected to close on or around October 15, 2021. In connection with the Proposed Transaction, VIH will change its name to Bakkt Holdings, Inc. The Company expects its common stock and warrants to commence trading on NYSE on or about October 18, 2021 under the symbols “BKKT” and “BKKT WS,” respectively. VIH’s Class A ordinary shares and warrants to purchase Class A ordinary shares are expected to continue to trade on Nasdaq until the transfer to NYSE is complete. The last day of trading of VIH’s units on Nasdaq is expected to be October 15, 2021, assuming closing of the Proposed Transaction on such date.</w:t>
      </w:r>
    </w:p>
    <w:p>
      <w:pPr>
        <w:spacing w:after="0" w:line="19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decision to list on NYSE was made in consideration of the Proposed Transaction and enables the post-combination company to be listed alongside other innovative technology companies that are also listed on NYSE. The Nasdaq delisting and NYSE listing are subject to the closing of the Proposed Transaction and fulfillment of all NYSE listing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Bakkt</w:t>
      </w:r>
      <w:r>
        <w:rPr>
          <w:rFonts w:ascii="Arial" w:cs="Arial" w:eastAsia="Arial" w:hAnsi="Arial"/>
          <w:sz w:val="15"/>
          <w:szCs w:val="15"/>
          <w:color w:val="auto"/>
        </w:rPr>
        <w:t>®</w:t>
      </w:r>
      <w:r>
        <w:rPr>
          <w:rFonts w:ascii="Arial" w:cs="Arial" w:eastAsia="Arial" w:hAnsi="Arial"/>
          <w:sz w:val="18"/>
          <w:szCs w:val="18"/>
          <w:color w:val="auto"/>
        </w:rPr>
        <w:t xml:space="preserve"> is a trusted digital asset marketplace that enables institutions and consumers to buy, sell, store and spend digital assets. Bakkt’s retail platform, now available through the recently-released Bakkt App, amplifies consumer spending, reduces payment costs, and bolsters loyalty programs, adding value for all key stakeholders within the Bakkt payments and digital assets ecosystem. Launched in 2018 by Intercontinental Exchange, Inc., Bakkt is headquartered in Alpharetta, GA. For more information, visit: http://www.bakkt.com/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connection with the Proposed Transaction, VIH filed a registration statement on Form S-4 that included a proxy statement/prospectus of VIH. On September 17, 2021, the registration statement was declared effective by the SEC.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VIH has mailed the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ectPr>
          <w:pgSz w:w="11900" w:h="16838" w:orient="portrait"/>
          <w:cols w:equalWidth="0" w:num="1">
            <w:col w:w="11020"/>
          </w:cols>
          <w:pgMar w:left="440" w:top="121" w:right="439" w:bottom="1440" w:gutter="0" w:footer="0" w:header="0"/>
        </w:sectPr>
      </w:pPr>
    </w:p>
    <w:bookmarkStart w:id="6" w:name="page7"/>
    <w:bookmarkEnd w:id="6"/>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w:t>
      </w:r>
    </w:p>
    <w:p>
      <w:pPr>
        <w:sectPr>
          <w:pgSz w:w="11900" w:h="16838" w:orient="portrait"/>
          <w:cols w:equalWidth="0" w:num="1">
            <w:col w:w="11000"/>
          </w:cols>
          <w:pgMar w:left="440" w:top="274" w:right="459" w:bottom="1440" w:gutter="0" w:footer="0" w:header="0"/>
        </w:sectPr>
      </w:pPr>
    </w:p>
    <w:bookmarkStart w:id="7" w:name="page8"/>
    <w:bookmarkEnd w:id="7"/>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w:t>
      </w:r>
    </w:p>
    <w:p>
      <w:pPr>
        <w:spacing w:after="0" w:line="2" w:lineRule="exact"/>
        <w:rPr>
          <w:sz w:val="20"/>
          <w:szCs w:val="20"/>
          <w:color w:val="auto"/>
        </w:rPr>
      </w:pPr>
    </w:p>
    <w:p>
      <w:pPr>
        <w:ind w:left="4" w:right="40" w:hanging="4"/>
        <w:spacing w:after="0" w:line="292" w:lineRule="auto"/>
        <w:tabs>
          <w:tab w:leader="none" w:pos="309"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Bakkt: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BakktIR@edelman.com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lauren.post@bakkt.com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VIH:</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vihinfo@victoryparkcapital.com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 (Sahin)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Julia.Fisher@edelman.com</w:t>
      </w:r>
    </w:p>
    <w:p>
      <w:pPr>
        <w:spacing w:after="0" w:line="2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2021-10-05T16:30:54Z</dcterms:created>
  <dcterms:modified xsi:type="dcterms:W3CDTF">2021-10-05T16:30:54Z</dcterms:modified>
</cp:coreProperties>
</file>