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July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584"/>
        <w:spacing w:after="0"/>
        <w:rPr>
          <w:sz w:val="20"/>
          <w:szCs w:val="20"/>
          <w:color w:val="auto"/>
        </w:rPr>
      </w:pPr>
      <w:r>
        <w:rPr>
          <w:rFonts w:ascii="Times New Roman" w:cs="Times New Roman" w:eastAsia="Times New Roman" w:hAnsi="Times New Roman"/>
          <w:sz w:val="17"/>
          <w:szCs w:val="17"/>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New York Stock Exchange</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On July 21, 2022, Bakkt Trust Company LLC (“Bakkt Trust”), whose principal office is at 55 Each 52nd Street, New York, NY 10055 (the “Warehouse”) and which is a wholly owned subsidiary of Bakkt Holdings, Inc. (the “Company”), entered into Amendment No. 4 (the “Amendment”) to that certain Digital Currency Trading, Clearing, and Warehouse Services Agreement (the “Triparty Agreement”), dated August 29, 2019, by and among Bakkt Trust, ICE Futures U.S., Inc. (“IFUS”) and ICE Clear US, Inc. (“ICUS,” and together with Bakkt Trust and IFUS, the “Parties”), pursuant to which the Triparty Agreement was amended to (i) specify certain marketing obligations of the Parties and (ii) revise the revenue allocation among the Parties such that one half of all revenues of IFUS and ICUS with respect to the trading and clearing, respectively, of certain futures or option contracts traded on IFUS shall be for the account of the Warehouse and one half of all revenues of Warehouse with respect to providing certain services specified the Triparty Agreement shall be for the account of IFUS and ICUS, collectively.</w:t>
      </w:r>
    </w:p>
    <w:p>
      <w:pPr>
        <w:spacing w:after="0" w:line="19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is qualified by the full text thereof, which has been filed with this Current Report on Form 8-K as Exhibit 10.1 and is incorporated herein by reference.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IFUS and ICUS are both wholly owned subsidiaries of Intercontinental Exchange, Inc. (“ICE”). The Company has certain commercial and other relationships with ICE, including that David Clifton (an employee of an affiliate of ICE) serves on the Company’s board of directors and that ICE or its affiliates has certain other contractual relationships with the Company. For more information on the Company’s relationships with ICE, please see the section entitled “Related Person Transactions” in the Company’s definitive proxy statement filed with the Securities and Exchange Commission on April 28, 2022, which is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1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Amendment No. 4 to Digital Currency Trading, Clearing, and Warehouse Services Agreement, dated as of July 21, 2022, by and among ICE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Futures U.S., Inc., ICE Clear US, Inc. and Bakkt Trust Company LLC</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40" w:type="dxa"/>
            <w:vAlign w:val="bottom"/>
            <w:gridSpan w:val="2"/>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6920"/>
        <w:spacing w:after="0"/>
        <w:tabs>
          <w:tab w:leader="none" w:pos="748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AMENDMENT NO. 4 TO</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DIGITAL CURRENCY TRADING, CLEARING AND WAREHOUSE SERVICES AGREEMENT</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This amendment and Exhibit A hereto (hereafter referred to as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dated and effective as of July 21, 2022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is entered into by and among ICE Futures U.S., Inc., a Delaware corporation, ICE Clear U.S., Inc., a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 corporation, and Bakkt Trust Company LLC, a New York limited purpose limited liability trust company.</w:t>
      </w:r>
    </w:p>
    <w:p>
      <w:pPr>
        <w:spacing w:after="0" w:line="95" w:lineRule="exact"/>
        <w:rPr>
          <w:sz w:val="20"/>
          <w:szCs w:val="20"/>
          <w:color w:val="auto"/>
        </w:rPr>
      </w:pPr>
    </w:p>
    <w:p>
      <w:pPr>
        <w:ind w:right="360" w:firstLine="401"/>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that certain Digital Currency Trading, Clearing and Warehouse Services Agreement,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29, 2019, as amended by (i) the letter agreement dated September 11, 2019 (the “</w:t>
      </w:r>
      <w:r>
        <w:rPr>
          <w:rFonts w:ascii="Times New Roman" w:cs="Times New Roman" w:eastAsia="Times New Roman" w:hAnsi="Times New Roman"/>
          <w:sz w:val="18"/>
          <w:szCs w:val="18"/>
          <w:b w:val="1"/>
          <w:bCs w:val="1"/>
          <w:color w:val="auto"/>
        </w:rPr>
        <w:t>Letter Agreement</w:t>
      </w:r>
      <w:r>
        <w:rPr>
          <w:rFonts w:ascii="Times New Roman" w:cs="Times New Roman" w:eastAsia="Times New Roman" w:hAnsi="Times New Roman"/>
          <w:sz w:val="18"/>
          <w:szCs w:val="18"/>
          <w:color w:val="auto"/>
        </w:rPr>
        <w:t>”), (ii) Amendment No. 1 dated December 5, 2019, (iii) Amendment No. 2 dated July 14, 2020 and (iv) Amendment No. 3 dated February 3, 2021, to provide trading, clearing and warehouse services with respect to Digital Currency Contracts (such agreement, as so amended, being referred to hereafter as the “</w:t>
      </w:r>
      <w:r>
        <w:rPr>
          <w:rFonts w:ascii="Times New Roman" w:cs="Times New Roman" w:eastAsia="Times New Roman" w:hAnsi="Times New Roman"/>
          <w:sz w:val="18"/>
          <w:szCs w:val="18"/>
          <w:b w:val="1"/>
          <w:bCs w:val="1"/>
          <w:color w:val="auto"/>
        </w:rPr>
        <w:t>Triparty Services Agreement</w:t>
      </w:r>
      <w:r>
        <w:rPr>
          <w:rFonts w:ascii="Times New Roman" w:cs="Times New Roman" w:eastAsia="Times New Roman" w:hAnsi="Times New Roman"/>
          <w:sz w:val="18"/>
          <w:szCs w:val="18"/>
          <w:color w:val="auto"/>
        </w:rPr>
        <w:t>”); and</w:t>
      </w:r>
    </w:p>
    <w:p>
      <w:pPr>
        <w:spacing w:after="0" w:line="71" w:lineRule="exact"/>
        <w:rPr>
          <w:sz w:val="20"/>
          <w:szCs w:val="20"/>
          <w:color w:val="auto"/>
        </w:rPr>
      </w:pPr>
    </w:p>
    <w:p>
      <w:pPr>
        <w:ind w:right="360" w:firstLine="40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the Triparty Services Agreement to revise the revenue allocation among the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specify certain marketing obligations of the parties, as further provided herein;</w:t>
      </w:r>
    </w:p>
    <w:p>
      <w:pPr>
        <w:spacing w:after="0" w:line="47" w:lineRule="exact"/>
        <w:rPr>
          <w:sz w:val="20"/>
          <w:szCs w:val="20"/>
          <w:color w:val="auto"/>
        </w:rPr>
      </w:pPr>
    </w:p>
    <w:p>
      <w:pPr>
        <w:ind w:right="340" w:firstLine="40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in this Amendment No. 4, the Parties hereby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51" w:lineRule="exact"/>
        <w:rPr>
          <w:sz w:val="20"/>
          <w:szCs w:val="20"/>
          <w:color w:val="auto"/>
        </w:rPr>
      </w:pPr>
    </w:p>
    <w:p>
      <w:pPr>
        <w:ind w:right="140" w:firstLine="7"/>
        <w:spacing w:after="0" w:line="28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Any capitalized terms or phrases used but not defined herein shall have the meaning ascribed to such terms or phrases in the Triparty Services Agreement.</w:t>
      </w:r>
    </w:p>
    <w:p>
      <w:pPr>
        <w:spacing w:after="0" w:line="5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Triparty Services Agreement.</w:t>
      </w:r>
      <w:r>
        <w:rPr>
          <w:rFonts w:ascii="Times New Roman" w:cs="Times New Roman" w:eastAsia="Times New Roman" w:hAnsi="Times New Roman"/>
          <w:sz w:val="18"/>
          <w:szCs w:val="18"/>
          <w:color w:val="auto"/>
        </w:rPr>
        <w:t xml:space="preserve"> The Triparty Services Agreement shall be amended as follows:</w:t>
      </w:r>
    </w:p>
    <w:p>
      <w:pPr>
        <w:spacing w:after="0" w:line="117" w:lineRule="exact"/>
        <w:rPr>
          <w:rFonts w:ascii="Times New Roman" w:cs="Times New Roman" w:eastAsia="Times New Roman" w:hAnsi="Times New Roman"/>
          <w:sz w:val="18"/>
          <w:szCs w:val="18"/>
          <w:color w:val="auto"/>
        </w:rPr>
      </w:pPr>
    </w:p>
    <w:p>
      <w:pPr>
        <w:ind w:left="780" w:hanging="372"/>
        <w:spacing w:after="0"/>
        <w:tabs>
          <w:tab w:leader="none" w:pos="7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3.2 shall be deleted and replaced with the following:</w:t>
      </w:r>
    </w:p>
    <w:p>
      <w:pPr>
        <w:spacing w:after="0" w:line="329"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3.2 Certain Terms of Digital Currency Arrangements</w:t>
      </w:r>
    </w:p>
    <w:p>
      <w:pPr>
        <w:spacing w:after="0" w:line="121" w:lineRule="exact"/>
        <w:rPr>
          <w:rFonts w:ascii="Times New Roman" w:cs="Times New Roman" w:eastAsia="Times New Roman" w:hAnsi="Times New Roman"/>
          <w:sz w:val="18"/>
          <w:szCs w:val="18"/>
          <w:color w:val="auto"/>
        </w:rPr>
      </w:pPr>
    </w:p>
    <w:p>
      <w:pPr>
        <w:ind w:left="780" w:right="3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 The Parties agree that to the fullest extent permitted by applicable law, IFUS and ICUS will not during the term of this Agreement obtain services equivalent to Warehouse Services with respect to physically delivered Digital Currency contracts relating to Digital Currencies for which Warehouse provides custody services from any warehouse provider other than Warehouse.</w:t>
      </w:r>
    </w:p>
    <w:p>
      <w:pPr>
        <w:spacing w:after="0" w:line="71" w:lineRule="exact"/>
        <w:rPr>
          <w:rFonts w:ascii="Times New Roman" w:cs="Times New Roman" w:eastAsia="Times New Roman" w:hAnsi="Times New Roman"/>
          <w:sz w:val="18"/>
          <w:szCs w:val="18"/>
          <w:color w:val="auto"/>
        </w:rPr>
      </w:pPr>
    </w:p>
    <w:p>
      <w:pPr>
        <w:ind w:left="78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 The Parties agree that during the term of this Agreement, IFUS and ICUS will not offer trading or clearing services for physically-delivered Digital Currency contracts relating to Digital Currencies for which Warehouse provides custody services except pursuant to this Agreement.</w:t>
      </w:r>
    </w:p>
    <w:p>
      <w:pPr>
        <w:sectPr>
          <w:pgSz w:w="11900" w:h="16838" w:orient="portrait"/>
          <w:cols w:equalWidth="0" w:num="1">
            <w:col w:w="10040"/>
          </w:cols>
          <w:pgMar w:left="1420" w:top="117" w:right="439" w:bottom="1440" w:gutter="0" w:footer="0" w:header="0"/>
        </w:sectPr>
      </w:pPr>
    </w:p>
    <w:bookmarkStart w:id="4" w:name="page5"/>
    <w:bookmarkEnd w:id="4"/>
    <w:p>
      <w:pPr>
        <w:ind w:left="1380"/>
        <w:spacing w:after="0"/>
        <w:tabs>
          <w:tab w:leader="none" w:pos="17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w:t>
      </w:r>
      <w:r>
        <w:rPr>
          <w:sz w:val="20"/>
          <w:szCs w:val="20"/>
          <w:color w:val="auto"/>
        </w:rPr>
        <w:tab/>
      </w:r>
      <w:r>
        <w:rPr>
          <w:rFonts w:ascii="Times New Roman" w:cs="Times New Roman" w:eastAsia="Times New Roman" w:hAnsi="Times New Roman"/>
          <w:sz w:val="17"/>
          <w:szCs w:val="17"/>
          <w:color w:val="auto"/>
        </w:rPr>
        <w:t>The following sentence shall be added at the end of Section 4.2.1:</w:t>
      </w:r>
    </w:p>
    <w:p>
      <w:pPr>
        <w:spacing w:after="0" w:line="117" w:lineRule="exact"/>
        <w:rPr>
          <w:sz w:val="20"/>
          <w:szCs w:val="20"/>
          <w:color w:val="auto"/>
        </w:rPr>
      </w:pPr>
    </w:p>
    <w:p>
      <w:pPr>
        <w:ind w:left="1420" w:firstLine="383"/>
        <w:spacing w:after="0" w:line="282" w:lineRule="auto"/>
        <w:rPr>
          <w:sz w:val="20"/>
          <w:szCs w:val="20"/>
          <w:color w:val="auto"/>
        </w:rPr>
      </w:pPr>
      <w:r>
        <w:rPr>
          <w:rFonts w:ascii="Times New Roman" w:cs="Times New Roman" w:eastAsia="Times New Roman" w:hAnsi="Times New Roman"/>
          <w:sz w:val="18"/>
          <w:szCs w:val="18"/>
          <w:color w:val="auto"/>
        </w:rPr>
        <w:t>In addition, each Party shall allocate appropriate staff and resources to the performance of marketing activities in furtherance of the trading and clearing of Digital Currency Contracts.</w:t>
      </w:r>
    </w:p>
    <w:p>
      <w:pPr>
        <w:spacing w:after="0" w:line="54" w:lineRule="exact"/>
        <w:rPr>
          <w:sz w:val="20"/>
          <w:szCs w:val="20"/>
          <w:color w:val="auto"/>
        </w:rPr>
      </w:pPr>
    </w:p>
    <w:p>
      <w:pPr>
        <w:ind w:left="980" w:firstLine="408"/>
        <w:spacing w:after="0" w:line="282" w:lineRule="auto"/>
        <w:tabs>
          <w:tab w:leader="none" w:pos="1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4 shall be deleted and replaced in its entirety with new Schedule 4 attached as Exhibit A hereto and made a part of this Amendment No. 4.</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Each Party to this Amendment No. 4 represents and warrants to each other Party that:</w:t>
      </w:r>
    </w:p>
    <w:p>
      <w:pPr>
        <w:spacing w:after="0" w:line="117" w:lineRule="exact"/>
        <w:rPr>
          <w:rFonts w:ascii="Times New Roman" w:cs="Times New Roman" w:eastAsia="Times New Roman" w:hAnsi="Times New Roman"/>
          <w:sz w:val="18"/>
          <w:szCs w:val="18"/>
          <w:color w:val="auto"/>
        </w:rPr>
      </w:pPr>
    </w:p>
    <w:p>
      <w:pPr>
        <w:ind w:left="980" w:right="560" w:firstLine="408"/>
        <w:spacing w:after="0" w:line="282" w:lineRule="auto"/>
        <w:tabs>
          <w:tab w:leader="none" w:pos="1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the power to execute and deliver this Amendment No. 4 and to perform its obligations hereunder, and has taken all necessary action to authorize such execution, delivery and performance;</w:t>
      </w:r>
    </w:p>
    <w:p>
      <w:pPr>
        <w:spacing w:after="0" w:line="53" w:lineRule="exact"/>
        <w:rPr>
          <w:rFonts w:ascii="Times New Roman" w:cs="Times New Roman" w:eastAsia="Times New Roman" w:hAnsi="Times New Roman"/>
          <w:sz w:val="18"/>
          <w:szCs w:val="18"/>
          <w:color w:val="auto"/>
        </w:rPr>
      </w:pPr>
    </w:p>
    <w:p>
      <w:pPr>
        <w:ind w:left="980" w:right="620" w:firstLine="408"/>
        <w:spacing w:after="0" w:line="282" w:lineRule="auto"/>
        <w:tabs>
          <w:tab w:leader="none" w:pos="177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executing and delivering this Amendment No. 4 is duly empowered and authorized to do so and has duly executed and delivered this Amendment;</w:t>
      </w:r>
    </w:p>
    <w:p>
      <w:pPr>
        <w:spacing w:after="0" w:line="53" w:lineRule="exact"/>
        <w:rPr>
          <w:rFonts w:ascii="Times New Roman" w:cs="Times New Roman" w:eastAsia="Times New Roman" w:hAnsi="Times New Roman"/>
          <w:sz w:val="18"/>
          <w:szCs w:val="18"/>
          <w:color w:val="auto"/>
        </w:rPr>
      </w:pPr>
    </w:p>
    <w:p>
      <w:pPr>
        <w:jc w:val="both"/>
        <w:ind w:left="980" w:right="100" w:firstLine="408"/>
        <w:spacing w:after="0" w:line="266" w:lineRule="auto"/>
        <w:tabs>
          <w:tab w:leader="none" w:pos="17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execution, delivery and performance do not violate or conflict with law applicable to it, any provision of its constitutional documents, any order or judgment of any court or other agency of government applicable to it or any contractual restriction binding on or affecting it.</w:t>
      </w:r>
    </w:p>
    <w:p>
      <w:pPr>
        <w:spacing w:after="0" w:line="67" w:lineRule="exact"/>
        <w:rPr>
          <w:rFonts w:ascii="Times New Roman" w:cs="Times New Roman" w:eastAsia="Times New Roman" w:hAnsi="Times New Roman"/>
          <w:sz w:val="18"/>
          <w:szCs w:val="18"/>
          <w:color w:val="auto"/>
        </w:rPr>
      </w:pPr>
    </w:p>
    <w:p>
      <w:pPr>
        <w:ind w:left="980" w:right="140" w:firstLine="7"/>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Amendment No. 4 may be signed in counterparts (including by electronic means), each of which shall be deemed an original, but all of which, taken together, shall constitute one and the same instrument.</w:t>
      </w:r>
    </w:p>
    <w:p>
      <w:pPr>
        <w:spacing w:after="0" w:line="53" w:lineRule="exact"/>
        <w:rPr>
          <w:rFonts w:ascii="Times New Roman" w:cs="Times New Roman" w:eastAsia="Times New Roman" w:hAnsi="Times New Roman"/>
          <w:sz w:val="18"/>
          <w:szCs w:val="18"/>
          <w:color w:val="auto"/>
        </w:rPr>
      </w:pPr>
    </w:p>
    <w:p>
      <w:pPr>
        <w:ind w:left="980" w:right="100" w:firstLine="7"/>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xml:space="preserve"> Except as otherwise set forth herein, the Triparty Services Agreement shall remain in full force and effect. In the event of a conflict between this Amendment No. 4 and the Triparty Services Agreement, this Amendment No. 4 shall prevail.</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executed this Amendment No. 4 to the Triparty Services Agreement as of the date first set forth above.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ICE FUTURES U.S., INC.</w:t>
            </w: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BAKKT TRUST COMPANY LLC</w:t>
            </w:r>
          </w:p>
        </w:tc>
      </w:tr>
      <w:tr>
        <w:trPr>
          <w:trHeight w:val="392"/>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Trabue Bland</w:t>
            </w: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Gavin Michael</w:t>
            </w:r>
          </w:p>
        </w:tc>
      </w:tr>
      <w:tr>
        <w:trPr>
          <w:trHeight w:val="20"/>
        </w:trPr>
        <w:tc>
          <w:tcPr>
            <w:tcW w:w="2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020" w:type="dxa"/>
            <w:vAlign w:val="bottom"/>
            <w:tcBorders>
              <w:left w:val="single" w:sz="8" w:color="auto"/>
            </w:tcBorders>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r>
        <w:trPr>
          <w:trHeight w:val="21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Trabue Bland</w:t>
            </w: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Name: Gavin Michael</w:t>
            </w: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w:t>
            </w:r>
          </w:p>
        </w:tc>
        <w:tc>
          <w:tcPr>
            <w:tcW w:w="594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 CEO</w:t>
            </w:r>
          </w:p>
        </w:tc>
      </w:tr>
      <w:tr>
        <w:trPr>
          <w:trHeight w:val="45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ICE CLEAR U.S., INC.</w:t>
            </w:r>
          </w:p>
        </w:tc>
        <w:tc>
          <w:tcPr>
            <w:tcW w:w="30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391"/>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Kevin McClear</w:t>
            </w:r>
          </w:p>
        </w:tc>
        <w:tc>
          <w:tcPr>
            <w:tcW w:w="30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18"/>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Kevin McClear</w:t>
            </w:r>
          </w:p>
        </w:tc>
        <w:tc>
          <w:tcPr>
            <w:tcW w:w="30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President</w:t>
            </w:r>
          </w:p>
        </w:tc>
        <w:tc>
          <w:tcPr>
            <w:tcW w:w="3020" w:type="dxa"/>
            <w:vAlign w:val="bottom"/>
          </w:tcPr>
          <w:p>
            <w:pPr>
              <w:spacing w:after="0"/>
              <w:rPr>
                <w:sz w:val="20"/>
                <w:szCs w:val="20"/>
                <w:color w:val="auto"/>
              </w:rPr>
            </w:pPr>
          </w:p>
        </w:tc>
        <w:tc>
          <w:tcPr>
            <w:tcW w:w="2920" w:type="dxa"/>
            <w:vAlign w:val="bottom"/>
          </w:tcPr>
          <w:p>
            <w:pPr>
              <w:spacing w:after="0"/>
              <w:rPr>
                <w:sz w:val="20"/>
                <w:szCs w:val="20"/>
                <w:color w:val="auto"/>
              </w:rPr>
            </w:pPr>
          </w:p>
        </w:tc>
      </w:tr>
    </w:tbl>
    <w:p>
      <w:pPr>
        <w:sectPr>
          <w:pgSz w:w="11900" w:h="16838" w:orient="portrait"/>
          <w:cols w:equalWidth="0" w:num="1">
            <w:col w:w="11000"/>
          </w:cols>
          <w:pgMar w:left="440" w:top="270" w:right="45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Schedule 4</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Revenue Allocation</w:t>
      </w:r>
    </w:p>
    <w:p>
      <w:pPr>
        <w:spacing w:after="0" w:line="351"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Charges.</w:t>
      </w:r>
    </w:p>
    <w:p>
      <w:pPr>
        <w:spacing w:after="0" w:line="121" w:lineRule="exact"/>
        <w:rPr>
          <w:rFonts w:ascii="Times New Roman" w:cs="Times New Roman" w:eastAsia="Times New Roman" w:hAnsi="Times New Roman"/>
          <w:sz w:val="18"/>
          <w:szCs w:val="18"/>
          <w:b w:val="1"/>
          <w:bCs w:val="1"/>
          <w:color w:val="auto"/>
        </w:rPr>
      </w:pPr>
    </w:p>
    <w:p>
      <w:pPr>
        <w:ind w:left="444"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of IFUS, ICUS and the Warehouse may establish from time to time its respective trading, clearing, delivery, warehouse and other fees and charges in connection with Digital Currency Contracts. The Parties will consult with each other as to such fees and charges.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Trading/Clearing/Warehousing Revenue Allocation.</w:t>
      </w:r>
    </w:p>
    <w:p>
      <w:pPr>
        <w:spacing w:after="0" w:line="121" w:lineRule="exact"/>
        <w:rPr>
          <w:rFonts w:ascii="Times New Roman" w:cs="Times New Roman" w:eastAsia="Times New Roman" w:hAnsi="Times New Roman"/>
          <w:sz w:val="18"/>
          <w:szCs w:val="18"/>
          <w:b w:val="1"/>
          <w:bCs w:val="1"/>
          <w:color w:val="auto"/>
        </w:rPr>
      </w:pPr>
    </w:p>
    <w:p>
      <w:pPr>
        <w:ind w:left="444" w:right="40" w:hanging="4"/>
        <w:spacing w:after="0" w:line="254" w:lineRule="auto"/>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one half of all revenues of IFUS and ICUS with respect to the trading and clearing, respectively, of Digital Currency Contracts (collectively, “</w:t>
      </w:r>
      <w:r>
        <w:rPr>
          <w:rFonts w:ascii="Times New Roman" w:cs="Times New Roman" w:eastAsia="Times New Roman" w:hAnsi="Times New Roman"/>
          <w:sz w:val="18"/>
          <w:szCs w:val="18"/>
          <w:b w:val="1"/>
          <w:bCs w:val="1"/>
          <w:color w:val="auto"/>
        </w:rPr>
        <w:t>Digital Currency Trading/Clearing Revenue</w:t>
      </w:r>
      <w:r>
        <w:rPr>
          <w:rFonts w:ascii="Times New Roman" w:cs="Times New Roman" w:eastAsia="Times New Roman" w:hAnsi="Times New Roman"/>
          <w:sz w:val="18"/>
          <w:szCs w:val="18"/>
          <w:color w:val="auto"/>
        </w:rPr>
        <w:t>”) shall be for the account of the Warehouse. The Parties further agree that one half of all revenues of Warehouse with respect to providing the services specified in Schedule 1C of this Agreement (“</w:t>
      </w:r>
      <w:r>
        <w:rPr>
          <w:rFonts w:ascii="Times New Roman" w:cs="Times New Roman" w:eastAsia="Times New Roman" w:hAnsi="Times New Roman"/>
          <w:sz w:val="18"/>
          <w:szCs w:val="18"/>
          <w:b w:val="1"/>
          <w:bCs w:val="1"/>
          <w:color w:val="auto"/>
        </w:rPr>
        <w:t>Digital Currency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Warehousing Revenue</w:t>
      </w:r>
      <w:r>
        <w:rPr>
          <w:rFonts w:ascii="Times New Roman" w:cs="Times New Roman" w:eastAsia="Times New Roman" w:hAnsi="Times New Roman"/>
          <w:sz w:val="18"/>
          <w:szCs w:val="18"/>
          <w:color w:val="auto"/>
        </w:rPr>
        <w:t>”) shall be for the account of IFUS and ICUS, collectively. Each of the Parties shall provide reasonable documentation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Parties of the amount of Digital Currency Trading/Clearing Revenue and Digital Currency Warehousing Revenue, as applicable. The Parties further agree that one half of the amount of any rebates, fees owed to market-makers or liquidity providers, or similar incentives paid by IFUS in connection with Digital Currency Contracts shall be reimbursed to IFUS by Warehouse. For the avoidance of doubt, revenues from fees for transaction data or other market data or application programming interface or similar connectivity fees (whether or not relating to Digital Currency Contracts) received by IFUS or ICUS or any of their affiliates shall not be considered revenue for purposes of this Schedule 4.</w:t>
      </w:r>
    </w:p>
    <w:p>
      <w:pPr>
        <w:spacing w:after="0" w:line="80" w:lineRule="exact"/>
        <w:rPr>
          <w:rFonts w:ascii="Times New Roman" w:cs="Times New Roman" w:eastAsia="Times New Roman" w:hAnsi="Times New Roman"/>
          <w:sz w:val="18"/>
          <w:szCs w:val="18"/>
          <w:color w:val="auto"/>
        </w:rPr>
      </w:pPr>
    </w:p>
    <w:p>
      <w:pPr>
        <w:ind w:left="444" w:right="200" w:hanging="4"/>
        <w:spacing w:after="0" w:line="266" w:lineRule="auto"/>
        <w:tabs>
          <w:tab w:leader="none" w:pos="83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of the end of the calendar quarter (or such other date as the Parties may agree), each of Warehouse, IFUS and ICUS shall make the payments specified in the preceding paragraph. For the avoidance of doubt, neither IFUS nor ICUS shall be responsible for paying the Digital Currency Trading/Clearing Revenue of the other.</w:t>
      </w:r>
    </w:p>
    <w:p>
      <w:pPr>
        <w:spacing w:after="0" w:line="32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Market Data Revenue Allocation.</w:t>
      </w:r>
    </w:p>
    <w:p>
      <w:pPr>
        <w:spacing w:after="0" w:line="121" w:lineRule="exact"/>
        <w:rPr>
          <w:rFonts w:ascii="Times New Roman" w:cs="Times New Roman" w:eastAsia="Times New Roman" w:hAnsi="Times New Roman"/>
          <w:sz w:val="18"/>
          <w:szCs w:val="18"/>
          <w:color w:val="auto"/>
        </w:rPr>
      </w:pPr>
    </w:p>
    <w:p>
      <w:pPr>
        <w:ind w:left="444" w:right="260" w:hanging="4"/>
        <w:spacing w:after="0" w:line="261" w:lineRule="auto"/>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(1) revenue from fees for transaction data and other market data relating solely to Digital Currency Contracts that is made available by IFUS or any of its affiliates to subscribers on a stand-alone basis (“</w:t>
      </w:r>
      <w:r>
        <w:rPr>
          <w:rFonts w:ascii="Times New Roman" w:cs="Times New Roman" w:eastAsia="Times New Roman" w:hAnsi="Times New Roman"/>
          <w:sz w:val="18"/>
          <w:szCs w:val="18"/>
          <w:b w:val="1"/>
          <w:bCs w:val="1"/>
          <w:color w:val="auto"/>
        </w:rPr>
        <w:t>Stand-Alone Digital Currency Data Revenue</w:t>
      </w:r>
      <w:r>
        <w:rPr>
          <w:rFonts w:ascii="Times New Roman" w:cs="Times New Roman" w:eastAsia="Times New Roman" w:hAnsi="Times New Roman"/>
          <w:sz w:val="18"/>
          <w:szCs w:val="18"/>
          <w:color w:val="auto"/>
        </w:rPr>
        <w:t>”) and</w:t>
      </w:r>
    </w:p>
    <w:p>
      <w:pPr>
        <w:ind w:left="4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revenue from fees for transaction data and other market data in connection with data feeds or offerings that make available data relating to both Digital Currency Contracts and other IFUS products (“</w:t>
      </w:r>
      <w:r>
        <w:rPr>
          <w:rFonts w:ascii="Times New Roman" w:cs="Times New Roman" w:eastAsia="Times New Roman" w:hAnsi="Times New Roman"/>
          <w:sz w:val="18"/>
          <w:szCs w:val="18"/>
          <w:b w:val="1"/>
          <w:bCs w:val="1"/>
          <w:color w:val="auto"/>
        </w:rPr>
        <w:t>Combined Feeds</w:t>
      </w:r>
      <w:r>
        <w:rPr>
          <w:rFonts w:ascii="Times New Roman" w:cs="Times New Roman" w:eastAsia="Times New Roman" w:hAnsi="Times New Roman"/>
          <w:sz w:val="18"/>
          <w:szCs w:val="18"/>
          <w:color w:val="auto"/>
        </w:rPr>
        <w:t>”), solely to the extent such revenue from Combined Feeds is demonstrably attributable to Warehouse (“</w:t>
      </w:r>
      <w:r>
        <w:rPr>
          <w:rFonts w:ascii="Times New Roman" w:cs="Times New Roman" w:eastAsia="Times New Roman" w:hAnsi="Times New Roman"/>
          <w:sz w:val="18"/>
          <w:szCs w:val="18"/>
          <w:b w:val="1"/>
          <w:bCs w:val="1"/>
          <w:color w:val="auto"/>
        </w:rPr>
        <w:t>Warehouse Combined Data Revenue</w:t>
      </w:r>
      <w:r>
        <w:rPr>
          <w:rFonts w:ascii="Times New Roman" w:cs="Times New Roman" w:eastAsia="Times New Roman" w:hAnsi="Times New Roman"/>
          <w:sz w:val="18"/>
          <w:szCs w:val="18"/>
          <w:color w:val="auto"/>
        </w:rPr>
        <w:t>”), shall be equally shared between IFUS and</w:t>
      </w:r>
    </w:p>
    <w:p>
      <w:pPr>
        <w:sectPr>
          <w:pgSz w:w="11900" w:h="16838" w:orient="portrait"/>
          <w:cols w:equalWidth="0" w:num="1">
            <w:col w:w="11004"/>
          </w:cols>
          <w:pgMar w:left="436" w:top="266" w:right="459" w:bottom="1440" w:gutter="0" w:footer="0" w:header="0"/>
        </w:sectPr>
      </w:pPr>
    </w:p>
    <w:bookmarkStart w:id="6" w:name="page7"/>
    <w:bookmarkEnd w:id="6"/>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Warehouse. Revenue from Combined Feeds that is not Warehouse Combined Data Revenue shall not be so shared and shall be considered to be for the account of IFUS. IFUS shall provide reasonable documentation to Warehouse of the amount of Stand-Alone Digital Currency Data Revenue and Warehouse Combined Data Revenue for each calendar quarter.</w:t>
      </w:r>
    </w:p>
    <w:p>
      <w:pPr>
        <w:spacing w:after="0" w:line="68" w:lineRule="exact"/>
        <w:rPr>
          <w:sz w:val="20"/>
          <w:szCs w:val="20"/>
          <w:color w:val="auto"/>
        </w:rPr>
      </w:pPr>
    </w:p>
    <w:p>
      <w:pPr>
        <w:jc w:val="both"/>
        <w:ind w:left="4" w:right="340" w:hanging="4"/>
        <w:spacing w:after="0" w:line="266" w:lineRule="auto"/>
        <w:tabs>
          <w:tab w:leader="none" w:pos="39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of the end of the calendar quarter (or such other date as the Parties may agree), IFUS shall pay (or cause to be paid) to Warehouse one-half of the Stand-Alone Digital Currency Data Revenue and Warehouse Combined Data Revenue, if any, for the preceding calendar quarter.</w:t>
      </w:r>
    </w:p>
    <w:sectPr>
      <w:pgSz w:w="11900" w:h="16838" w:orient="portrait"/>
      <w:cols w:equalWidth="0" w:num="1">
        <w:col w:w="10344"/>
      </w:cols>
      <w:pgMar w:left="876" w:top="27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lowerLetter"/>
      <w:start w:val="3"/>
    </w:lvl>
  </w:abstractNum>
  <w:abstractNum w:abstractNumId="3">
    <w:nsid w:val="46E87CCD"/>
    <w:multiLevelType w:val="hybridMultilevel"/>
    <w:lvl w:ilvl="0">
      <w:lvlJc w:val="left"/>
      <w:lvlText w:val="%1."/>
      <w:numFmt w:val="decimal"/>
      <w:start w:val="3"/>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2022-07-25T15:24:39Z</dcterms:created>
  <dcterms:modified xsi:type="dcterms:W3CDTF">2022-07-25T15:24:39Z</dcterms:modified>
</cp:coreProperties>
</file>