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7, 2024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AMENDMENT NO. 1 TO</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FORM S-3</w:t>
      </w:r>
    </w:p>
    <w:p>
      <w:pPr>
        <w:jc w:val="center"/>
        <w:ind w:right="-119"/>
        <w:spacing w:after="0" w:line="235"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Bakkt Holdings,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2" w:lineRule="exact"/>
        <w:rPr>
          <w:sz w:val="24"/>
          <w:szCs w:val="24"/>
          <w:color w:val="auto"/>
        </w:rPr>
      </w:pPr>
    </w:p>
    <w:tbl>
      <w:tblPr>
        <w:tblLayout w:type="fixed"/>
        <w:tblInd w:w="1960" w:type="dxa"/>
        <w:tblCellMar>
          <w:top w:w="0" w:type="dxa"/>
          <w:left w:w="0" w:type="dxa"/>
          <w:bottom w:w="0" w:type="dxa"/>
          <w:right w:w="0" w:type="dxa"/>
        </w:tblCellMar>
      </w:tblPr>
      <w:tr>
        <w:trPr>
          <w:trHeight w:val="172"/>
        </w:trPr>
        <w:tc>
          <w:tcPr>
            <w:tcW w:w="3840" w:type="dxa"/>
            <w:vAlign w:val="bottom"/>
          </w:tcPr>
          <w:p>
            <w:pPr>
              <w:jc w:val="center"/>
              <w:ind w:right="1907"/>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380" w:type="dxa"/>
            <w:vAlign w:val="bottom"/>
          </w:tcPr>
          <w:p>
            <w:pPr>
              <w:jc w:val="center"/>
              <w:ind w:left="1847"/>
              <w:spacing w:after="0"/>
              <w:rPr>
                <w:sz w:val="20"/>
                <w:szCs w:val="20"/>
                <w:color w:val="auto"/>
              </w:rPr>
            </w:pPr>
            <w:r>
              <w:rPr>
                <w:rFonts w:ascii="Times New Roman" w:cs="Times New Roman" w:eastAsia="Times New Roman" w:hAnsi="Times New Roman"/>
                <w:sz w:val="15"/>
                <w:szCs w:val="15"/>
                <w:b w:val="1"/>
                <w:bCs w:val="1"/>
                <w:color w:val="auto"/>
              </w:rPr>
              <w:t>98-1550750</w:t>
            </w:r>
          </w:p>
        </w:tc>
      </w:tr>
      <w:tr>
        <w:trPr>
          <w:trHeight w:val="148"/>
        </w:trPr>
        <w:tc>
          <w:tcPr>
            <w:tcW w:w="3840" w:type="dxa"/>
            <w:vAlign w:val="bottom"/>
          </w:tcPr>
          <w:p>
            <w:pPr>
              <w:jc w:val="center"/>
              <w:ind w:right="192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jc w:val="center"/>
        <w:ind w:right="-119"/>
        <w:spacing w:after="0" w:line="237" w:lineRule="auto"/>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18" w:lineRule="auto"/>
        <w:rPr>
          <w:sz w:val="20"/>
          <w:szCs w:val="20"/>
          <w:color w:val="auto"/>
        </w:rPr>
      </w:pPr>
      <w:r>
        <w:rPr>
          <w:rFonts w:ascii="Times New Roman" w:cs="Times New Roman" w:eastAsia="Times New Roman" w:hAnsi="Times New Roman"/>
          <w:sz w:val="15"/>
          <w:szCs w:val="15"/>
          <w:b w:val="1"/>
          <w:bCs w:val="1"/>
          <w:color w:val="auto"/>
        </w:rPr>
        <w:t>(678) 534-5849</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Gavin Michael</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10000 Avalon Boulevard, Suite 1000</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Alpharetta, Georgia 30009</w:t>
      </w:r>
    </w:p>
    <w:p>
      <w:pPr>
        <w:jc w:val="center"/>
        <w:ind w:right="-119"/>
        <w:spacing w:after="0" w:line="218" w:lineRule="auto"/>
        <w:rPr>
          <w:sz w:val="20"/>
          <w:szCs w:val="20"/>
          <w:color w:val="auto"/>
        </w:rPr>
      </w:pPr>
      <w:r>
        <w:rPr>
          <w:rFonts w:ascii="Times New Roman" w:cs="Times New Roman" w:eastAsia="Times New Roman" w:hAnsi="Times New Roman"/>
          <w:sz w:val="15"/>
          <w:szCs w:val="15"/>
          <w:b w:val="1"/>
          <w:bCs w:val="1"/>
          <w:color w:val="auto"/>
        </w:rPr>
        <w:t>(678) 534-5849</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tbl>
      <w:tblPr>
        <w:tblLayout w:type="fixed"/>
        <w:tblInd w:w="1760" w:type="dxa"/>
        <w:tblCellMar>
          <w:top w:w="0" w:type="dxa"/>
          <w:left w:w="0" w:type="dxa"/>
          <w:bottom w:w="0" w:type="dxa"/>
          <w:right w:w="0" w:type="dxa"/>
        </w:tblCellMar>
      </w:tblPr>
      <w:tr>
        <w:trPr>
          <w:trHeight w:val="202"/>
        </w:trPr>
        <w:tc>
          <w:tcPr>
            <w:tcW w:w="2920" w:type="dxa"/>
            <w:vAlign w:val="bottom"/>
          </w:tcPr>
          <w:p>
            <w:pPr>
              <w:spacing w:after="0"/>
              <w:rPr>
                <w:sz w:val="17"/>
                <w:szCs w:val="17"/>
                <w:color w:val="auto"/>
              </w:rPr>
            </w:pPr>
          </w:p>
        </w:tc>
        <w:tc>
          <w:tcPr>
            <w:tcW w:w="4940" w:type="dxa"/>
            <w:vAlign w:val="bottom"/>
          </w:tcPr>
          <w:p>
            <w:pPr>
              <w:ind w:left="620"/>
              <w:spacing w:after="0"/>
              <w:rPr>
                <w:sz w:val="20"/>
                <w:szCs w:val="20"/>
                <w:color w:val="auto"/>
              </w:rPr>
            </w:pPr>
            <w:r>
              <w:rPr>
                <w:rFonts w:ascii="Times New Roman" w:cs="Times New Roman" w:eastAsia="Times New Roman" w:hAnsi="Times New Roman"/>
                <w:sz w:val="15"/>
                <w:szCs w:val="15"/>
                <w:b w:val="1"/>
                <w:bCs w:val="1"/>
                <w:i w:val="1"/>
                <w:iCs w:val="1"/>
                <w:color w:val="auto"/>
              </w:rPr>
              <w:t>Copies to:</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J. Matthew Lyons</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Marc D’Annunzio</w:t>
            </w: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D. March</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General Counsel</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Wilson Sonsini Goodrich &amp; Rosati,</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10000 Avalon Boulevard, Suite 1000</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Professional Corporation</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Alpharetta, Georgia 30009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900 S. Capital of Texas Highway</w:t>
            </w:r>
          </w:p>
        </w:tc>
        <w:tc>
          <w:tcPr>
            <w:tcW w:w="4940" w:type="dxa"/>
            <w:vAlign w:val="bottom"/>
          </w:tcPr>
          <w:p>
            <w:pPr>
              <w:jc w:val="center"/>
              <w:ind w:left="2544"/>
              <w:spacing w:after="0" w:line="162" w:lineRule="exact"/>
              <w:rPr>
                <w:sz w:val="20"/>
                <w:szCs w:val="20"/>
                <w:color w:val="auto"/>
              </w:rPr>
            </w:pPr>
            <w:r>
              <w:rPr>
                <w:rFonts w:ascii="Times New Roman" w:cs="Times New Roman" w:eastAsia="Times New Roman" w:hAnsi="Times New Roman"/>
                <w:sz w:val="15"/>
                <w:szCs w:val="15"/>
                <w:b w:val="1"/>
                <w:bCs w:val="1"/>
                <w:color w:val="auto"/>
              </w:rPr>
              <w:t>(678) 534-5849</w:t>
            </w:r>
          </w:p>
        </w:tc>
      </w:tr>
      <w:tr>
        <w:trPr>
          <w:trHeight w:val="162"/>
        </w:trPr>
        <w:tc>
          <w:tcPr>
            <w:tcW w:w="2920" w:type="dxa"/>
            <w:vAlign w:val="bottom"/>
          </w:tcPr>
          <w:p>
            <w:pPr>
              <w:jc w:val="center"/>
              <w:ind w:right="564"/>
              <w:spacing w:after="0" w:line="162" w:lineRule="exact"/>
              <w:rPr>
                <w:sz w:val="20"/>
                <w:szCs w:val="20"/>
                <w:color w:val="auto"/>
              </w:rPr>
            </w:pPr>
            <w:r>
              <w:rPr>
                <w:rFonts w:ascii="Times New Roman" w:cs="Times New Roman" w:eastAsia="Times New Roman" w:hAnsi="Times New Roman"/>
                <w:sz w:val="15"/>
                <w:szCs w:val="15"/>
                <w:b w:val="1"/>
                <w:bCs w:val="1"/>
                <w:color w:val="auto"/>
              </w:rPr>
              <w:t>Las Cimas IV, 5th Floor</w:t>
            </w:r>
          </w:p>
        </w:tc>
        <w:tc>
          <w:tcPr>
            <w:tcW w:w="4940" w:type="dxa"/>
            <w:vAlign w:val="bottom"/>
          </w:tcPr>
          <w:p>
            <w:pPr>
              <w:spacing w:after="0"/>
              <w:rPr>
                <w:sz w:val="14"/>
                <w:szCs w:val="14"/>
                <w:color w:val="auto"/>
              </w:rPr>
            </w:pPr>
          </w:p>
        </w:tc>
      </w:tr>
      <w:tr>
        <w:trPr>
          <w:trHeight w:val="162"/>
        </w:trPr>
        <w:tc>
          <w:tcPr>
            <w:tcW w:w="2920" w:type="dxa"/>
            <w:vAlign w:val="bottom"/>
          </w:tcPr>
          <w:p>
            <w:pPr>
              <w:jc w:val="center"/>
              <w:ind w:right="584"/>
              <w:spacing w:after="0" w:line="162" w:lineRule="exact"/>
              <w:rPr>
                <w:sz w:val="20"/>
                <w:szCs w:val="20"/>
                <w:color w:val="auto"/>
              </w:rPr>
            </w:pPr>
            <w:r>
              <w:rPr>
                <w:rFonts w:ascii="Times New Roman" w:cs="Times New Roman" w:eastAsia="Times New Roman" w:hAnsi="Times New Roman"/>
                <w:sz w:val="15"/>
                <w:szCs w:val="15"/>
                <w:b w:val="1"/>
                <w:bCs w:val="1"/>
                <w:color w:val="auto"/>
              </w:rPr>
              <w:t>Austin, TX 78746</w:t>
            </w:r>
          </w:p>
        </w:tc>
        <w:tc>
          <w:tcPr>
            <w:tcW w:w="4940" w:type="dxa"/>
            <w:vAlign w:val="bottom"/>
          </w:tcPr>
          <w:p>
            <w:pPr>
              <w:spacing w:after="0"/>
              <w:rPr>
                <w:sz w:val="14"/>
                <w:szCs w:val="14"/>
                <w:color w:val="auto"/>
              </w:rPr>
            </w:pPr>
          </w:p>
        </w:tc>
      </w:tr>
      <w:tr>
        <w:trPr>
          <w:trHeight w:val="202"/>
        </w:trPr>
        <w:tc>
          <w:tcPr>
            <w:tcW w:w="292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(512) 338-5400</w:t>
            </w:r>
          </w:p>
        </w:tc>
        <w:tc>
          <w:tcPr>
            <w:tcW w:w="49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99695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From time to time after the effective date of this registration statement.</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(Approximate date of commencement of proposed sale to the public)</w:t>
      </w:r>
    </w:p>
    <w:p>
      <w:pPr>
        <w:spacing w:after="0" w:line="10" w:lineRule="exact"/>
        <w:rPr>
          <w:sz w:val="24"/>
          <w:szCs w:val="24"/>
          <w:color w:val="auto"/>
        </w:rPr>
      </w:pP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68" w:lineRule="exact"/>
        <w:rPr>
          <w:sz w:val="24"/>
          <w:szCs w:val="24"/>
          <w:color w:val="auto"/>
        </w:rPr>
      </w:pPr>
    </w:p>
    <w:p>
      <w:pPr>
        <w:ind w:left="120" w:right="100"/>
        <w:spacing w:after="0" w:line="194"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40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16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360"/>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58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ind w:left="1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ind w:left="120"/>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120" w:type="dxa"/>
        <w:tblCellMar>
          <w:top w:w="0" w:type="dxa"/>
          <w:left w:w="0" w:type="dxa"/>
          <w:bottom w:w="0" w:type="dxa"/>
          <w:right w:w="0" w:type="dxa"/>
        </w:tblCellMar>
      </w:tblP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Accelerated filer</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5160" w:type="dxa"/>
            <w:vAlign w:val="bottom"/>
          </w:tcPr>
          <w:p>
            <w:pPr>
              <w:ind w:left="3120"/>
              <w:spacing w:after="0"/>
              <w:rPr>
                <w:sz w:val="20"/>
                <w:szCs w:val="20"/>
                <w:color w:val="auto"/>
              </w:rPr>
            </w:pPr>
            <w:r>
              <w:rPr>
                <w:rFonts w:ascii="Times New Roman" w:cs="Times New Roman" w:eastAsia="Times New Roman" w:hAnsi="Times New Roman"/>
                <w:sz w:val="15"/>
                <w:szCs w:val="15"/>
                <w:color w:val="auto"/>
              </w:rPr>
              <w:t>Emerging growth company</w:t>
            </w:r>
          </w:p>
        </w:tc>
        <w:tc>
          <w:tcPr>
            <w:tcW w:w="520" w:type="dxa"/>
            <w:vAlign w:val="bottom"/>
          </w:tcPr>
          <w:p>
            <w:pPr>
              <w:ind w:left="380"/>
              <w:spacing w:after="0" w:line="151" w:lineRule="exact"/>
              <w:rPr>
                <w:sz w:val="20"/>
                <w:szCs w:val="20"/>
                <w:color w:val="auto"/>
              </w:rPr>
            </w:pPr>
            <w:r>
              <w:rPr>
                <w:rFonts w:ascii="MS PGothic" w:cs="MS PGothic" w:eastAsia="MS PGothic" w:hAnsi="MS PGothic"/>
                <w:sz w:val="15"/>
                <w:szCs w:val="15"/>
                <w:color w:val="auto"/>
                <w:w w:val="79"/>
              </w:rPr>
              <w:t>☒</w:t>
            </w:r>
          </w:p>
        </w:tc>
      </w:tr>
    </w:tbl>
    <w:p>
      <w:pPr>
        <w:ind w:left="120" w:right="400"/>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2" w:lineRule="exact"/>
        <w:rPr>
          <w:sz w:val="24"/>
          <w:szCs w:val="24"/>
          <w:color w:val="auto"/>
        </w:rPr>
      </w:pPr>
    </w:p>
    <w:p>
      <w:pPr>
        <w:jc w:val="both"/>
        <w:ind w:left="120" w:right="34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7,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173990</wp:posOffset>
            </wp:positionV>
            <wp:extent cx="90868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$150,000,000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$150,000,000.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Class A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6 of this prospectus and “</w:t>
      </w:r>
      <w:r>
        <w:rPr>
          <w:rFonts w:ascii="Times New Roman" w:cs="Times New Roman" w:eastAsia="Times New Roman" w:hAnsi="Times New Roman"/>
          <w:sz w:val="22"/>
          <w:szCs w:val="22"/>
          <w:b w:val="1"/>
          <w:bCs w:val="1"/>
          <w:i w:val="1"/>
          <w:iCs w:val="1"/>
          <w:color w:val="auto"/>
        </w:rPr>
        <w:t>Item 1A – Risk Factors</w:t>
      </w:r>
      <w:r>
        <w:rPr>
          <w:rFonts w:ascii="Times New Roman" w:cs="Times New Roman" w:eastAsia="Times New Roman" w:hAnsi="Times New Roman"/>
          <w:sz w:val="22"/>
          <w:szCs w:val="22"/>
          <w:b w:val="1"/>
          <w:bCs w:val="1"/>
          <w:color w:val="auto"/>
        </w:rPr>
        <w:t>” of our most recent Annual Report on Form 10-K and any Quarterly Report on Form 10-Q filed subsequently to such Form 10-K that is incorporated by reference in this prospectus before you invest in our securities.</w:t>
      </w:r>
    </w:p>
    <w:p>
      <w:pPr>
        <w:spacing w:after="0" w:line="183"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6"/>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0000EE"/>
            </w:tcBorders>
            <w:gridSpan w:val="8"/>
            <w:vMerge w:val="continue"/>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98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3" w:lineRule="exact"/>
        <w:rPr>
          <w:sz w:val="20"/>
          <w:szCs w:val="20"/>
          <w:color w:val="auto"/>
        </w:rPr>
      </w:pPr>
    </w:p>
    <w:p>
      <w:pPr>
        <w:ind w:left="1240" w:right="24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Custody</w:t>
      </w:r>
      <w:r>
        <w:rPr>
          <w:rFonts w:ascii="Times New Roman" w:cs="Times New Roman" w:eastAsia="Times New Roman" w:hAnsi="Times New Roman"/>
          <w:sz w:val="18"/>
          <w:szCs w:val="18"/>
          <w:color w:val="auto"/>
        </w:rPr>
        <w:t>. Our institutional-grade qualified custody solution caters to more experienced market participants, offering a highly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compliance-focused infrastructure. It also supports our consumer crypto infrastructure.</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Trading</w:t>
      </w:r>
      <w:r>
        <w:rPr>
          <w:rFonts w:ascii="Times New Roman" w:cs="Times New Roman" w:eastAsia="Times New Roman" w:hAnsi="Times New Roman"/>
          <w:sz w:val="18"/>
          <w:szCs w:val="18"/>
          <w:color w:val="auto"/>
        </w:rPr>
        <w:t>. Our platform provides consumers, businesses and institutions with the ability to buy, sell and store crypto in a simple,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intuitive digital experience accessed via APIs or embedded web experience.</w:t>
      </w:r>
    </w:p>
    <w:p>
      <w:pPr>
        <w:spacing w:after="0" w:line="63" w:lineRule="exact"/>
        <w:rPr>
          <w:rFonts w:ascii="Times New Roman" w:cs="Times New Roman" w:eastAsia="Times New Roman" w:hAnsi="Times New Roman"/>
          <w:sz w:val="18"/>
          <w:szCs w:val="18"/>
          <w:color w:val="auto"/>
        </w:rPr>
      </w:pPr>
    </w:p>
    <w:p>
      <w:pPr>
        <w:ind w:left="1240" w:right="300" w:hanging="415"/>
        <w:spacing w:after="0" w:line="284"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Crypto Rewards</w:t>
      </w:r>
      <w:r>
        <w:rPr>
          <w:rFonts w:ascii="Times New Roman" w:cs="Times New Roman" w:eastAsia="Times New Roman" w:hAnsi="Times New Roman"/>
          <w:sz w:val="18"/>
          <w:szCs w:val="18"/>
          <w:color w:val="auto"/>
        </w:rPr>
        <w:t>. We are in the process of enabling clients of all sizes to offer loyalty and rewards to their customers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crypto – either by earning crypto rewards, or by redeeming existing reward currencies, such as points or miles, into crypto.</w:t>
      </w:r>
    </w:p>
    <w:p>
      <w:pPr>
        <w:spacing w:after="0" w:line="2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of Bakkt Crypto</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8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together with Apex Crypto, the “Seller Parties”), pursuant to the terms of a Membership Interest Purchase Agreement (as amended, the “Purchase Agreement”), dated as of November 2, 2022, by and among the Bakkt 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w:t>
      </w:r>
    </w:p>
    <w:p>
      <w:pPr>
        <w:spacing w:after="0" w:line="18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2"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w:t>
      </w:r>
    </w:p>
    <w:p>
      <w:pPr>
        <w:spacing w:after="0" w:line="192"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our Amended Form 10-Q, filed on February 7,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still in the early stages of its release and is largely untested.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additional functionalities and crypto assets to our platform may adversely affect future growth.</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67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continue as a going concern.</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and third-party custodians,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redemptions or withdrawals, or a suspension of redemptions or withdrawals, of crypto assets could adversely impact our business.</w:t>
      </w:r>
    </w:p>
    <w:p>
      <w:pPr>
        <w:spacing w:after="0" w:line="6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5"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 including our acquisition of Bakkt Crypto – and integration of these acquisitions may disrupt our business and management.</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Crypto</w:t>
      </w:r>
    </w:p>
    <w:p>
      <w:pPr>
        <w:spacing w:after="0" w:line="133"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general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crypto custodial solutions and related technology, which may experience theft, employee or vendor sabotage, security and cybersecurity risks, system failures and other operational issues which could damage our reputation and brand.</w:t>
      </w:r>
    </w:p>
    <w:p>
      <w:pPr>
        <w:spacing w:after="0" w:line="67" w:lineRule="exact"/>
        <w:rPr>
          <w:rFonts w:ascii="Times New Roman" w:cs="Times New Roman" w:eastAsia="Times New Roman" w:hAnsi="Times New Roman"/>
          <w:sz w:val="18"/>
          <w:szCs w:val="18"/>
          <w:color w:val="auto"/>
        </w:rPr>
      </w:pPr>
    </w:p>
    <w:p>
      <w:pPr>
        <w:ind w:left="1240" w:right="4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440" w:hanging="415"/>
        <w:spacing w:after="0" w:line="312"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45" w:lineRule="exact"/>
        <w:rPr>
          <w:rFonts w:ascii="Times New Roman" w:cs="Times New Roman" w:eastAsia="Times New Roman" w:hAnsi="Times New Roman"/>
          <w:sz w:val="17"/>
          <w:szCs w:val="17"/>
          <w:color w:val="auto"/>
        </w:rPr>
      </w:pPr>
    </w:p>
    <w:p>
      <w:pPr>
        <w:ind w:left="12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320" w:top="455"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96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1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40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240" w:right="22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$150,000,000.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8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2818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Bakkt Crypto Acquisition;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NYSE; and</w:t>
      </w:r>
    </w:p>
    <w:p>
      <w:pPr>
        <w:spacing w:after="0" w:line="128" w:lineRule="exact"/>
        <w:rPr>
          <w:rFonts w:ascii="Times New Roman" w:cs="Times New Roman" w:eastAsia="Times New Roman" w:hAnsi="Times New Roman"/>
          <w:sz w:val="18"/>
          <w:szCs w:val="18"/>
          <w:color w:val="auto"/>
        </w:rPr>
      </w:pPr>
    </w:p>
    <w:p>
      <w:pPr>
        <w:ind w:left="1080" w:right="160" w:hanging="424"/>
        <w:spacing w:after="0" w:line="284"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4.7 to our Annual Report on Form 10-K for the fiscal year ended December 31, 2022, filed with the SEC on March 24, 2023.</w:t>
      </w:r>
    </w:p>
    <w:p>
      <w:pPr>
        <w:spacing w:after="0" w:line="3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Securities Exchange Act of 1934, as amended (the “Exchange Act”), which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8"/>
          <w:szCs w:val="18"/>
          <w:i w:val="1"/>
          <w:iCs w:val="1"/>
          <w:color w:val="auto"/>
        </w:rPr>
        <w:t>Global Debt Securities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Book-Entry System</w:t>
      </w:r>
      <w:r>
        <w:rPr>
          <w:rFonts w:ascii="Times New Roman" w:cs="Times New Roman" w:eastAsia="Times New Roman" w:hAnsi="Times New Roman"/>
          <w:sz w:val="18"/>
          <w:szCs w:val="18"/>
          <w:color w:val="auto"/>
        </w:rPr>
        <w:t>” below, book-entry debt securities will not be issuable in certificated form.</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payment is deposited by us with the trustee or with a paying agent prior to the expiration of the 30-day period);</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5" w:lineRule="exact"/>
        <w:rPr>
          <w:sz w:val="20"/>
          <w:szCs w:val="20"/>
          <w:color w:val="auto"/>
        </w:rPr>
      </w:pPr>
    </w:p>
    <w:p>
      <w:pPr>
        <w:ind w:left="1080" w:right="160" w:hanging="424"/>
        <w:spacing w:after="0" w:line="267"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4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Class A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Class A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Class A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5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of VPC Impact Acquisition Holdings as of October 14, 2021 and December 31, 2020 and for the period from January 1,</w:t>
      </w:r>
    </w:p>
    <w:p>
      <w:pPr>
        <w:spacing w:after="0" w:line="27" w:lineRule="exact"/>
        <w:rPr>
          <w:sz w:val="20"/>
          <w:szCs w:val="20"/>
          <w:color w:val="auto"/>
        </w:rPr>
      </w:pPr>
    </w:p>
    <w:p>
      <w:pPr>
        <w:ind w:left="120" w:right="400"/>
        <w:spacing w:after="0" w:line="253" w:lineRule="auto"/>
        <w:rPr>
          <w:sz w:val="20"/>
          <w:szCs w:val="20"/>
          <w:color w:val="auto"/>
        </w:rPr>
      </w:pPr>
      <w:r>
        <w:rPr>
          <w:rFonts w:ascii="Times New Roman" w:cs="Times New Roman" w:eastAsia="Times New Roman" w:hAnsi="Times New Roman"/>
          <w:sz w:val="18"/>
          <w:szCs w:val="18"/>
          <w:color w:val="auto"/>
        </w:rPr>
        <w:t>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0">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March 24, 2023 (our “Annual Report”);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1">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xml:space="preserve">, filed with the SEC on April 24, 2023, that are incorporated by reference into our </w:t>
      </w:r>
      <w:hyperlink r:id="rId52">
        <w:r>
          <w:rPr>
            <w:rFonts w:ascii="Times New Roman" w:cs="Times New Roman" w:eastAsia="Times New Roman" w:hAnsi="Times New Roman"/>
            <w:sz w:val="18"/>
            <w:szCs w:val="18"/>
            <w:u w:val="single" w:color="auto"/>
            <w:color w:val="0000EE"/>
          </w:rPr>
          <w:t>Annual Report</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000000"/>
        </w:rPr>
      </w:pPr>
      <w:hyperlink r:id="rId53">
        <w:r>
          <w:rPr>
            <w:rFonts w:ascii="Times New Roman" w:cs="Times New Roman" w:eastAsia="Times New Roman" w:hAnsi="Times New Roman"/>
            <w:sz w:val="18"/>
            <w:szCs w:val="18"/>
            <w:color w:val="auto"/>
          </w:rPr>
          <w:t xml:space="preserve">our Quarterly Reports on Form 10-Q for the quarterly periods ended March 31, 2023 and June 30, 2023, filed with the SEC on </w:t>
        </w:r>
        <w:r>
          <w:rPr>
            <w:rFonts w:ascii="Times New Roman" w:cs="Times New Roman" w:eastAsia="Times New Roman" w:hAnsi="Times New Roman"/>
            <w:sz w:val="18"/>
            <w:szCs w:val="18"/>
            <w:u w:val="single" w:color="auto"/>
            <w:color w:val="0000EE"/>
          </w:rPr>
          <w:t>May 11,</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August 10, 2023</w:t>
        </w:r>
      </w:hyperlink>
      <w:hyperlink r:id="rId53">
        <w:r>
          <w:rPr>
            <w:rFonts w:ascii="Times New Roman" w:cs="Times New Roman" w:eastAsia="Times New Roman" w:hAnsi="Times New Roman"/>
            <w:sz w:val="18"/>
            <w:szCs w:val="18"/>
            <w:color w:val="000000"/>
          </w:rPr>
          <w:t xml:space="preserve">, respectively, and our Quarterly Report on Form 10-Q for the quarterly period ended September 30, 2023, </w:t>
        </w:r>
      </w:hyperlink>
      <w:r>
        <w:rPr>
          <w:rFonts w:ascii="Times New Roman" w:cs="Times New Roman" w:eastAsia="Times New Roman" w:hAnsi="Times New Roman"/>
          <w:sz w:val="18"/>
          <w:szCs w:val="18"/>
          <w:color w:val="0000EE"/>
        </w:rPr>
        <w:t xml:space="preserve">filed </w:t>
      </w:r>
      <w:r>
        <w:rPr>
          <w:rFonts w:ascii="Times New Roman" w:cs="Times New Roman" w:eastAsia="Times New Roman" w:hAnsi="Times New Roman"/>
          <w:sz w:val="18"/>
          <w:szCs w:val="18"/>
          <w:color w:val="000000"/>
        </w:rPr>
        <w:t xml:space="preserve">with the SEC on </w:t>
      </w:r>
      <w:hyperlink r:id="rId55">
        <w:r>
          <w:rPr>
            <w:rFonts w:ascii="Times New Roman" w:cs="Times New Roman" w:eastAsia="Times New Roman" w:hAnsi="Times New Roman"/>
            <w:sz w:val="18"/>
            <w:szCs w:val="18"/>
            <w:u w:val="single" w:color="auto"/>
            <w:color w:val="0000EE"/>
          </w:rPr>
          <w:t>November 14, 2023</w:t>
        </w:r>
      </w:hyperlink>
      <w:r>
        <w:rPr>
          <w:rFonts w:ascii="Times New Roman" w:cs="Times New Roman" w:eastAsia="Times New Roman" w:hAnsi="Times New Roman"/>
          <w:sz w:val="18"/>
          <w:szCs w:val="18"/>
          <w:color w:val="000000"/>
        </w:rPr>
        <w:t xml:space="preserve">, as amended by our Quarterly Report on </w:t>
      </w:r>
      <w:hyperlink r:id="rId56">
        <w:r>
          <w:rPr>
            <w:rFonts w:ascii="Times New Roman" w:cs="Times New Roman" w:eastAsia="Times New Roman" w:hAnsi="Times New Roman"/>
            <w:sz w:val="18"/>
            <w:szCs w:val="18"/>
            <w:u w:val="single" w:color="auto"/>
            <w:color w:val="0000EE"/>
          </w:rPr>
          <w:t>Form 10-Q/A</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filed with the SEC on February 7, 2024;</w:t>
      </w:r>
    </w:p>
    <w:p>
      <w:pPr>
        <w:spacing w:after="0" w:line="81" w:lineRule="exact"/>
        <w:rPr>
          <w:rFonts w:ascii="Times New Roman" w:cs="Times New Roman" w:eastAsia="Times New Roman" w:hAnsi="Times New Roman"/>
          <w:sz w:val="18"/>
          <w:szCs w:val="18"/>
          <w:color w:val="000000"/>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7">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April 3, 2023</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April 19,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June 9,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Form 8-K/A filed with the SEC on </w:t>
      </w:r>
      <w:hyperlink r:id="rId61">
        <w:r>
          <w:rPr>
            <w:rFonts w:ascii="Times New Roman" w:cs="Times New Roman" w:eastAsia="Times New Roman" w:hAnsi="Times New Roman"/>
            <w:sz w:val="18"/>
            <w:szCs w:val="18"/>
            <w:u w:val="single" w:color="auto"/>
            <w:color w:val="0000EE"/>
          </w:rPr>
          <w:t>April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April 18, 2023</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Form 8-A relating thereto, filed on </w:t>
      </w:r>
      <w:hyperlink r:id="rId63">
        <w:r>
          <w:rPr>
            <w:rFonts w:ascii="Times New Roman" w:cs="Times New Roman" w:eastAsia="Times New Roman" w:hAnsi="Times New Roman"/>
            <w:sz w:val="18"/>
            <w:szCs w:val="18"/>
            <w:u w:val="single" w:color="auto"/>
            <w:color w:val="0000EE"/>
          </w:rPr>
          <w:t>October 15, 2021</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4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3"/>
        </w:trPr>
        <w:tc>
          <w:tcPr>
            <w:tcW w:w="4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 be Paid</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$ 17,839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$ 23,000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2500" w:type="dxa"/>
            <w:vAlign w:val="bottom"/>
            <w:gridSpan w:val="3"/>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5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$ 40,839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27"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paid $12,673 in connection with prior filings of this Registration Statement.</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the Board.</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0" w:type="dxa"/>
            <w:vAlign w:val="bottom"/>
            <w:gridSpan w:val="9"/>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0" w:type="dxa"/>
            <w:vAlign w:val="bottom"/>
            <w:gridSpan w:val="9"/>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60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Agreement and Plan of Merger, dated January 11, 2021, by and among the Company, Merger Sub, and the Company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reference to Exhibit 2.1 to the Company’s Form 8-K filed with the SEC on January 11, 2021).</w:t>
              </w:r>
            </w:hyperlink>
          </w:p>
        </w:tc>
        <w:tc>
          <w:tcPr>
            <w:tcW w:w="2860" w:type="dxa"/>
            <w:vAlign w:val="bottom"/>
            <w:tcBorders>
              <w:top w:val="single" w:sz="8" w:color="0000EE"/>
            </w:tcBorders>
            <w:gridSpan w:val="4"/>
          </w:tcPr>
          <w:p>
            <w:pPr>
              <w:spacing w:after="0"/>
              <w:rPr>
                <w:sz w:val="17"/>
                <w:szCs w:val="17"/>
                <w:color w:val="auto"/>
              </w:rPr>
            </w:pPr>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2.2</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Amendment to Agreement and Plan of Merger, dated March 30,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(incorporated by reference to Exhibit 2.1 to the Company’s Form 8-K filed with the SEC on March 31, 2021).</w:t>
              </w:r>
            </w:hyperlink>
          </w:p>
        </w:tc>
        <w:tc>
          <w:tcPr>
            <w:tcW w:w="1460" w:type="dxa"/>
            <w:vAlign w:val="bottom"/>
            <w:tcBorders>
              <w:top w:val="single" w:sz="8" w:color="0000EE"/>
            </w:tcBorders>
            <w:gridSpan w:val="2"/>
          </w:tcPr>
          <w:p>
            <w:pPr>
              <w:spacing w:after="0"/>
              <w:rPr>
                <w:sz w:val="17"/>
                <w:szCs w:val="17"/>
                <w:color w:val="auto"/>
              </w:rPr>
            </w:pPr>
          </w:p>
        </w:tc>
        <w:tc>
          <w:tcPr>
            <w:tcW w:w="5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2.3</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Amendment to Agreement and Plan of Merger, dated September 29, 2021 by and among the Company, Merger Sub, and the Company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(incorporated by reference to Exhibit 2.1 to the Company’s Form 8-K filed with the SEC on September 30, 2021).</w:t>
              </w:r>
            </w:hyperlink>
          </w:p>
        </w:tc>
        <w:tc>
          <w:tcPr>
            <w:tcW w:w="1460" w:type="dxa"/>
            <w:vAlign w:val="bottom"/>
            <w:tcBorders>
              <w:top w:val="single" w:sz="8" w:color="0000EE"/>
            </w:tcBorders>
            <w:gridSpan w:val="3"/>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Certificate of Incorporation of the Company, as currently in effect (incorporated by reference to Exhibit 3.1 to the Company’s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filed with the SEC on October 21, 2021)</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00" w:type="dxa"/>
            <w:vAlign w:val="bottom"/>
          </w:tcPr>
          <w:p>
            <w:pPr>
              <w:spacing w:after="0"/>
              <w:rPr>
                <w:sz w:val="24"/>
                <w:szCs w:val="24"/>
                <w:color w:val="auto"/>
              </w:rPr>
            </w:pPr>
          </w:p>
        </w:tc>
        <w:tc>
          <w:tcPr>
            <w:tcW w:w="9920" w:type="dxa"/>
            <w:vAlign w:val="bottom"/>
            <w:gridSpan w:val="11"/>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By-Laws of the Company, as currently in effect (incorporated by reference to Exhibit 3.2 to the Company’s Form 8-K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on October 21, 2021)</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0" w:type="dxa"/>
            <w:vAlign w:val="bottom"/>
            <w:gridSpan w:val="16"/>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9800" w:type="dxa"/>
            <w:vAlign w:val="bottom"/>
            <w:gridSpan w:val="19"/>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Specimen Warrant Certificate of the Company (incorporated by reference to Exhibit 4.2 to the Company’s Form 8-K filed with the SEC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3">
              <w:r>
                <w:rPr>
                  <w:rFonts w:ascii="Times New Roman" w:cs="Times New Roman" w:eastAsia="Times New Roman" w:hAnsi="Times New Roman"/>
                  <w:sz w:val="18"/>
                  <w:szCs w:val="18"/>
                  <w:color w:val="0000EE"/>
                  <w:w w:val="98"/>
                </w:rPr>
                <w:t>on October 21, 2021)</w:t>
              </w:r>
            </w:hyperlink>
          </w:p>
        </w:tc>
        <w:tc>
          <w:tcPr>
            <w:tcW w:w="822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9800" w:type="dxa"/>
            <w:vAlign w:val="bottom"/>
            <w:gridSpan w:val="19"/>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Warrant Agreement, dated September 22, 2020, by and between the Company and Continental Stock Transfer &amp; Trust Company, as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warrant agent (incorporated by reference to Exhibit 4.1 of the Company’s Form 8-K filed with the SEC on September 28, 2020)</w:t>
              </w:r>
            </w:hyperlink>
          </w:p>
        </w:tc>
        <w:tc>
          <w:tcPr>
            <w:tcW w:w="320" w:type="dxa"/>
            <w:vAlign w:val="bottom"/>
            <w:tcBorders>
              <w:top w:val="single" w:sz="8" w:color="0000EE"/>
            </w:tcBorders>
            <w:gridSpan w:val="5"/>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9800" w:type="dxa"/>
            <w:vAlign w:val="bottom"/>
            <w:gridSpan w:val="19"/>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Third Amended and Restated Limited Liability Company Agreement, dated October 15, 2021, by and among Opco and the Opco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Equity Holders (incorporated by reference to Exhibit 4.3 to the Company’s Form 8-K filed with the SEC on October 21, 2021)</w:t>
              </w:r>
            </w:hyperlink>
          </w:p>
        </w:tc>
        <w:tc>
          <w:tcPr>
            <w:tcW w:w="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13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Form of Indenture</w:t>
              </w:r>
            </w:hyperlink>
          </w:p>
        </w:tc>
        <w:tc>
          <w:tcPr>
            <w:tcW w:w="7780" w:type="dxa"/>
            <w:vAlign w:val="bottom"/>
            <w:tcBorders>
              <w:top w:val="single" w:sz="8" w:color="0000EE"/>
            </w:tcBorders>
            <w:gridSpan w:val="10"/>
          </w:tcPr>
          <w:p>
            <w:pPr>
              <w:spacing w:after="0"/>
              <w:rPr>
                <w:sz w:val="24"/>
                <w:szCs w:val="24"/>
                <w:color w:val="auto"/>
              </w:rPr>
            </w:pPr>
          </w:p>
        </w:tc>
        <w:tc>
          <w:tcPr>
            <w:tcW w:w="7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4.6</w:t>
            </w:r>
          </w:p>
        </w:tc>
        <w:tc>
          <w:tcPr>
            <w:tcW w:w="9800" w:type="dxa"/>
            <w:vAlign w:val="bottom"/>
            <w:gridSpan w:val="19"/>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Registration Rights Agreement, dated as of April 1, 2023, by and between Bakkt Holdings, Inc. and Apex Fintech Solutions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(incorporated by reference to Exhibit 4.1 to the Company’s Form 8-K filed with the SEC on April 3, 2023)</w:t>
              </w:r>
            </w:hyperlink>
          </w:p>
        </w:tc>
        <w:tc>
          <w:tcPr>
            <w:tcW w:w="1560" w:type="dxa"/>
            <w:vAlign w:val="bottom"/>
            <w:tcBorders>
              <w:top w:val="single" w:sz="8" w:color="0000EE"/>
            </w:tcBorders>
            <w:gridSpan w:val="5"/>
          </w:tcPr>
          <w:p>
            <w:pPr>
              <w:spacing w:after="0"/>
              <w:rPr>
                <w:sz w:val="17"/>
                <w:szCs w:val="17"/>
                <w:color w:val="auto"/>
              </w:rPr>
            </w:pPr>
          </w:p>
        </w:tc>
        <w:tc>
          <w:tcPr>
            <w:tcW w:w="5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w:t>
            </w:r>
          </w:p>
        </w:tc>
        <w:tc>
          <w:tcPr>
            <w:tcW w:w="94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Amendment Agreement, dated as of August 9, 2023, by and among Bakkt Holdings, Inc., Apex Fintech Solutions Inc. and PEAK6</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Investments LLC (incorporated by reference to Exhibit 4.2 to the Company’s Form 10-Q filed with the SEC on August 10, 2023)</w:t>
              </w:r>
            </w:hyperlink>
          </w:p>
        </w:tc>
        <w:tc>
          <w:tcPr>
            <w:tcW w:w="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4.8*</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4.10*</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32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4.11*</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0" w:type="dxa"/>
            <w:vAlign w:val="bottom"/>
          </w:tcPr>
          <w:p>
            <w:pPr>
              <w:spacing w:after="0"/>
              <w:rPr>
                <w:sz w:val="1"/>
                <w:szCs w:val="1"/>
                <w:color w:val="auto"/>
              </w:rPr>
            </w:pPr>
          </w:p>
        </w:tc>
      </w:tr>
      <w:tr>
        <w:trPr>
          <w:trHeight w:val="28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9800" w:type="dxa"/>
            <w:vAlign w:val="bottom"/>
            <w:gridSpan w:val="19"/>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Opinion of Wilson Sonsini Goodrich &amp; Rosati, Professional Corporation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4"/>
                <w:szCs w:val="24"/>
                <w:color w:val="auto"/>
              </w:rPr>
            </w:pPr>
          </w:p>
        </w:tc>
        <w:tc>
          <w:tcPr>
            <w:tcW w:w="6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 of the Company</w:t>
            </w:r>
          </w:p>
        </w:tc>
        <w:tc>
          <w:tcPr>
            <w:tcW w:w="2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2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VPC Impact Acquisition Holdings</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20" w:type="dxa"/>
            <w:vAlign w:val="bottom"/>
          </w:tcPr>
          <w:p>
            <w:pPr>
              <w:spacing w:after="0"/>
              <w:rPr>
                <w:sz w:val="24"/>
                <w:szCs w:val="24"/>
                <w:color w:val="auto"/>
              </w:rPr>
            </w:pPr>
          </w:p>
        </w:tc>
        <w:tc>
          <w:tcPr>
            <w:tcW w:w="88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Consent of RSM US LLP, independent auditors of Bakkt Crypto Solutions, LLC (f/k/a Apex Crypto LLC)</w:t>
            </w:r>
          </w:p>
        </w:tc>
        <w:tc>
          <w:tcPr>
            <w:tcW w:w="9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23.4**</w:t>
            </w:r>
          </w:p>
        </w:tc>
        <w:tc>
          <w:tcPr>
            <w:tcW w:w="7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Consent of Wilson Sonsini Goodrich &amp; Rosati, Professional Corporation (included in the opinion filed as Exhibit 5.1 to this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registration statement)</w:t>
              </w:r>
            </w:hyperlink>
          </w:p>
        </w:tc>
        <w:tc>
          <w:tcPr>
            <w:tcW w:w="8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39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24.1**</w:t>
            </w:r>
          </w:p>
        </w:tc>
        <w:tc>
          <w:tcPr>
            <w:tcW w:w="720" w:type="dxa"/>
            <w:vAlign w:val="bottom"/>
          </w:tcPr>
          <w:p>
            <w:pPr>
              <w:spacing w:after="0"/>
              <w:rPr>
                <w:sz w:val="24"/>
                <w:szCs w:val="24"/>
                <w:color w:val="auto"/>
              </w:rPr>
            </w:pPr>
          </w:p>
        </w:tc>
        <w:tc>
          <w:tcPr>
            <w:tcW w:w="5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Powers of Attorney (included on the signature page to this registration statement)</w:t>
              </w:r>
            </w:hyperlink>
          </w:p>
        </w:tc>
        <w:tc>
          <w:tcPr>
            <w:tcW w:w="39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25.1***</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 under the Trust Indenture Act of 1939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40" w:hanging="1224"/>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120" w:right="2460" w:hanging="4"/>
        <w:spacing w:after="0" w:line="261" w:lineRule="auto"/>
        <w:tabs>
          <w:tab w:leader="none" w:pos="5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incorporated by reference pursuant to a Current Report on Form 8-K. ** Previously filed.</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pursuant to Section 305(b)(2) of the Trust Indenture Act of 1939, as amended.</w:t>
      </w:r>
    </w:p>
    <w:p>
      <w:pPr>
        <w:spacing w:after="0" w:line="9" w:lineRule="exact"/>
        <w:rPr>
          <w:rFonts w:ascii="Times New Roman" w:cs="Times New Roman" w:eastAsia="Times New Roman" w:hAnsi="Times New Roman"/>
          <w:sz w:val="18"/>
          <w:szCs w:val="18"/>
          <w:color w:val="auto"/>
        </w:rPr>
      </w:pPr>
    </w:p>
    <w:p>
      <w:pPr>
        <w:ind w:left="540" w:right="8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32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760" w:hanging="212"/>
        <w:spacing w:after="0"/>
        <w:tabs>
          <w:tab w:leader="none" w:pos="176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55" w:lineRule="auto"/>
        <w:tabs>
          <w:tab w:leader="none" w:pos="181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20" w:right="80" w:firstLine="1428"/>
        <w:spacing w:after="0" w:line="282" w:lineRule="auto"/>
        <w:tabs>
          <w:tab w:leader="none" w:pos="18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left="120" w:right="80" w:firstLine="987"/>
        <w:spacing w:after="0" w:line="266" w:lineRule="auto"/>
        <w:tabs>
          <w:tab w:leader="none" w:pos="13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76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40" w:firstLine="1428"/>
        <w:spacing w:after="0" w:line="253" w:lineRule="auto"/>
        <w:tabs>
          <w:tab w:leader="none" w:pos="18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424;</w:t>
      </w:r>
    </w:p>
    <w:p>
      <w:pPr>
        <w:spacing w:after="0" w:line="207" w:lineRule="exact"/>
        <w:rPr>
          <w:sz w:val="20"/>
          <w:szCs w:val="20"/>
          <w:color w:val="auto"/>
        </w:rPr>
      </w:pPr>
    </w:p>
    <w:p>
      <w:pPr>
        <w:ind w:left="120" w:right="140" w:firstLine="1428"/>
        <w:spacing w:after="0" w:line="282" w:lineRule="auto"/>
        <w:tabs>
          <w:tab w:leader="none" w:pos="1817"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867"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860" w:hanging="312"/>
        <w:spacing w:after="0"/>
        <w:tabs>
          <w:tab w:leader="none" w:pos="186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1"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February 7,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7,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Gavin Michael</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Gavin Michael</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Alexander</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Karen Alexander</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Goodroe</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Goodroe</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Sean Collins</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C. Clifton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De’Ana Dow</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Goldberg</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Lumb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A. Main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Jill Simeone</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27"/>
        </w:trPr>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Gordon Watson</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bl>
    <w:p>
      <w:pPr>
        <w:spacing w:after="0" w:line="2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*By:</w:t>
        <w:tab/>
        <w:t>/s/ Gavin Michael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26574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this Amendment No. 1 to the Form S-3 Registration Statement and related Prospectus of Bakkt Holdings, Inc. for the registration of Class A Common Stock, Preferred Stock, Debt Securities, Warrants and Units with an aggregate offering price not to exceed $150,000,000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Amendment No. 1 to the Registration Statement to Form S-3 (File No. 333-271361)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the Registration Statement (No.333-271361)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of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020"/>
          </w:cols>
          <w:pgMar w:left="440" w:top="117"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S-3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 Newly Registered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9"/>
        </w:trPr>
        <w:tc>
          <w:tcPr>
            <w:tcW w:w="2080" w:type="dxa"/>
            <w:vAlign w:val="bottom"/>
            <w:tcBorders>
              <w:top w:val="single" w:sz="8" w:color="auto"/>
              <w:left w:val="single" w:sz="8" w:color="auto"/>
              <w:right w:val="single" w:sz="8" w:color="auto"/>
            </w:tcBorders>
          </w:tcPr>
          <w:p>
            <w:pPr>
              <w:spacing w:after="0"/>
              <w:rPr>
                <w:sz w:val="12"/>
                <w:szCs w:val="12"/>
                <w:color w:val="auto"/>
              </w:rPr>
            </w:pPr>
          </w:p>
        </w:tc>
        <w:tc>
          <w:tcPr>
            <w:tcW w:w="21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Proposed</w:t>
            </w:r>
          </w:p>
        </w:tc>
        <w:tc>
          <w:tcPr>
            <w:tcW w:w="14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8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4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4"/>
        </w:trPr>
        <w:tc>
          <w:tcPr>
            <w:tcW w:w="2080" w:type="dxa"/>
            <w:vAlign w:val="bottom"/>
            <w:tcBorders>
              <w:left w:val="single" w:sz="8" w:color="auto"/>
              <w:right w:val="single" w:sz="8" w:color="auto"/>
            </w:tcBorders>
          </w:tcPr>
          <w:p>
            <w:pPr>
              <w:spacing w:after="0"/>
              <w:rPr>
                <w:sz w:val="12"/>
                <w:szCs w:val="12"/>
                <w:color w:val="auto"/>
              </w:rPr>
            </w:pPr>
          </w:p>
        </w:tc>
        <w:tc>
          <w:tcPr>
            <w:tcW w:w="218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w:t>
            </w:r>
          </w:p>
        </w:tc>
        <w:tc>
          <w:tcPr>
            <w:tcW w:w="7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rPr>
              <w:t>Offering</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Borders>
              <w:left w:val="single" w:sz="8" w:color="auto"/>
              <w:right w:val="single" w:sz="8" w:color="auto"/>
            </w:tcBorders>
            <w:vMerge w:val="restart"/>
          </w:tcPr>
          <w:p>
            <w:pPr>
              <w:jc w:val="center"/>
              <w:ind w:left="32"/>
              <w:spacing w:after="0"/>
              <w:rPr>
                <w:sz w:val="20"/>
                <w:szCs w:val="20"/>
                <w:color w:val="auto"/>
              </w:rPr>
            </w:pPr>
            <w:r>
              <w:rPr>
                <w:rFonts w:ascii="Times New Roman" w:cs="Times New Roman" w:eastAsia="Times New Roman" w:hAnsi="Times New Roman"/>
                <w:sz w:val="14"/>
                <w:szCs w:val="14"/>
                <w:color w:val="auto"/>
              </w:rPr>
              <w:t>Security Type</w:t>
            </w:r>
          </w:p>
        </w:tc>
        <w:tc>
          <w:tcPr>
            <w:tcW w:w="2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8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4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0" w:type="dxa"/>
            <w:vAlign w:val="bottom"/>
          </w:tcPr>
          <w:p>
            <w:pPr>
              <w:spacing w:after="0"/>
              <w:rPr>
                <w:sz w:val="1"/>
                <w:szCs w:val="1"/>
                <w:color w:val="auto"/>
              </w:rPr>
            </w:pPr>
          </w:p>
        </w:tc>
      </w:tr>
      <w:tr>
        <w:trPr>
          <w:trHeight w:val="176"/>
        </w:trPr>
        <w:tc>
          <w:tcPr>
            <w:tcW w:w="208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r>
              <w:rPr>
                <w:rFonts w:ascii="Times New Roman" w:cs="Times New Roman" w:eastAsia="Times New Roman" w:hAnsi="Times New Roman"/>
                <w:sz w:val="10"/>
                <w:szCs w:val="10"/>
                <w:color w:val="auto"/>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w:t>
            </w:r>
            <w:r>
              <w:rPr>
                <w:rFonts w:ascii="Times New Roman" w:cs="Times New Roman" w:eastAsia="Times New Roman" w:hAnsi="Times New Roman"/>
                <w:sz w:val="10"/>
                <w:szCs w:val="10"/>
                <w:color w:val="auto"/>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r>
              <w:rPr>
                <w:rFonts w:ascii="Times New Roman" w:cs="Times New Roman" w:eastAsia="Times New Roman" w:hAnsi="Times New Roman"/>
                <w:sz w:val="10"/>
                <w:szCs w:val="10"/>
                <w:color w:val="auto"/>
              </w:rPr>
              <w:t>(3)</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jc w:val="center"/>
              <w:ind w:left="32"/>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Class A Common Stock,</w:t>
            </w: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$110.20 per $1,000,000</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$0.0001 per share</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jc w:val="center"/>
              <w:ind w:left="32"/>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Preferred Stock,</w:t>
            </w: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$110.20 per $1,000,000</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 $0.0001 per share</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7"/>
              </w:rPr>
              <w:t>Debt</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 per $1,000,000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jc w:val="center"/>
              <w:ind w:left="52"/>
              <w:spacing w:after="0" w:line="191" w:lineRule="exact"/>
              <w:rPr>
                <w:sz w:val="20"/>
                <w:szCs w:val="20"/>
                <w:color w:val="auto"/>
              </w:rPr>
            </w:pPr>
            <w:r>
              <w:rPr>
                <w:rFonts w:ascii="Times New Roman" w:cs="Times New Roman" w:eastAsia="Times New Roman" w:hAnsi="Times New Roman"/>
                <w:sz w:val="18"/>
                <w:szCs w:val="18"/>
                <w:color w:val="auto"/>
              </w:rPr>
              <w:t>Debt Convertible</w:t>
            </w:r>
          </w:p>
        </w:tc>
        <w:tc>
          <w:tcPr>
            <w:tcW w:w="2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Warrants</w:t>
            </w: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$110.20 per $1,000,000</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into Equity</w:t>
            </w:r>
          </w:p>
        </w:tc>
        <w:tc>
          <w:tcPr>
            <w:tcW w:w="21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Equity</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$110.20 per $1,000,000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jc w:val="center"/>
              <w:ind w:left="52"/>
              <w:spacing w:after="0" w:line="191" w:lineRule="exact"/>
              <w:rPr>
                <w:sz w:val="20"/>
                <w:szCs w:val="20"/>
                <w:color w:val="auto"/>
              </w:rPr>
            </w:pPr>
            <w:r>
              <w:rPr>
                <w:rFonts w:ascii="Times New Roman" w:cs="Times New Roman" w:eastAsia="Times New Roman" w:hAnsi="Times New Roman"/>
                <w:sz w:val="18"/>
                <w:szCs w:val="18"/>
                <w:color w:val="auto"/>
                <w:w w:val="98"/>
              </w:rPr>
              <w:t>Unallocated</w:t>
            </w:r>
          </w:p>
        </w:tc>
        <w:tc>
          <w:tcPr>
            <w:tcW w:w="2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$115,000,000.00</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$110.20 per $1,000,000</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$12,673.00</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(Universal Shelf)</w:t>
            </w:r>
          </w:p>
        </w:tc>
        <w:tc>
          <w:tcPr>
            <w:tcW w:w="21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Borders>
              <w:left w:val="single" w:sz="8" w:color="auto"/>
              <w:right w:val="single" w:sz="8" w:color="auto"/>
            </w:tcBorders>
          </w:tcPr>
          <w:p>
            <w:pPr>
              <w:jc w:val="center"/>
              <w:ind w:left="52"/>
              <w:spacing w:after="0" w:line="191" w:lineRule="exact"/>
              <w:rPr>
                <w:sz w:val="20"/>
                <w:szCs w:val="20"/>
                <w:color w:val="auto"/>
              </w:rPr>
            </w:pPr>
            <w:r>
              <w:rPr>
                <w:rFonts w:ascii="Times New Roman" w:cs="Times New Roman" w:eastAsia="Times New Roman" w:hAnsi="Times New Roman"/>
                <w:sz w:val="18"/>
                <w:szCs w:val="18"/>
                <w:color w:val="auto"/>
                <w:w w:val="98"/>
              </w:rPr>
              <w:t>Unallocated</w:t>
            </w:r>
          </w:p>
        </w:tc>
        <w:tc>
          <w:tcPr>
            <w:tcW w:w="2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$35,000,000.00</w:t>
            </w: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$147.60 per $1,000,000</w:t>
            </w:r>
          </w:p>
        </w:tc>
        <w:tc>
          <w:tcPr>
            <w:tcW w:w="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$5,166.00</w:t>
            </w:r>
          </w:p>
        </w:tc>
        <w:tc>
          <w:tcPr>
            <w:tcW w:w="0" w:type="dxa"/>
            <w:vAlign w:val="bottom"/>
          </w:tcPr>
          <w:p>
            <w:pPr>
              <w:spacing w:after="0"/>
              <w:rPr>
                <w:sz w:val="1"/>
                <w:szCs w:val="1"/>
                <w:color w:val="auto"/>
              </w:rPr>
            </w:pPr>
          </w:p>
        </w:tc>
      </w:tr>
      <w:tr>
        <w:trPr>
          <w:trHeight w:val="234"/>
        </w:trPr>
        <w:tc>
          <w:tcPr>
            <w:tcW w:w="2080" w:type="dxa"/>
            <w:vAlign w:val="bottom"/>
            <w:tcBorders>
              <w:left w:val="single" w:sz="8" w:color="auto"/>
              <w:bottom w:val="single" w:sz="8" w:color="auto"/>
              <w:righ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rPr>
              <w:t>(Universal Shelf)</w:t>
            </w:r>
          </w:p>
        </w:tc>
        <w:tc>
          <w:tcPr>
            <w:tcW w:w="21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$150,000,000.00</w:t>
            </w:r>
          </w:p>
        </w:tc>
        <w:tc>
          <w:tcPr>
            <w:tcW w:w="19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$17,839.00</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$12,673.00</w:t>
            </w:r>
          </w:p>
        </w:tc>
        <w:tc>
          <w:tcPr>
            <w:tcW w:w="0" w:type="dxa"/>
            <w:vAlign w:val="bottom"/>
          </w:tcPr>
          <w:p>
            <w:pPr>
              <w:spacing w:after="0"/>
              <w:rPr>
                <w:sz w:val="1"/>
                <w:szCs w:val="1"/>
                <w:color w:val="auto"/>
              </w:rPr>
            </w:pPr>
          </w:p>
        </w:tc>
      </w:tr>
      <w:tr>
        <w:trPr>
          <w:trHeight w:val="209"/>
        </w:trPr>
        <w:tc>
          <w:tcPr>
            <w:tcW w:w="208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tcBorders>
          </w:tcPr>
          <w:p>
            <w:pPr>
              <w:spacing w:after="0"/>
              <w:rPr>
                <w:sz w:val="18"/>
                <w:szCs w:val="18"/>
                <w:color w:val="auto"/>
              </w:rPr>
            </w:pPr>
          </w:p>
        </w:tc>
        <w:tc>
          <w:tcPr>
            <w:tcW w:w="21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8"/>
                <w:szCs w:val="18"/>
                <w:color w:val="auto"/>
                <w:w w:val="98"/>
              </w:rPr>
              <w:t>Net Fee Due</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$5,166.00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hereunder include such indeterminate number of (a) shares of Class A Common Stock, (b) shares of preferred stock,</w:t>
      </w:r>
    </w:p>
    <w:p>
      <w:pPr>
        <w:spacing w:after="0" w:line="27" w:lineRule="exact"/>
        <w:rPr>
          <w:rFonts w:ascii="Times New Roman" w:cs="Times New Roman" w:eastAsia="Times New Roman" w:hAnsi="Times New Roman"/>
          <w:sz w:val="18"/>
          <w:szCs w:val="18"/>
          <w:color w:val="auto"/>
        </w:rPr>
      </w:pPr>
    </w:p>
    <w:p>
      <w:pPr>
        <w:jc w:val="both"/>
        <w:ind w:left="424"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debt securities, (d) warrants to purchase Class A Common Stock, preferred stock or debt securities of the registrant and (e) units consisting of two or more of these securities in any combination, as may be sold from time to time by the registrant. There are also being registered hereunder an indeterminate number of shares of Class A Common Stock and preferred stock as shall be issuable upon conversion, exchange or exercise of any securities that provide for such issuance.</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w:t>
      </w:r>
    </w:p>
    <w:p>
      <w:pPr>
        <w:spacing w:after="0" w:line="1" w:lineRule="exact"/>
        <w:rPr>
          <w:rFonts w:ascii="Times New Roman" w:cs="Times New Roman" w:eastAsia="Times New Roman" w:hAnsi="Times New Roman"/>
          <w:sz w:val="18"/>
          <w:szCs w:val="18"/>
          <w:color w:val="auto"/>
        </w:rPr>
      </w:pPr>
    </w:p>
    <w:p>
      <w:pPr>
        <w:ind w:left="424" w:right="500" w:hanging="424"/>
        <w:spacing w:after="0" w:line="260" w:lineRule="auto"/>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Subject to Rule 462(b) under the Securities Act, the aggregate maximum offering price of all securities issued by the registrant pursuant to this registration statement will not exceed $150,000,000.</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678"/>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07"/>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8">
    <w:nsid w:val="3855585C"/>
    <w:multiLevelType w:val="hybridMultilevel"/>
    <w:lvl w:ilvl="0">
      <w:lvlJc w:val="left"/>
      <w:lvlText w:val="(%1)"/>
      <w:numFmt w:val="lowerRoman"/>
      <w:start w:val="2"/>
    </w:lvl>
  </w:abstractNum>
  <w:abstractNum w:abstractNumId="39">
    <w:nsid w:val="70A64E2A"/>
    <w:multiLevelType w:val="hybridMultilevel"/>
    <w:lvl w:ilvl="0">
      <w:lvlJc w:val="left"/>
      <w:lvlText w:val="(%1)"/>
      <w:numFmt w:val="decimal"/>
      <w:start w:val="2"/>
    </w:lvl>
    <w:lvl w:ilvl="1">
      <w:lvlJc w:val="left"/>
      <w:lvlText w:val="(%2)"/>
      <w:numFmt w:val="lowerRoman"/>
      <w:start w:val="1"/>
    </w:lvl>
  </w:abstractNum>
  <w:abstractNum w:abstractNumId="40">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41">
    <w:nsid w:val="2A487CB0"/>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42">
    <w:nsid w:val="1D4ED43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72"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50" Type="http://schemas.openxmlformats.org/officeDocument/2006/relationships/hyperlink" Target="http://www.sec.gov/ix?doc=/Archives/edgar/data/1820302/000182030223000016/bakkt-20221231.htm" TargetMode="External"/><Relationship Id="rId51" Type="http://schemas.openxmlformats.org/officeDocument/2006/relationships/hyperlink" Target="http://www.sec.gov/Archives/edgar/data/1820302/000182030223000043/bakkt-2023proxy41923.htm" TargetMode="External"/><Relationship Id="rId52" Type="http://schemas.openxmlformats.org/officeDocument/2006/relationships/hyperlink" Target="http://www.sec.gov/Archives/edgar/data/1820302/000182030223000016/bakkt-20221231.htm" TargetMode="External"/><Relationship Id="rId53" Type="http://schemas.openxmlformats.org/officeDocument/2006/relationships/hyperlink" Target="http://www.sec.gov/ix?doc=/Archives/edgar/data/1820302/000182030223000062/bakkt-20230331.htm" TargetMode="External"/><Relationship Id="rId54" Type="http://schemas.openxmlformats.org/officeDocument/2006/relationships/hyperlink" Target="http://www.sec.gov/ix?doc=/Archives/edgar/data/1820302/000182030223000080/bakkt-20230630.htm" TargetMode="External"/><Relationship Id="rId55" Type="http://schemas.openxmlformats.org/officeDocument/2006/relationships/hyperlink" Target="http://www.sec.gov/ix?doc=/Archives/edgar/data/1820302/000182030223000091/bakkt-20230930.htm" TargetMode="External"/><Relationship Id="rId56" Type="http://schemas.openxmlformats.org/officeDocument/2006/relationships/hyperlink" Target="http://www.sec.gov/ix?doc=/Archives/edgar/data/1820302/000182030224000011/bakkt-20230930.htm" TargetMode="External"/><Relationship Id="rId57" Type="http://schemas.openxmlformats.org/officeDocument/2006/relationships/hyperlink" Target="http://www.sec.gov/ix?doc=/Archives/edgar/data/1820302/000182030223000006/bakkt-20230309.htm" TargetMode="External"/><Relationship Id="rId58" Type="http://schemas.openxmlformats.org/officeDocument/2006/relationships/hyperlink" Target="http://www.sec.gov/ix?doc=/Archives/edgar/data/1820302/000119312523089016/d482123d8k.htm" TargetMode="External"/><Relationship Id="rId59" Type="http://schemas.openxmlformats.org/officeDocument/2006/relationships/hyperlink" Target="http://www.sec.gov/ix?doc=/Archives/edgar/data/0001820302/000182030223000033/bakkt-20230418.htm" TargetMode="External"/><Relationship Id="rId60" Type="http://schemas.openxmlformats.org/officeDocument/2006/relationships/hyperlink" Target="http://www.sec.gov/ix?doc=/Archives/edgar/data/1820302/000182030223000065/bakkt-20230606.htm" TargetMode="External"/><Relationship Id="rId61" Type="http://schemas.openxmlformats.org/officeDocument/2006/relationships/hyperlink" Target="http://www.sec.gov/ix?doc=/Archives/edgar/data/0001820302/000119312522096343/d322705d8ka.htm" TargetMode="External"/><Relationship Id="rId62" Type="http://schemas.openxmlformats.org/officeDocument/2006/relationships/hyperlink" Target="http://www.sec.gov/ix?doc=/Archives/edgar/data/0001820302/000182030223000030/bakkt-20230401.htm" TargetMode="External"/><Relationship Id="rId63" Type="http://schemas.openxmlformats.org/officeDocument/2006/relationships/hyperlink" Target="http://www.sec.gov/Archives/edgar/data/1820302/000119312521299620/d211377d8a12b.htm" TargetMode="External"/><Relationship Id="rId67" Type="http://schemas.openxmlformats.org/officeDocument/2006/relationships/hyperlink" Target="http://www.sec.gov/Archives/edgar/data/1820302/000119312521005832/d913171dex21.htm" TargetMode="External"/><Relationship Id="rId68" Type="http://schemas.openxmlformats.org/officeDocument/2006/relationships/hyperlink" Target="http://www.sec.gov/Archives/edgar/data/1820302/000119312521101249/d107545dex21.htm" TargetMode="External"/><Relationship Id="rId69" Type="http://schemas.openxmlformats.org/officeDocument/2006/relationships/hyperlink" Target="http://www.sec.gov/Archives/edgar/data/1820302/000119312521286927/d204551dex21.htm" TargetMode="External"/><Relationship Id="rId70" Type="http://schemas.openxmlformats.org/officeDocument/2006/relationships/hyperlink" Target="http://www.sec.gov/Archives/edgar/data/1820302/000119312521303985/d219325dex31.htm" TargetMode="External"/><Relationship Id="rId71" Type="http://schemas.openxmlformats.org/officeDocument/2006/relationships/hyperlink" Target="http://www.sec.gov/Archives/edgar/data/1820302/000119312521303985/d219325dex32.htm" TargetMode="External"/><Relationship Id="rId73" Type="http://schemas.openxmlformats.org/officeDocument/2006/relationships/hyperlink" Target="http://www.sec.gov/Archives/edgar/data/1820302/000119312521303985/d219325dex42.htm" TargetMode="External"/><Relationship Id="rId74" Type="http://schemas.openxmlformats.org/officeDocument/2006/relationships/hyperlink" Target="http://www.sec.gov/Archives/edgar/data/1820302/000119312520256308/d38926dex41.htm" TargetMode="External"/><Relationship Id="rId75" Type="http://schemas.openxmlformats.org/officeDocument/2006/relationships/hyperlink" Target="http://www.sec.gov/Archives/edgar/data/1820302/000119312521303985/d219325dex43.htm" TargetMode="External"/><Relationship Id="rId76" Type="http://schemas.openxmlformats.org/officeDocument/2006/relationships/hyperlink" Target="http://www.sec.gov/Archives/edgar/data/0001820302/000119312523108799/d492054dex45.htm" TargetMode="External"/><Relationship Id="rId77" Type="http://schemas.openxmlformats.org/officeDocument/2006/relationships/hyperlink" Target="http://www.sec.gov/Archives/edgar/data/1820302/000119312523089016/d482123dex41.htm" TargetMode="External"/><Relationship Id="rId78" Type="http://schemas.openxmlformats.org/officeDocument/2006/relationships/hyperlink" Target="http://www.sec.gov/Archives/edgar/data/1820302/000182030223000080/exhibit42amendmentagreemen.htm" TargetMode="External"/><Relationship Id="rId79" Type="http://schemas.openxmlformats.org/officeDocument/2006/relationships/hyperlink" Target="http://www.sec.gov/Archives/edgar/data/0001820302/000119312523108799/d492054dex51.htm" TargetMode="External"/><Relationship Id="rId80" Type="http://schemas.openxmlformats.org/officeDocument/2006/relationships/hyperlink" Target="http://www.sec.gov/Archives/edgar/data/1820302/000119312523108799/d492054ds3.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2024-02-07T16:37:08Z</dcterms:created>
  <dcterms:modified xsi:type="dcterms:W3CDTF">2024-02-07T16:37:08Z</dcterms:modified>
</cp:coreProperties>
</file>