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Victory Park Capital Advisors, LLC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North Riverside Plaza, Suite 5200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VPC Impact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Holdings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 August 4,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9, 2021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333-254935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Zemnick: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correspondence and have the following comments. In some of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comments apply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 After reviewing any amendment to your registration statement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these comments, we may have additional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 dated August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 of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Bakkt, page 283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add a discussion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Digital Asset Marketplace, Loyalty Redemption,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 Payment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 disclosure to describe how you recognize revenue for each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these offerings.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 section should bridge your discussion between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offering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revenue is recognized. Also, please add a statement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all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is recognized from the Loyalty program. As it relates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custody, note that</w:t>
      </w:r>
    </w:p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is immaterial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less than 1% of PDF Contracts go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maturity.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note that the remaining revenue is recognized from providing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to IFUS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ICUS under the Triparty Agreements.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to discuss The Triparty Agreement and the related party nature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arrangement. This disclosure should include, but not limited to, describing the promised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goods or services that you provide (i.e., custody and bullets identified in your response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2(c)) and the reasons for negative revenue. In addition, your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should separately discuss and analyze the revenue recognized under this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your financial projections, we note that you expect to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generate a substantial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portion of your revenue in 2021 in Crypto Trades, which are sales of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cryptocurrency in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which Bakkt acts as the principal in transactions with its third-party</w:t>
            </w:r>
          </w:p>
        </w:tc>
      </w:tr>
      <w:tr>
        <w:trPr>
          <w:trHeight w:val="202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trading relationships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5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consumers using its app. Discuss the material risks and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uncertainties related to your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plans to rely on Crypto Trades as a significant driver of your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business. To the extent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known, discuss the</w:t>
            </w:r>
          </w:p>
        </w:tc>
        <w:tc>
          <w:tcPr>
            <w:tcW w:w="416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certain additional cryptocurrencies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intend to include in the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third quarter of 2021. For aspects of your business that did not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generate positive revenue,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 the circumstances that need to occur to begin generating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positive revenue.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Revenue Recognition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Triparty Agreement, page F-259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</w:t>
            </w:r>
          </w:p>
        </w:tc>
        <w:tc>
          <w:tcPr>
            <w:tcW w:w="34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your statement that</w:t>
            </w: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recognize revenue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for trading and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clearing services</w:t>
            </w:r>
          </w:p>
        </w:tc>
        <w:tc>
          <w:tcPr>
            <w:tcW w:w="142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agree to your performance obligations as outline in your response 2(c)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 Bakkt Trust. In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regard, we note your representation that you are not providing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trading and clearing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0" w:type="dxa"/>
            <w:vAlign w:val="bottom"/>
            <w:gridSpan w:val="5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services. Make corresponding revision throughout your filing.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</w:t>
            </w:r>
          </w:p>
        </w:tc>
        <w:tc>
          <w:tcPr>
            <w:tcW w:w="348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clarify the meaning of</w:t>
            </w:r>
          </w:p>
        </w:tc>
        <w:tc>
          <w:tcPr>
            <w:tcW w:w="4260" w:type="dxa"/>
            <w:vAlign w:val="bottom"/>
            <w:gridSpan w:val="3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help facilitate the trading and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clearing services of IFUS and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ICUS</w:t>
            </w:r>
          </w:p>
        </w:tc>
        <w:tc>
          <w:tcPr>
            <w:tcW w:w="6520" w:type="dxa"/>
            <w:vAlign w:val="bottom"/>
            <w:gridSpan w:val="5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identifying your promised goods or services. For example,</w:t>
            </w: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are your promised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goods and services outlined in 2(c) and custody?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revenue recognition footnote for the Triparty agreement to describe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obligations. In this regard, the current disclosure focuses more on the tasks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duties of IFUS and ICUS instead of on your task and duties. This disclosure should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articulate what promised goods or services are distinct, how many performance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obligations you have, and what promised goods or services are included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each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obligation.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when you recognize revenue for each performance obligation in the Triparty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R. Zemnick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and what the ASC 606 contract period is for each performance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6979" w:hanging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ComapanyNameVPC obligation. Also,Impact</w:t>
      </w: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Acquisition Holdings</w:t>
      </w:r>
    </w:p>
    <w:p>
      <w:pPr>
        <w:ind w:left="3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state whether revenue is recognized at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 in time or over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Augusttime.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LastNameScott R. Zemnick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NameVPC Impact Acquisition Holdings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7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3 9,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transaction price for each performance obligation. We note that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in response to 2(b) the transaction price is 100% of the trading and clearing fees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collected by IFUS and ICUS less rebates and incentive payments made by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IFUS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ICUS to their customers. Also, disclose your obligation to make the shortfall payment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in note 7 and include your assertion that you recognize this payment as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reduction of revenue because such payments are made to your customers, IFUS and ICUS,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 do not receive a distinct good or service for such payment.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whether our understanding of your response is correct that the rebates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incentive payments are part of the transaction price and the shortfall payment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consideration payable to your customer and make corresponding revision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disclosure discussing variable consideration on page 17.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Also, we note your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that you generally do not need to estimate, describe instances where you do need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make estimates and whether those instances are material.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Custody, page F-260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 custody revenue recognition policy to reconcile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of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PDF</w:t>
      </w:r>
    </w:p>
    <w:p>
      <w:pPr>
        <w:ind w:left="960"/>
        <w:spacing w:after="0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customers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with your Triparty Agreement policy in which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the PDF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holder is not your customer.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prior comment 6 regarding the projected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information. Please provide a discussion of the "large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components...that were taken in consideration for purposes of arriving at the projected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information" and were evaluated by the VIH Board.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Amanda Kim, Senior Staff Accountant, at (202) 551-3241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Krikorian, Accounting Branch Chief, at (202) 551-3488 if you have questions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Matthew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Crispino, Staff Attorney, at (202) 551-3456 or Jan Woo, Legal Branch Chief, at (202) 551-3453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Era Anagnosti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507ED7A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2022-03-08T21:55:50Z</dcterms:created>
  <dcterms:modified xsi:type="dcterms:W3CDTF">2022-03-08T21:55:50Z</dcterms:modified>
</cp:coreProperties>
</file>