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Gordon Nancy</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Bakkt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480" w:type="dxa"/>
            <w:vAlign w:val="bottom"/>
            <w:tcBorders>
              <w:top w:val="single" w:sz="8" w:color="0000EE"/>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04/15/2022</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345"/>
        <w:spacing w:after="0"/>
        <w:rPr>
          <w:sz w:val="20"/>
          <w:szCs w:val="20"/>
          <w:color w:val="auto"/>
        </w:rPr>
      </w:pPr>
      <w:r>
        <w:rPr>
          <w:rFonts w:ascii="Times New Roman" w:cs="Times New Roman" w:eastAsia="Times New Roman" w:hAnsi="Times New Roman"/>
          <w:sz w:val="17"/>
          <w:szCs w:val="17"/>
          <w:color w:val="0000FF"/>
        </w:rPr>
        <w:t>EVP Loyalty Rewards &amp; Payments</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30009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04/15/2022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33,744</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320,414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and settlement of restricted stock units through the issuance of Class A Common Stock of the Issuer pursuant to the Bakkt Holdings, Inc. 2021 Omnibus Employee Incentive Plan, the Issuer withheld Class A Common Stock that would otherwise have been issued to the Reporting Person to satisfy his tax withholding obligations. The number of shares withheld was determined based on the closing price per share of Class A Common Stock on April 18, 2022.</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287,491 shares of Class A Common Stock subject to restricted stock units that remain subject to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Nancy</w:t>
      </w:r>
      <w:r>
        <w:rPr>
          <w:sz w:val="20"/>
          <w:szCs w:val="20"/>
          <w:color w:val="auto"/>
        </w:rPr>
        <w:tab/>
      </w:r>
      <w:r>
        <w:rPr>
          <w:rFonts w:ascii="Times New Roman" w:cs="Times New Roman" w:eastAsia="Times New Roman" w:hAnsi="Times New Roman"/>
          <w:sz w:val="17"/>
          <w:szCs w:val="17"/>
          <w:color w:val="0000FF"/>
        </w:rPr>
        <w:t>04/19/2022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59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591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3503"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2022-04-19T17:20:29Z</dcterms:created>
  <dcterms:modified xsi:type="dcterms:W3CDTF">2022-04-19T17:20:29Z</dcterms:modified>
</cp:coreProperties>
</file>