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12/29/2023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12/29/2023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393,125</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2.5585</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2,195,441</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400"/>
        <w:spacing w:after="0" w:line="272" w:lineRule="auto"/>
        <w:rPr>
          <w:sz w:val="20"/>
          <w:szCs w:val="20"/>
          <w:color w:val="auto"/>
        </w:rPr>
      </w:pPr>
      <w:r>
        <w:rPr>
          <w:rFonts w:ascii="Times New Roman" w:cs="Times New Roman" w:eastAsia="Times New Roman" w:hAnsi="Times New Roman"/>
          <w:sz w:val="13"/>
          <w:szCs w:val="13"/>
          <w:color w:val="008000"/>
        </w:rPr>
        <w:t>from $2.39-2.74,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12/29/2023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Richard N. Levy</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120" w:space="720"/>
        <w:col w:w="7100"/>
      </w:cols>
      <w:pgMar w:left="480" w:top="3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2023-12-29T17:41:10Z</dcterms:created>
  <dcterms:modified xsi:type="dcterms:W3CDTF">2023-12-29T17:41:10Z</dcterms:modified>
</cp:coreProperties>
</file>