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60" w:after="283"/>
        <w:jc w:val="center"/>
        <w:rPr/>
      </w:pPr>
      <w:r>
        <w:rPr/>
      </w:r>
    </w:p>
    <w:tbl>
      <w:tblPr>
        <w:tblW w:w="6140" w:type="dxa"/>
        <w:jc w:val="left"/>
        <w:tblInd w:w="0" w:type="dxa"/>
        <w:tblCellMar>
          <w:top w:w="28" w:type="dxa"/>
          <w:left w:w="28" w:type="dxa"/>
          <w:bottom w:w="28" w:type="dxa"/>
          <w:right w:w="28" w:type="dxa"/>
        </w:tblCellMar>
      </w:tblPr>
      <w:tblGrid>
        <w:gridCol w:w="410"/>
        <w:gridCol w:w="360"/>
        <w:gridCol w:w="360"/>
        <w:gridCol w:w="360"/>
        <w:gridCol w:w="360"/>
        <w:gridCol w:w="360"/>
        <w:gridCol w:w="360"/>
        <w:gridCol w:w="360"/>
        <w:gridCol w:w="367"/>
        <w:gridCol w:w="302"/>
        <w:gridCol w:w="302"/>
        <w:gridCol w:w="302"/>
        <w:gridCol w:w="302"/>
        <w:gridCol w:w="302"/>
        <w:gridCol w:w="302"/>
        <w:gridCol w:w="302"/>
        <w:gridCol w:w="302"/>
        <w:gridCol w:w="427"/>
      </w:tblGrid>
      <w:tr>
        <w:trPr/>
        <w:tc>
          <w:tcPr>
            <w:tcW w:w="4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r>
      <w:tr>
        <w:trPr/>
        <w:tc>
          <w:tcPr>
            <w:tcW w:w="1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PROSPECTUS SUPPLEMENT NO. 4</w:t>
            </w:r>
          </w:p>
        </w:tc>
        <w:tc>
          <w:tcPr>
            <w:tcW w:w="2843"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tc>
      </w:tr>
      <w:tr>
        <w:trPr/>
        <w:tc>
          <w:tcPr>
            <w:tcW w:w="329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 prospectus dated April 13, 2022)</w:t>
            </w:r>
          </w:p>
        </w:tc>
        <w:tc>
          <w:tcPr>
            <w:tcW w:w="2843"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Registration No. 333-261034</w:t>
            </w:r>
          </w:p>
        </w:tc>
      </w:tr>
    </w:tbl>
    <w:p>
      <w:pPr>
        <w:pStyle w:val="TextBody"/>
        <w:spacing w:before="60" w:after="283"/>
        <w:jc w:val="center"/>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190,726,638 Shares of Class A Common Stock Issuable Upon the Exchange of Paired Interests</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32,500,000 Shares of Class A Common Stock issued in the PIPE Financing</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5,184,300 Shares of Class A Common Stock Issued in Respect of Founder Shares</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3,151,890 shares of Class A Common Stock Issued Upon the Exchange of a Portion of the Private Placement Warrants</w:t>
      </w:r>
    </w:p>
    <w:p>
      <w:pPr>
        <w:pStyle w:val="TextBody"/>
        <w:spacing w:lineRule="auto" w:line="240" w:before="120" w:after="283"/>
        <w:jc w:val="center"/>
        <w:rPr/>
      </w:pPr>
      <w:r>
        <w:rPr>
          <w:rFonts w:ascii="Times New Roman;sans-serif" w:hAnsi="Times New Roman;sans-serif"/>
          <w:b w:val="false"/>
          <w:color w:val="000000"/>
          <w:sz w:val="24"/>
        </w:rPr>
        <w:br/>
      </w:r>
      <w:r>
        <w:rPr/>
        <w:drawing>
          <wp:inline distT="0" distB="63500" distL="0" distR="0">
            <wp:extent cx="11620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2050" cy="419100"/>
                    </a:xfrm>
                    <a:prstGeom prst="rect">
                      <a:avLst/>
                    </a:prstGeom>
                  </pic:spPr>
                </pic:pic>
              </a:graphicData>
            </a:graphic>
          </wp:inline>
        </w:drawing>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____________________________________________ </w:t>
      </w:r>
    </w:p>
    <w:p>
      <w:pPr>
        <w:pStyle w:val="TextBody"/>
        <w:spacing w:before="0" w:after="0"/>
        <w:jc w:val="center"/>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This prospectus supplement is being filed to update and supplement the information contained in the prospectus dated April 13, 2022 (as amended and supplemented from time to time, the “Prospectus”) </w:t>
      </w:r>
      <w:r>
        <w:rPr>
          <w:rFonts w:ascii="Times New Roman;sans-serif" w:hAnsi="Times New Roman;sans-serif"/>
          <w:b w:val="false"/>
          <w:color w:val="000000"/>
          <w:sz w:val="20"/>
          <w:highlight w:val="white"/>
        </w:rPr>
        <w:t>with the information contained in our Quarterly Report on Form 10-Q, filed with the Securities and Exchange Commission on May 12, 2022 (the “Form 10-Q”). Accordingly, we have attached the Form 10-Q to this prospectus supplement.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sans-serif" w:hAnsi="Times New Roman;sans-serif"/>
          <w:b w:val="false"/>
          <w:i/>
          <w:color w:val="000000"/>
          <w:sz w:val="20"/>
        </w:rPr>
        <w:t>About this Prospectus</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spacing w:lineRule="auto" w:line="240"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Class A Common Stock is listed on The New York Stock Exchange (“NYSE”) under the symbol “BKKT” and our warrants to purchase Class A Common Stock (the “Warrants”) are listed on NYSE under the symbol “BKKT WS.” On May 6, 2022, the last quoted sale price for our Class A Common Stock as reported on NYSE was $3.40 per share and the last quoted sale price for our Warrants as reported on NYSE was $1.30 per warrant.</w:t>
      </w:r>
    </w:p>
    <w:p>
      <w:pPr>
        <w:pStyle w:val="TextBody"/>
        <w:spacing w:lineRule="auto" w:line="240" w:before="280" w:after="2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under the federal securities laws, and have elected to comply with certain reduced public company reporting requirements for the Prospectus and for future filings.</w:t>
      </w:r>
    </w:p>
    <w:p>
      <w:pPr>
        <w:pStyle w:val="TextBody"/>
        <w:spacing w:lineRule="auto" w:line="240" w:before="280" w:after="280"/>
        <w:ind w:left="0" w:right="0" w:firstLine="720"/>
        <w:jc w:val="both"/>
        <w:rPr/>
      </w:pPr>
      <w:r>
        <w:rPr>
          <w:rFonts w:ascii="Times New Roman;sans-serif" w:hAnsi="Times New Roman;sans-serif"/>
          <w:b/>
          <w:color w:val="000000"/>
          <w:sz w:val="20"/>
        </w:rPr>
        <w:t>Investing in our securities involves a high degree of risk. Before buying any securities, you should carefully read the discussion of the risks of investing in our securities in “</w:t>
      </w:r>
      <w:r>
        <w:rPr>
          <w:rFonts w:ascii="Times New Roman;sans-serif" w:hAnsi="Times New Roman;sans-serif"/>
          <w:b/>
          <w:i/>
          <w:color w:val="000000"/>
          <w:sz w:val="20"/>
        </w:rPr>
        <w:t>Risk Factors</w:t>
      </w:r>
      <w:r>
        <w:rPr>
          <w:color w:val="000000"/>
        </w:rPr>
        <w:t xml:space="preserve">” </w:t>
      </w:r>
      <w:r>
        <w:rPr>
          <w:rFonts w:ascii="Times New Roman;sans-serif" w:hAnsi="Times New Roman;sans-serif"/>
          <w:b/>
          <w:color w:val="000000"/>
          <w:sz w:val="20"/>
        </w:rPr>
        <w:t>of the Prospectus.</w:t>
      </w:r>
    </w:p>
    <w:p>
      <w:pPr>
        <w:pStyle w:val="TextBody"/>
        <w:spacing w:lineRule="auto" w:line="240" w:before="240" w:after="283"/>
        <w:ind w:left="0" w:right="0" w:firstLine="7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You should rely only on the information contained in the Prospectus or any prospectus supplement or amendment hereto. We have not authorized anyone to provide you with different information. </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the Prospectus is truthful or complete. Any representation to the contrary is a criminal offense.</w:t>
      </w:r>
    </w:p>
    <w:p>
      <w:pPr>
        <w:pStyle w:val="TextBody"/>
        <w:spacing w:before="0" w:after="0"/>
        <w:ind w:left="0" w:right="0" w:firstLine="720"/>
        <w:jc w:val="both"/>
        <w:rPr/>
      </w:pPr>
      <w:r>
        <w:rPr/>
      </w:r>
    </w:p>
    <w:p>
      <w:pPr>
        <w:pStyle w:val="TextBody"/>
        <w:spacing w:lineRule="auto" w:line="24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May 12, 2022</w:t>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9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71"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001-39544</w:t>
      </w:r>
    </w:p>
    <w:p>
      <w:pPr>
        <w:pStyle w:val="TextBody"/>
        <w:spacing w:before="0" w:after="0"/>
        <w:jc w:val="center"/>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4469" w:type="dxa"/>
        <w:jc w:val="left"/>
        <w:tblInd w:w="0" w:type="dxa"/>
        <w:tblCellMar>
          <w:top w:w="28" w:type="dxa"/>
          <w:left w:w="28" w:type="dxa"/>
          <w:bottom w:w="28" w:type="dxa"/>
          <w:right w:w="28" w:type="dxa"/>
        </w:tblCellMar>
      </w:tblPr>
      <w:tblGrid>
        <w:gridCol w:w="1165"/>
        <w:gridCol w:w="1023"/>
        <w:gridCol w:w="1036"/>
        <w:gridCol w:w="364"/>
        <w:gridCol w:w="364"/>
        <w:gridCol w:w="517"/>
      </w:tblGrid>
      <w:tr>
        <w:trPr/>
        <w:tc>
          <w:tcPr>
            <w:tcW w:w="116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98-1550750</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spacing w:lineRule="auto" w:line="240"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spacing w:lineRule="auto" w:line="240" w:before="0" w:after="15"/>
              <w:jc w:val="center"/>
              <w:rPr>
                <w:rFonts w:ascii="Times New Roman;sans-serif" w:hAnsi="Times New Roman;sans-serif"/>
                <w:b/>
                <w:color w:val="000000"/>
                <w:sz w:val="20"/>
              </w:rPr>
            </w:pPr>
            <w:r>
              <w:rPr>
                <w:rFonts w:ascii="Times New Roman;sans-serif" w:hAnsi="Times New Roman;sans-serif"/>
                <w:b/>
                <w:color w:val="000000"/>
                <w:sz w:val="20"/>
              </w:rPr>
              <w:t xml:space="preserve">Alpharetta, Georgia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80" w:after="283"/>
        <w:ind w:left="0" w:right="0" w:firstLine="576"/>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spacing w:before="0" w:after="0"/>
        <w:rPr/>
      </w:pPr>
      <w:r>
        <w:rPr/>
      </w:r>
    </w:p>
    <w:tbl>
      <w:tblPr>
        <w:tblW w:w="9412" w:type="dxa"/>
        <w:jc w:val="left"/>
        <w:tblInd w:w="0" w:type="dxa"/>
        <w:tblCellMar>
          <w:top w:w="28" w:type="dxa"/>
          <w:left w:w="28" w:type="dxa"/>
          <w:bottom w:w="28" w:type="dxa"/>
          <w:right w:w="28" w:type="dxa"/>
        </w:tblCellMar>
      </w:tblPr>
      <w:tblGrid>
        <w:gridCol w:w="1426"/>
        <w:gridCol w:w="1251"/>
        <w:gridCol w:w="1268"/>
        <w:gridCol w:w="109"/>
        <w:gridCol w:w="109"/>
        <w:gridCol w:w="109"/>
        <w:gridCol w:w="499"/>
        <w:gridCol w:w="499"/>
        <w:gridCol w:w="501"/>
        <w:gridCol w:w="109"/>
        <w:gridCol w:w="109"/>
        <w:gridCol w:w="109"/>
        <w:gridCol w:w="970"/>
        <w:gridCol w:w="970"/>
        <w:gridCol w:w="1374"/>
      </w:tblGrid>
      <w:tr>
        <w:trPr/>
        <w:tc>
          <w:tcPr>
            <w:tcW w:w="142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Common Stock, par value $0.0001 per share</w:t>
            </w:r>
          </w:p>
        </w:tc>
        <w:tc>
          <w:tcPr>
            <w:tcW w:w="327" w:type="dxa"/>
            <w:gridSpan w:val="3"/>
            <w:tcBorders>
              <w:top w:val="single" w:sz="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w:t>
            </w:r>
          </w:p>
        </w:tc>
        <w:tc>
          <w:tcPr>
            <w:tcW w:w="327" w:type="dxa"/>
            <w:gridSpan w:val="3"/>
            <w:tcBorders>
              <w:top w:val="single" w:sz="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Warrants to purchase 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 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New York Stock Exchange</w:t>
            </w:r>
          </w:p>
        </w:tc>
      </w:tr>
    </w:tbl>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p>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p>
    <w:p>
      <w:pPr>
        <w:pStyle w:val="TextBody"/>
        <w:spacing w:lineRule="auto" w:line="240" w:before="80" w:after="283"/>
        <w:ind w:left="0" w:right="0" w:firstLine="576"/>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5759"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0" w:after="0"/>
        <w:ind w:left="0" w:right="0" w:firstLine="576"/>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40" w:before="80" w:after="283"/>
        <w:ind w:left="0" w:right="0" w:firstLine="576"/>
        <w:rPr/>
      </w:pPr>
      <w:r>
        <w:rPr>
          <w:rFonts w:ascii="Times New Roman;sans-serif" w:hAnsi="Times New Roman;sans-serif"/>
          <w:b w:val="false"/>
          <w:color w:val="000000"/>
          <w:sz w:val="18"/>
        </w:rPr>
        <w:t xml:space="preserve">Indicate by check mark whether the registrant is a shell company (as defined in Rule 12b-2 of the Exchange Act).Yes ☐ No </w:t>
      </w:r>
      <w:r>
        <w:rPr>
          <w:color w:val="000000"/>
        </w:rPr>
        <w:t>☒</w:t>
      </w:r>
    </w:p>
    <w:p>
      <w:pPr>
        <w:pStyle w:val="TextBody"/>
        <w:spacing w:lineRule="auto" w:line="240" w:before="80" w:after="283"/>
        <w:ind w:left="0" w:right="0" w:firstLine="490"/>
        <w:rPr>
          <w:rFonts w:ascii="Times New Roman;sans-serif" w:hAnsi="Times New Roman;sans-serif"/>
          <w:b w:val="false"/>
          <w:color w:val="000000"/>
          <w:sz w:val="18"/>
        </w:rPr>
      </w:pPr>
      <w:r>
        <w:rPr>
          <w:rFonts w:ascii="Times New Roman;sans-serif" w:hAnsi="Times New Roman;sans-serif"/>
          <w:b w:val="false"/>
          <w:color w:val="000000"/>
          <w:sz w:val="18"/>
        </w:rPr>
        <w:t>As of May 6, 2022, there were 75,267,422 shares of the registrant’s Class A common stock, 188,464,933 shares of Class V common stock, and 7,140,829 public warrants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tbl>
      <w:tblPr>
        <w:tblW w:w="8759" w:type="dxa"/>
        <w:jc w:val="left"/>
        <w:tblInd w:w="0" w:type="dxa"/>
        <w:tblCellMar>
          <w:top w:w="28" w:type="dxa"/>
          <w:left w:w="28" w:type="dxa"/>
          <w:bottom w:w="28" w:type="dxa"/>
          <w:right w:w="28" w:type="dxa"/>
        </w:tblCellMar>
      </w:tblPr>
      <w:tblGrid>
        <w:gridCol w:w="320"/>
        <w:gridCol w:w="281"/>
        <w:gridCol w:w="283"/>
        <w:gridCol w:w="2453"/>
        <w:gridCol w:w="2453"/>
        <w:gridCol w:w="2458"/>
        <w:gridCol w:w="149"/>
        <w:gridCol w:w="149"/>
        <w:gridCol w:w="213"/>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3">
              <w:r>
                <w:rPr>
                  <w:rStyle w:val="InternetLink"/>
                  <w:rFonts w:ascii="Times New Roman;sans-serif" w:hAnsi="Times New Roman;sans-serif"/>
                  <w:b w:val="false"/>
                  <w:color w:val="0E32E1"/>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6">
              <w:r>
                <w:rPr>
                  <w:rStyle w:val="InternetLink"/>
                  <w:rFonts w:ascii="Times New Roman;sans-serif" w:hAnsi="Times New Roman;sans-serif"/>
                  <w:b w:val="false"/>
                  <w:color w:val="0E32E1"/>
                  <w:sz w:val="20"/>
                  <w:u w:val="single"/>
                </w:rPr>
                <w:t>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9">
              <w:r>
                <w:rPr>
                  <w:rStyle w:val="InternetLink"/>
                  <w:rFonts w:ascii="Times New Roman;sans-serif" w:hAnsi="Times New Roman;sans-serif"/>
                  <w:b w:val="false"/>
                  <w:color w:val="0E32E1"/>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9">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22">
              <w:r>
                <w:rPr>
                  <w:rStyle w:val="InternetLink"/>
                  <w:rFonts w:ascii="Times New Roman;sans-serif" w:hAnsi="Times New Roman;sans-serif"/>
                  <w:b w:val="false"/>
                  <w:color w:val="0E32E1"/>
                  <w:sz w:val="20"/>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22">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25">
              <w:r>
                <w:rPr>
                  <w:rStyle w:val="InternetLink"/>
                  <w:rFonts w:ascii="Times New Roman;sans-serif" w:hAnsi="Times New Roman;sans-serif"/>
                  <w:b w:val="false"/>
                  <w:color w:val="0E32E1"/>
                  <w:sz w:val="20"/>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25">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28">
              <w:r>
                <w:rPr>
                  <w:rStyle w:val="InternetLink"/>
                  <w:rFonts w:ascii="Times New Roman;sans-serif" w:hAnsi="Times New Roman;sans-serif"/>
                  <w:b w:val="false"/>
                  <w:color w:val="0E32E1"/>
                  <w:sz w:val="20"/>
                  <w:u w:val="single"/>
                </w:rPr>
                <w:t>Consolidated Statements of Changes in Stockholders’ Equity and Mezzanine Equity</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28">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31">
              <w:r>
                <w:rPr>
                  <w:rStyle w:val="InternetLink"/>
                  <w:rFonts w:ascii="Times New Roman;sans-serif" w:hAnsi="Times New Roman;sans-serif"/>
                  <w:b w:val="false"/>
                  <w:color w:val="0E32E1"/>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34">
              <w:r>
                <w:rPr>
                  <w:rStyle w:val="InternetLink"/>
                  <w:rFonts w:ascii="Times New Roman;sans-serif" w:hAnsi="Times New Roman;sans-serif"/>
                  <w:b w:val="false"/>
                  <w:color w:val="0E32E1"/>
                  <w:sz w:val="20"/>
                  <w:u w:val="single"/>
                </w:rPr>
                <w:t>Notes to Unaudited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97">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97">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33">
              <w:r>
                <w:rPr>
                  <w:rStyle w:val="InternetLink"/>
                  <w:rFonts w:ascii="Times New Roman;sans-serif" w:hAnsi="Times New Roman;sans-serif"/>
                  <w:b w:val="false"/>
                  <w:color w:val="0E32E1"/>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33">
              <w:r>
                <w:rPr>
                  <w:rStyle w:val="InternetLink"/>
                  <w:rFonts w:ascii="Times New Roman;sans-serif" w:hAnsi="Times New Roman;sans-serif"/>
                  <w:b w:val="false"/>
                  <w:strike w:val="false"/>
                  <w:dstrike w:val="false"/>
                  <w:color w:val="000000"/>
                  <w:sz w:val="20"/>
                  <w:u w:val="none"/>
                  <w:effect w:val="non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36">
              <w:r>
                <w:rPr>
                  <w:rStyle w:val="InternetLink"/>
                  <w:rFonts w:ascii="Times New Roman;sans-serif" w:hAnsi="Times New Roman;sans-serif"/>
                  <w:b w:val="false"/>
                  <w:color w:val="0E32E1"/>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36">
              <w:r>
                <w:rPr>
                  <w:rStyle w:val="InternetLink"/>
                  <w:rFonts w:ascii="Times New Roman;sans-serif" w:hAnsi="Times New Roman;sans-serif"/>
                  <w:b w:val="false"/>
                  <w:strike w:val="false"/>
                  <w:dstrike w:val="false"/>
                  <w:color w:val="000000"/>
                  <w:sz w:val="20"/>
                  <w:u w:val="none"/>
                  <w:effect w:val="non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39">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42">
              <w:r>
                <w:rPr>
                  <w:rStyle w:val="InternetLink"/>
                  <w:rFonts w:ascii="Times New Roman;sans-serif" w:hAnsi="Times New Roman;sans-serif"/>
                  <w:b w:val="false"/>
                  <w:color w:val="0E32E1"/>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42">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45">
              <w:r>
                <w:rPr>
                  <w:rStyle w:val="InternetLink"/>
                  <w:rFonts w:ascii="Times New Roman;sans-serif" w:hAnsi="Times New Roman;sans-serif"/>
                  <w:b w:val="false"/>
                  <w:color w:val="0E32E1"/>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45">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48">
              <w:r>
                <w:rPr>
                  <w:rStyle w:val="InternetLink"/>
                  <w:rFonts w:ascii="Times New Roman;sans-serif" w:hAnsi="Times New Roman;sans-serif"/>
                  <w:b w:val="false"/>
                  <w:color w:val="0E32E1"/>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48">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51">
              <w:r>
                <w:rPr>
                  <w:rStyle w:val="InternetLink"/>
                  <w:rFonts w:ascii="Times New Roman;sans-serif" w:hAnsi="Times New Roman;sans-serif"/>
                  <w:b w:val="false"/>
                  <w:color w:val="0E32E1"/>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51">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54">
              <w:r>
                <w:rPr>
                  <w:rStyle w:val="InternetLink"/>
                  <w:rFonts w:ascii="Times New Roman;sans-serif" w:hAnsi="Times New Roman;sans-serif"/>
                  <w:b w:val="false"/>
                  <w:color w:val="0E32E1"/>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54">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57">
              <w:r>
                <w:rPr>
                  <w:rStyle w:val="InternetLink"/>
                  <w:rFonts w:ascii="Times New Roman;sans-serif" w:hAnsi="Times New Roman;sans-serif"/>
                  <w:b w:val="false"/>
                  <w:color w:val="0E32E1"/>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57">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60">
              <w:r>
                <w:rPr>
                  <w:rStyle w:val="InternetLink"/>
                  <w:rFonts w:ascii="Times New Roman;sans-serif" w:hAnsi="Times New Roman;sans-serif"/>
                  <w:b w:val="false"/>
                  <w:color w:val="0E32E1"/>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60">
              <w:r>
                <w:rPr>
                  <w:rStyle w:val="InternetLink"/>
                  <w:rFonts w:ascii="Times New Roman;sans-serif" w:hAnsi="Times New Roman;sans-serif"/>
                  <w:b w:val="false"/>
                  <w:strike w:val="false"/>
                  <w:dstrike w:val="false"/>
                  <w:color w:val="000000"/>
                  <w:sz w:val="20"/>
                  <w:u w:val="none"/>
                  <w:effect w:val="none"/>
                </w:rPr>
                <w:t>51</w:t>
              </w:r>
            </w:hyperlink>
          </w:p>
        </w:tc>
      </w:tr>
      <w:tr>
        <w:trPr/>
        <w:tc>
          <w:tcPr>
            <w:tcW w:w="8248"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fb2531c6bc24e02935ed85eab533934_163">
              <w:r>
                <w:rPr>
                  <w:rStyle w:val="InternetLink"/>
                  <w:rFonts w:ascii="Times New Roman;sans-serif" w:hAnsi="Times New Roman;sans-serif"/>
                  <w:b w:val="false"/>
                  <w:color w:val="0E32E1"/>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fb2531c6bc24e02935ed85eab533934_163">
              <w:r>
                <w:rPr>
                  <w:rStyle w:val="InternetLink"/>
                  <w:rFonts w:ascii="Times New Roman;sans-serif" w:hAnsi="Times New Roman;sans-serif"/>
                  <w:b w:val="false"/>
                  <w:strike w:val="false"/>
                  <w:dstrike w:val="false"/>
                  <w:color w:val="000000"/>
                  <w:sz w:val="20"/>
                  <w:u w:val="none"/>
                  <w:effect w:val="none"/>
                </w:rPr>
                <w:t>52</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9"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CAUTIONARY NOTE REGARDING FORWARD-LOOKING STATEMENTS</w:t>
      </w:r>
    </w:p>
    <w:p>
      <w:pPr>
        <w:pStyle w:val="TextBody"/>
        <w:spacing w:before="0" w:after="0"/>
        <w:jc w:val="center"/>
        <w:rPr/>
      </w:pPr>
      <w:r>
        <w:rPr/>
      </w:r>
    </w:p>
    <w:p>
      <w:pPr>
        <w:pStyle w:val="TextBody"/>
        <w:spacing w:lineRule="auto" w:line="240"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to “Bakkt,” “we,” “us,” “our,” or the “Company” in this Quarterly Report on Form 10-Q (this “Report”) refer to Bakkt Holdings, Inc. and its subsidiaries.</w:t>
      </w:r>
    </w:p>
    <w:p>
      <w:pPr>
        <w:pStyle w:val="TextBody"/>
        <w:spacing w:before="80" w:after="283"/>
        <w:jc w:val="both"/>
        <w:rPr/>
      </w:pPr>
      <w:r>
        <w:rPr/>
      </w:r>
    </w:p>
    <w:p>
      <w:pPr>
        <w:pStyle w:val="TextBody"/>
        <w:spacing w:lineRule="auto" w:line="249" w:before="80" w:after="283"/>
        <w:ind w:left="0" w:right="0" w:firstLine="720"/>
        <w:jc w:val="both"/>
        <w:rPr/>
      </w:pPr>
      <w:r>
        <w:rPr>
          <w:rFonts w:ascii="Times New Roman;sans-serif" w:hAnsi="Times New Roman;sans-serif"/>
          <w:b w:val="false"/>
          <w:color w:val="000000"/>
          <w:sz w:val="20"/>
          <w:highlight w:val="white"/>
        </w:rPr>
        <w:t xml:space="preserve">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and incident to its business. </w:t>
      </w:r>
      <w:r>
        <w:rPr>
          <w:rFonts w:ascii="Times New Roman;sans-serif" w:hAnsi="Times New Roman;sans-serif"/>
          <w:b w:val="false"/>
          <w:color w:val="231F20"/>
          <w:sz w:val="20"/>
        </w:rPr>
        <w:t>Forward-looking statements in this Report may include, for example, statements about:</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future financial performance;</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in the market for our products and services; and</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expansion plans and opportunities.</w:t>
      </w:r>
    </w:p>
    <w:p>
      <w:pPr>
        <w:pStyle w:val="TextBody"/>
        <w:spacing w:before="80" w:after="283"/>
        <w:jc w:val="both"/>
        <w:rPr/>
      </w:pPr>
      <w:r>
        <w:rPr/>
      </w:r>
    </w:p>
    <w:p>
      <w:pPr>
        <w:pStyle w:val="TextBody"/>
        <w:spacing w:lineRule="auto" w:line="290" w:before="0" w:after="0"/>
        <w:ind w:left="0" w:right="0" w:firstLine="720"/>
        <w:jc w:val="both"/>
        <w:rPr/>
      </w:pPr>
      <w:r>
        <w:rPr>
          <w:rFonts w:ascii="Times New Roman;sans-serif" w:hAnsi="Times New Roman;sans-serif"/>
          <w:b w:val="false"/>
          <w:color w:val="231F20"/>
          <w:sz w:val="20"/>
        </w:rPr>
        <w:t xml:space="preserve">These forward-looking statements are based on information available as of the date of this </w:t>
      </w:r>
      <w:r>
        <w:rPr>
          <w:rFonts w:ascii="Times New Roman;sans-serif" w:hAnsi="Times New Roman;sans-serif"/>
          <w:b w:val="false"/>
          <w:color w:val="000000"/>
          <w:sz w:val="20"/>
          <w:highlight w:val="white"/>
        </w:rPr>
        <w:t>Report</w:t>
      </w:r>
      <w:r>
        <w:rPr>
          <w:color w:val="231F20"/>
        </w:rPr>
        <w:t xml:space="preserve"> </w:t>
      </w:r>
      <w:r>
        <w:rPr>
          <w:rFonts w:ascii="Times New Roman;sans-serif" w:hAnsi="Times New Roman;sans-serif"/>
          <w:b w:val="false"/>
          <w:color w:val="231F20"/>
          <w:sz w:val="20"/>
        </w:rPr>
        <w:t>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spacing w:before="5" w:after="283"/>
        <w:jc w:val="both"/>
        <w:rPr/>
      </w:pPr>
      <w:r>
        <w:rPr/>
      </w:r>
    </w:p>
    <w:p>
      <w:pPr>
        <w:pStyle w:val="TextBody"/>
        <w:spacing w:lineRule="auto" w:line="290"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ability to grow and manage growth profitably;</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changes in the market in which we compete, including with respect to our competitive landscape, technology evolution or changes in applicable laws or regulations;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in the digital asset markets that we target;</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changes to our relationships within the payment ecosystem;</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inability to launch new services and products or to profitably expand into new markets and services;</w:t>
      </w:r>
    </w:p>
    <w:p>
      <w:pPr>
        <w:pStyle w:val="TextBody"/>
        <w:spacing w:before="2" w:after="283"/>
        <w:jc w:val="both"/>
        <w:rPr/>
      </w:pPr>
      <w:r>
        <w:rPr/>
      </w:r>
    </w:p>
    <w:p>
      <w:pPr>
        <w:pStyle w:val="TextBody"/>
        <w:spacing w:lineRule="auto" w:line="240" w:before="0" w:after="0"/>
        <w:ind w:left="0" w:right="0" w:hanging="300"/>
        <w:jc w:val="both"/>
        <w:rPr>
          <w:color w:val="231F20"/>
        </w:rPr>
      </w:pPr>
      <w:r>
        <w:rPr>
          <w:color w:val="231F20"/>
        </w:rPr>
        <w:t>•    </w:t>
      </w:r>
      <w:r>
        <w:rPr>
          <w:rFonts w:ascii="Times New Roman;sans-serif" w:hAnsi="Times New Roman;sans-serif"/>
          <w:b w:val="false"/>
          <w:color w:val="231F20"/>
          <w:sz w:val="20"/>
        </w:rPr>
        <w:t>the inability to execute our growth strategies, including identifying and executing acquisitions and our initiatives to add new partners and customers;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the inability to develop and maintain effective internal controls and procedures;</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exposure to any liability, protracted and costly litigation or reputational damage relating to our data security;</w:t>
      </w:r>
    </w:p>
    <w:p>
      <w:pPr>
        <w:pStyle w:val="TextBody"/>
        <w:spacing w:before="2" w:after="283"/>
        <w:jc w:val="both"/>
        <w:rPr/>
      </w:pPr>
      <w:r>
        <w:rPr/>
      </w:r>
    </w:p>
    <w:p>
      <w:pPr>
        <w:pStyle w:val="TextBody"/>
        <w:spacing w:lineRule="auto" w:line="290" w:before="0" w:after="0"/>
        <w:ind w:left="0" w:right="0" w:hanging="300"/>
        <w:jc w:val="both"/>
        <w:rPr>
          <w:color w:val="231F20"/>
        </w:rPr>
      </w:pPr>
      <w:r>
        <w:rPr>
          <w:color w:val="231F20"/>
        </w:rPr>
        <w:t>•    </w:t>
      </w:r>
      <w:r>
        <w:rPr>
          <w:rFonts w:ascii="Times New Roman;sans-serif" w:hAnsi="Times New Roman;sans-serif"/>
          <w:b w:val="false"/>
          <w:color w:val="231F20"/>
          <w:sz w:val="20"/>
        </w:rPr>
        <w:t>the possibility that we may be adversely affected by other economic, business, and/or competitive factors;</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the impact of the novel coronavirus pandemic;</w:t>
      </w:r>
    </w:p>
    <w:p>
      <w:pPr>
        <w:pStyle w:val="TextBody"/>
        <w:spacing w:before="2" w:after="283"/>
        <w:jc w:val="both"/>
        <w:rPr/>
      </w:pPr>
      <w:r>
        <w:rPr/>
      </w:r>
    </w:p>
    <w:p>
      <w:pPr>
        <w:pStyle w:val="TextBody"/>
        <w:spacing w:lineRule="auto" w:line="240" w:before="0" w:after="0"/>
        <w:jc w:val="both"/>
        <w:rPr>
          <w:color w:val="231F20"/>
        </w:rPr>
      </w:pPr>
      <w:r>
        <w:rPr>
          <w:color w:val="231F20"/>
        </w:rPr>
        <w:t>•    </w:t>
      </w:r>
      <w:r>
        <w:rPr>
          <w:rFonts w:ascii="Times New Roman;sans-serif" w:hAnsi="Times New Roman;sans-serif"/>
          <w:b w:val="false"/>
          <w:color w:val="231F20"/>
          <w:sz w:val="20"/>
        </w:rPr>
        <w:t>our inability to maintain the listing of our securities on the NYSE; and</w:t>
      </w:r>
    </w:p>
    <w:p>
      <w:pPr>
        <w:pStyle w:val="TextBody"/>
        <w:spacing w:before="2" w:after="283"/>
        <w:jc w:val="both"/>
        <w:rPr/>
      </w:pPr>
      <w:r>
        <w:rPr/>
      </w:r>
    </w:p>
    <w:p>
      <w:pPr>
        <w:pStyle w:val="TextBody"/>
        <w:spacing w:lineRule="auto" w:line="240" w:before="0" w:after="0"/>
        <w:jc w:val="both"/>
        <w:rPr/>
      </w:pPr>
      <w:r>
        <w:rPr>
          <w:color w:val="231F20"/>
        </w:rPr>
        <w:t>•    </w:t>
      </w:r>
      <w:r>
        <w:rPr>
          <w:rFonts w:ascii="Times New Roman;sans-serif" w:hAnsi="Times New Roman;sans-serif"/>
          <w:b w:val="false"/>
          <w:color w:val="231F20"/>
          <w:sz w:val="20"/>
        </w:rPr>
        <w:t>other risks and uncertainties indicated in this Report, including those set forth under “</w:t>
      </w:r>
      <w:r>
        <w:rPr>
          <w:rFonts w:ascii="Times New Roman;sans-serif" w:hAnsi="Times New Roman;sans-serif"/>
          <w:b w:val="false"/>
          <w:i/>
          <w:color w:val="231F20"/>
          <w:sz w:val="20"/>
        </w:rPr>
        <w:t>Risk</w:t>
      </w:r>
      <w:r>
        <w:rPr>
          <w:color w:val="000000"/>
        </w:rPr>
        <w:t xml:space="preserve"> </w:t>
      </w:r>
      <w:r>
        <w:rPr>
          <w:rFonts w:ascii="Times New Roman;sans-serif" w:hAnsi="Times New Roman;sans-serif"/>
          <w:b w:val="false"/>
          <w:i/>
          <w:color w:val="231F20"/>
          <w:sz w:val="20"/>
        </w:rPr>
        <w:t>Factors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Bakkt Holdings, Inc.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unit data)</w:t>
      </w:r>
    </w:p>
    <w:tbl>
      <w:tblPr>
        <w:tblW w:w="10205" w:type="dxa"/>
        <w:jc w:val="left"/>
        <w:tblInd w:w="0" w:type="dxa"/>
        <w:tblCellMar>
          <w:top w:w="28" w:type="dxa"/>
          <w:left w:w="28" w:type="dxa"/>
          <w:bottom w:w="28" w:type="dxa"/>
          <w:right w:w="28" w:type="dxa"/>
        </w:tblCellMar>
      </w:tblPr>
      <w:tblGrid>
        <w:gridCol w:w="2834"/>
        <w:gridCol w:w="2305"/>
        <w:gridCol w:w="2303"/>
        <w:gridCol w:w="202"/>
        <w:gridCol w:w="898"/>
        <w:gridCol w:w="112"/>
        <w:gridCol w:w="109"/>
        <w:gridCol w:w="109"/>
        <w:gridCol w:w="109"/>
        <w:gridCol w:w="196"/>
        <w:gridCol w:w="871"/>
        <w:gridCol w:w="157"/>
      </w:tblGrid>
      <w:tr>
        <w:trPr/>
        <w:tc>
          <w:tcPr>
            <w:tcW w:w="2834"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74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391,364 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18,142 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4,784 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428,042 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1,527,118 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383,091 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388,469 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clearinghouse, noncurrent</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2,383,999 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2,414,285 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64,090 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current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11,593 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0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118,712 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120,114 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13)</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750,000,000 shares authorized, 57,164,488 shares issued and outstanding as of March 31, 2022 and 57,164,388 shares issued and outstanding as of December 31, 2021)</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V common stock ($0.0001 par value, 250,000,000 shares authorized; 206,003,270 shares issued and outstanding as of March 31, 2022 and 206,271,792 shares issued and outstanding as of December 31, 2021)</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579,957 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566,766 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(105,470)</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(98,342)</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1,790,787 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1,825,775 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2,265,287 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2,294,171 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2,383,999 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2,414,285 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33" w:before="12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344"/>
        <w:gridCol w:w="1989"/>
        <w:gridCol w:w="2005"/>
        <w:gridCol w:w="324"/>
        <w:gridCol w:w="1072"/>
        <w:gridCol w:w="180"/>
        <w:gridCol w:w="109"/>
        <w:gridCol w:w="109"/>
        <w:gridCol w:w="109"/>
        <w:gridCol w:w="109"/>
        <w:gridCol w:w="109"/>
        <w:gridCol w:w="109"/>
        <w:gridCol w:w="299"/>
        <w:gridCol w:w="1099"/>
        <w:gridCol w:w="239"/>
      </w:tblGrid>
      <w:tr>
        <w:trPr/>
        <w:tc>
          <w:tcPr>
            <w:tcW w:w="2344"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Predecessor</w:t>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Net revenues (includes related party net revenues of $20 and affiliate net revenues of $(26), respectively) </w:t>
            </w:r>
            <w:r>
              <w:rPr>
                <w:rFonts w:ascii="Times New Roman;sans-serif" w:hAnsi="Times New Roman;sans-serif"/>
                <w:b w:val="false"/>
                <w:color w:val="000000"/>
                <w:sz w:val="12"/>
              </w:rPr>
              <w:t>(1)</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8,145 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15,233 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Related party expenses (affiliate in Predecessor period) </w:t>
            </w:r>
            <w:r>
              <w:rPr>
                <w:rFonts w:ascii="Times New Roman;sans-serif" w:hAnsi="Times New Roman;sans-serif"/>
                <w:b w:val="false"/>
                <w:color w:val="000000"/>
                <w:sz w:val="12"/>
              </w:rPr>
              <w:t>(1)</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(48,486)</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(28,410)</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change in fair value of warrant liability</w:t>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(46,459)</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(28,797)</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3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(43,321)</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(28,820)</w:t>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(36,193)</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3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(7,128)</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Bakkt Holdings, Inc.</w:t>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stockholders per share:</w:t>
            </w:r>
          </w:p>
        </w:tc>
        <w:tc>
          <w:tcPr>
            <w:tcW w:w="1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r>
    </w:tbl>
    <w:p>
      <w:pPr>
        <w:pStyle w:val="TextBody"/>
        <w:spacing w:before="0" w:after="0"/>
        <w:rPr/>
      </w:pPr>
      <w:r>
        <w:rPr/>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(1)As a result of the Business Combination, ICE and its affiliates are no longer our affiliates. Refer to Note 7 for our related party disclosures.</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(2)Basic and diluted loss per share is not presented for the Predecessor period due to lack of comparability with the Successor period.</w:t>
      </w:r>
    </w:p>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Consolidated Statements of Comprehensive Loss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spacing w:before="0" w:after="0"/>
        <w:jc w:val="center"/>
        <w:rPr/>
      </w:pPr>
      <w:r>
        <w:rPr/>
      </w:r>
    </w:p>
    <w:tbl>
      <w:tblPr>
        <w:tblW w:w="8406" w:type="dxa"/>
        <w:jc w:val="left"/>
        <w:tblInd w:w="0" w:type="dxa"/>
        <w:tblCellMar>
          <w:top w:w="28" w:type="dxa"/>
          <w:left w:w="28" w:type="dxa"/>
          <w:bottom w:w="28" w:type="dxa"/>
          <w:right w:w="28" w:type="dxa"/>
        </w:tblCellMar>
      </w:tblPr>
      <w:tblGrid>
        <w:gridCol w:w="1520"/>
        <w:gridCol w:w="1330"/>
        <w:gridCol w:w="1349"/>
        <w:gridCol w:w="335"/>
        <w:gridCol w:w="1233"/>
        <w:gridCol w:w="186"/>
        <w:gridCol w:w="109"/>
        <w:gridCol w:w="109"/>
        <w:gridCol w:w="109"/>
        <w:gridCol w:w="109"/>
        <w:gridCol w:w="109"/>
        <w:gridCol w:w="109"/>
        <w:gridCol w:w="329"/>
        <w:gridCol w:w="1212"/>
        <w:gridCol w:w="258"/>
      </w:tblGrid>
      <w:tr>
        <w:trPr/>
        <w:tc>
          <w:tcPr>
            <w:tcW w:w="152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Predecessor</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net of tax</w:t>
            </w:r>
          </w:p>
        </w:tc>
        <w:tc>
          <w:tcPr>
            <w:tcW w:w="15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noncontrolling interest</w:t>
            </w:r>
          </w:p>
        </w:tc>
        <w:tc>
          <w:tcPr>
            <w:tcW w:w="15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(36,046)</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Bakkt Holdings, Inc.</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Stockholders’ Equity (Successor)</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except unit data)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1670" w:type="dxa"/>
        <w:jc w:val="left"/>
        <w:tblInd w:w="0" w:type="dxa"/>
        <w:tblCellMar>
          <w:top w:w="28" w:type="dxa"/>
          <w:left w:w="28" w:type="dxa"/>
          <w:bottom w:w="28" w:type="dxa"/>
          <w:right w:w="28" w:type="dxa"/>
        </w:tblCellMar>
      </w:tblPr>
      <w:tblGrid>
        <w:gridCol w:w="384"/>
        <w:gridCol w:w="205"/>
        <w:gridCol w:w="207"/>
        <w:gridCol w:w="338"/>
        <w:gridCol w:w="338"/>
        <w:gridCol w:w="151"/>
        <w:gridCol w:w="109"/>
        <w:gridCol w:w="109"/>
        <w:gridCol w:w="109"/>
        <w:gridCol w:w="194"/>
        <w:gridCol w:w="212"/>
        <w:gridCol w:w="109"/>
        <w:gridCol w:w="109"/>
        <w:gridCol w:w="109"/>
        <w:gridCol w:w="109"/>
        <w:gridCol w:w="368"/>
        <w:gridCol w:w="368"/>
        <w:gridCol w:w="151"/>
        <w:gridCol w:w="109"/>
        <w:gridCol w:w="109"/>
        <w:gridCol w:w="109"/>
        <w:gridCol w:w="166"/>
        <w:gridCol w:w="256"/>
        <w:gridCol w:w="109"/>
        <w:gridCol w:w="109"/>
        <w:gridCol w:w="109"/>
        <w:gridCol w:w="109"/>
        <w:gridCol w:w="166"/>
        <w:gridCol w:w="526"/>
        <w:gridCol w:w="109"/>
        <w:gridCol w:w="109"/>
        <w:gridCol w:w="109"/>
        <w:gridCol w:w="109"/>
        <w:gridCol w:w="166"/>
        <w:gridCol w:w="541"/>
        <w:gridCol w:w="109"/>
        <w:gridCol w:w="109"/>
        <w:gridCol w:w="109"/>
        <w:gridCol w:w="109"/>
        <w:gridCol w:w="278"/>
        <w:gridCol w:w="454"/>
        <w:gridCol w:w="184"/>
        <w:gridCol w:w="109"/>
        <w:gridCol w:w="109"/>
        <w:gridCol w:w="109"/>
        <w:gridCol w:w="168"/>
        <w:gridCol w:w="532"/>
        <w:gridCol w:w="111"/>
        <w:gridCol w:w="109"/>
        <w:gridCol w:w="109"/>
        <w:gridCol w:w="109"/>
        <w:gridCol w:w="166"/>
        <w:gridCol w:w="616"/>
        <w:gridCol w:w="109"/>
        <w:gridCol w:w="109"/>
        <w:gridCol w:w="109"/>
        <w:gridCol w:w="109"/>
        <w:gridCol w:w="166"/>
        <w:gridCol w:w="616"/>
        <w:gridCol w:w="154"/>
      </w:tblGrid>
      <w:tr>
        <w:trPr/>
        <w:tc>
          <w:tcPr>
            <w:tcW w:w="38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V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December 31, 2021</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57,164,388 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206,271,792 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2,294,171 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 (Note 10)</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 (Note 10)</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Forfeiture and cancellation of common units (Note 10)</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(268,522)</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warrants (Note 8)</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(7,128)</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(36,193)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(43,321)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March 31, 2022</w:t>
            </w:r>
          </w:p>
        </w:tc>
        <w:tc>
          <w:tcPr>
            <w:tcW w:w="67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57,164,488 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206,003,270 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579,957 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(105,470)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1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474,500 </w:t>
            </w:r>
          </w:p>
        </w:tc>
        <w:tc>
          <w:tcPr>
            <w:tcW w:w="1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1,790,787 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2,265,287 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333" w:before="24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TextBody"/>
        <w:spacing w:before="0" w:after="0"/>
        <w:jc w:val="center"/>
        <w:rPr/>
      </w:pPr>
      <w:r>
        <w:rPr/>
      </w:r>
    </w:p>
    <w:p>
      <w:pPr>
        <w:pStyle w:val="TextBody"/>
        <w:spacing w:before="0" w:after="0"/>
        <w:jc w:val="center"/>
        <w:rPr/>
      </w:pPr>
      <w:r>
        <w:rPr/>
      </w:r>
    </w:p>
    <w:p>
      <w:pPr>
        <w:pStyle w:val="TextBody"/>
        <w:rPr/>
      </w:pPr>
      <w:r>
        <w:rPr/>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Members’ Equity and Mezzanine Equity (Predecessor)</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except unit data)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spacing w:before="0" w:after="0"/>
        <w:jc w:val="center"/>
        <w:rPr/>
      </w:pPr>
      <w:r>
        <w:rPr/>
      </w:r>
    </w:p>
    <w:tbl>
      <w:tblPr>
        <w:tblW w:w="15576" w:type="dxa"/>
        <w:jc w:val="center"/>
        <w:tblInd w:w="0" w:type="dxa"/>
        <w:tblCellMar>
          <w:top w:w="28" w:type="dxa"/>
          <w:left w:w="28" w:type="dxa"/>
          <w:bottom w:w="28" w:type="dxa"/>
          <w:right w:w="28" w:type="dxa"/>
        </w:tblCellMar>
      </w:tblPr>
      <w:tblGrid>
        <w:gridCol w:w="391"/>
        <w:gridCol w:w="172"/>
        <w:gridCol w:w="173"/>
        <w:gridCol w:w="368"/>
        <w:gridCol w:w="368"/>
        <w:gridCol w:w="116"/>
        <w:gridCol w:w="109"/>
        <w:gridCol w:w="109"/>
        <w:gridCol w:w="109"/>
        <w:gridCol w:w="166"/>
        <w:gridCol w:w="406"/>
        <w:gridCol w:w="109"/>
        <w:gridCol w:w="109"/>
        <w:gridCol w:w="109"/>
        <w:gridCol w:w="109"/>
        <w:gridCol w:w="368"/>
        <w:gridCol w:w="368"/>
        <w:gridCol w:w="116"/>
        <w:gridCol w:w="109"/>
        <w:gridCol w:w="109"/>
        <w:gridCol w:w="109"/>
        <w:gridCol w:w="166"/>
        <w:gridCol w:w="526"/>
        <w:gridCol w:w="109"/>
        <w:gridCol w:w="109"/>
        <w:gridCol w:w="109"/>
        <w:gridCol w:w="109"/>
        <w:gridCol w:w="203"/>
        <w:gridCol w:w="203"/>
        <w:gridCol w:w="186"/>
        <w:gridCol w:w="109"/>
        <w:gridCol w:w="109"/>
        <w:gridCol w:w="109"/>
        <w:gridCol w:w="166"/>
        <w:gridCol w:w="406"/>
        <w:gridCol w:w="109"/>
        <w:gridCol w:w="109"/>
        <w:gridCol w:w="109"/>
        <w:gridCol w:w="109"/>
        <w:gridCol w:w="368"/>
        <w:gridCol w:w="368"/>
        <w:gridCol w:w="116"/>
        <w:gridCol w:w="109"/>
        <w:gridCol w:w="109"/>
        <w:gridCol w:w="109"/>
        <w:gridCol w:w="166"/>
        <w:gridCol w:w="526"/>
        <w:gridCol w:w="109"/>
        <w:gridCol w:w="109"/>
        <w:gridCol w:w="109"/>
        <w:gridCol w:w="109"/>
        <w:gridCol w:w="166"/>
        <w:gridCol w:w="526"/>
        <w:gridCol w:w="109"/>
        <w:gridCol w:w="109"/>
        <w:gridCol w:w="109"/>
        <w:gridCol w:w="109"/>
        <w:gridCol w:w="232"/>
        <w:gridCol w:w="441"/>
        <w:gridCol w:w="153"/>
        <w:gridCol w:w="109"/>
        <w:gridCol w:w="109"/>
        <w:gridCol w:w="109"/>
        <w:gridCol w:w="166"/>
        <w:gridCol w:w="526"/>
        <w:gridCol w:w="109"/>
        <w:gridCol w:w="327"/>
        <w:gridCol w:w="406"/>
        <w:gridCol w:w="116"/>
        <w:gridCol w:w="327"/>
        <w:gridCol w:w="166"/>
        <w:gridCol w:w="466"/>
        <w:gridCol w:w="109"/>
        <w:gridCol w:w="327"/>
        <w:gridCol w:w="166"/>
        <w:gridCol w:w="466"/>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A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B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B Warrant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Class C Voting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Accumulated Other </w:t>
              <w:br/>
              <w:t>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Total Member's </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Incentive Units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Total Mezzanine </w:t>
              <w:br/>
              <w:t>Equity</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Balance as of 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400,000,000 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270,270,270 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310,104 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388,330 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21,452 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Issuance of Class A voting units (Note 9)</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Unit-based incentive compensation (Note 10)</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Currency translation adjustment, net of tax</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(28,820)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(28,820)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Balance as of March 31, 2021</w:t>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400,000,000 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2,723 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182,500,000 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182,500 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5,426 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270,270,270 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310,104 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(141,324)</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270 </w:t>
            </w:r>
          </w:p>
        </w:tc>
        <w:tc>
          <w:tcPr>
            <w:tcW w:w="1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359,699 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22,322 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22,322 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(in thousands)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tbl>
      <w:tblPr>
        <w:tblW w:w="10205" w:type="dxa"/>
        <w:jc w:val="center"/>
        <w:tblInd w:w="0" w:type="dxa"/>
        <w:tblCellMar>
          <w:top w:w="28" w:type="dxa"/>
          <w:left w:w="28" w:type="dxa"/>
          <w:bottom w:w="28" w:type="dxa"/>
          <w:right w:w="28" w:type="dxa"/>
        </w:tblCellMar>
      </w:tblPr>
      <w:tblGrid>
        <w:gridCol w:w="2387"/>
        <w:gridCol w:w="2007"/>
        <w:gridCol w:w="2013"/>
        <w:gridCol w:w="109"/>
        <w:gridCol w:w="109"/>
        <w:gridCol w:w="109"/>
        <w:gridCol w:w="263"/>
        <w:gridCol w:w="989"/>
        <w:gridCol w:w="146"/>
        <w:gridCol w:w="109"/>
        <w:gridCol w:w="109"/>
        <w:gridCol w:w="109"/>
        <w:gridCol w:w="109"/>
        <w:gridCol w:w="109"/>
        <w:gridCol w:w="109"/>
        <w:gridCol w:w="263"/>
        <w:gridCol w:w="946"/>
        <w:gridCol w:w="210"/>
      </w:tblGrid>
      <w:tr>
        <w:trPr/>
        <w:tc>
          <w:tcPr>
            <w:tcW w:w="2387"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2021</w:t>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(43,321)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(28,820)</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(Note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compensation expense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affiliate capital contribution (Note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customer consideration asset (Note 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from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common units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clearinghouse affiliate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20,409 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Due to related party (affiliate in Predecessor period) </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liabilities (Note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development costs and other 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warrants (Note 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restricted cash and customer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customer funds at the beginning of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408,415 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91,943 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customer funds at the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372,326 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right-of-use asset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voting units in exchange of capital contribution (Note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development costs and other capital expenditures included in accounts payable and accrued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restricted cash and customer funds to consolidated 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355,196 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70,248 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restricted cash and customer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372,326 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86,963 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(1)As a result of the Business Combination, ICE and its affiliates are no longer our affiliates. Refer to Note 7 for our related party disclosures.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333"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Notes to Consolidated Financial Statements </w:t>
      </w:r>
    </w:p>
    <w:p>
      <w:pPr>
        <w:pStyle w:val="TextBody"/>
        <w:spacing w:lineRule="auto" w:line="333"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(the “Closing Date”), VIH and Bakkt Opco Holdings, LLC (then known as Bakkt Holdings, LLC, "Opco") and its operating subsidiaries consummated a business combination (the “Business Combination”) contemplated by the Agreement and Plan of Merger entered into on January 11, 2021 (as amended, the “Merger Agreement”). In connection with the Business Combination, VIH changed its name to “Bakkt Holdings, Inc.” and changed its jurisdiction of incorporation from the Cayman Islands to the State of Delaware (the “Domestication”).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provides, “we,” “us,” “our,” “Bakkt,” the “Company” and like terms refer (i) prior to the Closing Date, to Opco and its subsidiaries and (ii) after the Closing Date, to Bakkt Holdings, Inc. and its subsidiaries, including Opco.</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 </w:t>
      </w:r>
    </w:p>
    <w:p>
      <w:pPr>
        <w:pStyle w:val="TextBody"/>
        <w:spacing w:before="0" w:after="0"/>
        <w:jc w:val="both"/>
        <w:rPr/>
      </w:pPr>
      <w:r>
        <w:rPr/>
      </w:r>
    </w:p>
    <w:p>
      <w:pPr>
        <w:pStyle w:val="TextBody"/>
        <w:spacing w:lineRule="auto" w:line="312"/>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to our consolidated financial statements included in our Annual Report on Form 10-K for the year ended December 31, 2021 filed with the U.S. Securities and Exchange Commission (the "SEC") on March 31, 2022 (the "Form 10-K") where the Business Combination is described in detail.</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warrants are listed on the New York Stock Exchange under the ticker symbols “BKKT” and “BKKT WS,” respectively.</w:t>
      </w: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offer a platform with three complementary aspects - a digital asset marketplace, a loyalty redemption service, and an alternative payment method.</w:t>
      </w:r>
    </w:p>
    <w:p>
      <w:pPr>
        <w:pStyle w:val="TextBody"/>
        <w:spacing w:lineRule="auto" w:line="333" w:before="240" w:after="283"/>
        <w:ind w:left="0" w:right="0" w:firstLine="720"/>
        <w:jc w:val="both"/>
        <w:rPr/>
      </w:pPr>
      <w:r>
        <w:rPr>
          <w:rFonts w:ascii="Times New Roman;sans-serif" w:hAnsi="Times New Roman;sans-serif"/>
          <w:b/>
          <w:color w:val="0C0C0C"/>
          <w:sz w:val="20"/>
        </w:rPr>
        <w:t>Digital Asset Marketplace</w:t>
      </w:r>
      <w:r>
        <w:rPr>
          <w:rFonts w:ascii="Times New Roman;sans-serif" w:hAnsi="Times New Roman;sans-serif"/>
          <w:b w:val="false"/>
          <w:i/>
          <w:color w:val="0C0C0C"/>
          <w:sz w:val="20"/>
        </w:rPr>
        <w:t xml:space="preserve">. </w:t>
      </w:r>
      <w:r>
        <w:rPr>
          <w:rFonts w:ascii="Times New Roman;sans-serif" w:hAnsi="Times New Roman;sans-serif"/>
          <w:b w:val="false"/>
          <w:color w:val="151515"/>
          <w:sz w:val="20"/>
        </w:rPr>
        <w:t xml:space="preserve">Our digital asset marketplace enables participants to seamlessly transact in a growing universe of digital assets and has applications for individual consumers, businesses and institutions. In Bakkt Trust Company LLC (“Bakkt Trust”), we have an institutional-grade custodian for bitcoin and ether. </w:t>
      </w:r>
      <w:r>
        <w:rPr>
          <w:rFonts w:ascii="Times New Roman;sans-serif" w:hAnsi="Times New Roman;sans-serif"/>
          <w:b w:val="false"/>
          <w:color w:val="000000"/>
          <w:sz w:val="20"/>
        </w:rPr>
        <w:t>Bakkt Trust is a New York limited-purpose trust company that is chartered by and subject to the supervision and oversight of the New York Department of Financial Services (“NYDFS”).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and ether, which enables Bakkt Trust to offer end-to-end regulated, physically-delivered bitcoin futures and options contracts to financial institutions and market makers. In addition, Bakkt Trust offers non-trading- related, standalone custody of bitcoin and ether to institutions and certain high net worth individuals in cryptoassets, subject to NYDFS regulatory oversight.</w:t>
      </w:r>
    </w:p>
    <w:p>
      <w:pPr>
        <w:pStyle w:val="TextBody"/>
        <w:spacing w:lineRule="auto" w:line="333" w:before="240" w:after="283"/>
        <w:ind w:left="0" w:right="0" w:firstLine="720"/>
        <w:jc w:val="both"/>
        <w:rPr/>
      </w:pPr>
      <w:r>
        <w:rPr>
          <w:rFonts w:ascii="Times New Roman;sans-serif" w:hAnsi="Times New Roman;sans-serif"/>
          <w:b/>
          <w:color w:val="0C0C0C"/>
          <w:sz w:val="20"/>
        </w:rPr>
        <w:t>Loyalty Redemption</w:t>
      </w:r>
      <w:r>
        <w:rPr>
          <w:rFonts w:ascii="Times New Roman;sans-serif" w:hAnsi="Times New Roman;sans-serif"/>
          <w:b w:val="false"/>
          <w:i/>
          <w:color w:val="0C0C0C"/>
          <w:sz w:val="20"/>
        </w:rPr>
        <w:t xml:space="preserve">. </w:t>
      </w:r>
      <w:r>
        <w:rPr>
          <w:rFonts w:ascii="Times New Roman;sans-serif" w:hAnsi="Times New Roman;sans-serif"/>
          <w:b w:val="false"/>
          <w:color w:val="131313"/>
          <w:sz w:val="20"/>
        </w:rPr>
        <w:t xml:space="preserve">Our institutional-grade loyalty redemption service provides seamless and cost-effective options for consumers to use their loyalty points. </w:t>
      </w:r>
      <w:r>
        <w:rPr>
          <w:rFonts w:ascii="Times New Roman;sans-serif" w:hAnsi="Times New Roman;sans-serif"/>
          <w:b w:val="false"/>
          <w:color w:val="000000"/>
          <w:sz w:val="20"/>
        </w:rPr>
        <w:t>Our loyalty redemption platform, which is cloud-based and delivered through major web browsers and mobile devices, connects loyalty programs to leading commerce partners allowing consumers to redeem a spectrum of loyalty currencies for merchandise, services and gift cards.</w:t>
      </w:r>
    </w:p>
    <w:p>
      <w:pPr>
        <w:pStyle w:val="TextBody"/>
        <w:spacing w:lineRule="auto" w:line="333" w:before="240" w:after="283"/>
        <w:ind w:left="0" w:right="0" w:firstLine="720"/>
        <w:jc w:val="both"/>
        <w:rPr/>
      </w:pPr>
      <w:r>
        <w:rPr>
          <w:rFonts w:ascii="Times New Roman;sans-serif" w:hAnsi="Times New Roman;sans-serif"/>
          <w:b/>
          <w:color w:val="0C0C0C"/>
          <w:sz w:val="20"/>
        </w:rPr>
        <w:t>Alternative Payments</w:t>
      </w:r>
      <w:r>
        <w:rPr>
          <w:rFonts w:ascii="Times New Roman;sans-serif" w:hAnsi="Times New Roman;sans-serif"/>
          <w:b w:val="false"/>
          <w:i/>
          <w:color w:val="0C0C0C"/>
          <w:sz w:val="20"/>
        </w:rPr>
        <w:t xml:space="preserve">. </w:t>
      </w:r>
      <w:r>
        <w:rPr>
          <w:rFonts w:ascii="Times New Roman;sans-serif" w:hAnsi="Times New Roman;sans-serif"/>
          <w:b w:val="false"/>
          <w:color w:val="131313"/>
          <w:sz w:val="20"/>
        </w:rPr>
        <w:t xml:space="preserve">Our alternative payments platform provides choice and convenience to both consumers and merchants. Through Bakkt Marketplace, LLC (“Bakkt Marketplace”), </w:t>
      </w:r>
      <w:r>
        <w:rPr>
          <w:rFonts w:ascii="Times New Roman;sans-serif" w:hAnsi="Times New Roman;sans-serif"/>
          <w:b w:val="false"/>
          <w:color w:val="000000"/>
          <w:sz w:val="20"/>
        </w:rPr>
        <w:t>we have an integrated platform that enables consumers and enterprises to transact in digital assets. Alternative payments users have a digital wallet that enables them to purchase, sell, convert, and or spend digital assets. Users can also use their digital wallet to spend fiat currency with various retailers and convert loyalty and rewards points into fiat currency. We have received money transmitter licenses from all states throughout the U.S. where such licenses are required (other than Hawaii, where we do not presently operate) , have obtained a New York State virtual currency license, and are registered as a money services business with the Financial Crimes Enforcement Network of the United States Department of the Treasury. Bakkt Trust’s custody solution provides support to Bakkt Marketplace with respect to bitcoin and ether functionality within the consumer app.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accounting policies are as set forth in the notes of our Form 10-K.</w:t>
      </w:r>
    </w:p>
    <w:p>
      <w:pPr>
        <w:pStyle w:val="TextBody"/>
        <w:spacing w:lineRule="auto" w:line="333" w:before="240" w:after="24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we evaluated if VIH or Opco is the predecessor for accounting purposes.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intercompany balances and transactions have been eliminated in consolidation. In addition, certain reclassifications of amounts previously reported have been made to the accompanying consolidated financial statements in order to conform to current presentation. </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(consisting of normal recurring accruals), considered necessary for a fair presentation have been included. The interim results for the three months ended March 31, 2022 are not necessarily indicative of the results that may be expected for the year ending December 31, 2022, or for any other future annual or interim period. These consolidated financial statements should be read in conjunction with the Company’s audited financial statements and accompanying notes thereto included in the Form 10-K.</w:t>
      </w:r>
    </w:p>
    <w:p>
      <w:pPr>
        <w:pStyle w:val="TextBody"/>
        <w:spacing w:before="0" w:after="0"/>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for the three months ended March 31, 2022, there were no significant changes to the recently adopted accounting pronouncements applicable to us from those disclosed in Note 2 of our Form 10-K.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SEC issued Staff Accounting Bulletin ("SAB") Number 121 ("SAB 121"), which provides the SEC staff’s view that it would be appropriate for an entity that has an obligation to safeguard cryptoassets held for platform users to record a liability and corresponding asset on its balance sheet at the fair value of the cryptoassets. SAB 121 also added Section FF to SAB Topic 5;1 to include interpretive guidance for entities to consider when they have obligations to safeguard cryptoassets held for their platform users. We will need to adopt the guidance in SAB 121 no later than our Quarterly Report on Form 10-Q for the quarter ending June 30, 2022, with retrospective application as of January 1, 2022. As a custodian of cryptoassets for institutions and consumers, we are evaluating the financial reporting impact of the cryptoassets we hold for our platform users and expect the adoption of SAB 121 to result in the recognition of a liability associated with the obligation to safeguard cryptoassets under custody and a corresponding asset.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3.Revenue from Contracts with Customers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by service type and by platform, respectively, as follows (in thousands):</w:t>
      </w:r>
    </w:p>
    <w:tbl>
      <w:tblPr>
        <w:tblW w:w="7340" w:type="dxa"/>
        <w:jc w:val="left"/>
        <w:tblInd w:w="0" w:type="dxa"/>
        <w:tblCellMar>
          <w:top w:w="28" w:type="dxa"/>
          <w:left w:w="28" w:type="dxa"/>
          <w:bottom w:w="28" w:type="dxa"/>
          <w:right w:w="28" w:type="dxa"/>
        </w:tblCellMar>
      </w:tblPr>
      <w:tblGrid>
        <w:gridCol w:w="1016"/>
        <w:gridCol w:w="892"/>
        <w:gridCol w:w="897"/>
        <w:gridCol w:w="109"/>
        <w:gridCol w:w="109"/>
        <w:gridCol w:w="109"/>
        <w:gridCol w:w="355"/>
        <w:gridCol w:w="1216"/>
        <w:gridCol w:w="183"/>
        <w:gridCol w:w="109"/>
        <w:gridCol w:w="109"/>
        <w:gridCol w:w="109"/>
        <w:gridCol w:w="109"/>
        <w:gridCol w:w="109"/>
        <w:gridCol w:w="109"/>
        <w:gridCol w:w="386"/>
        <w:gridCol w:w="1130"/>
        <w:gridCol w:w="284"/>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Transaction revenue, net</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service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(a)Amounts are net of incentives, rebates and liquidity payments, reductions related to the contribution agreement entered into between Bakkt and ICE in connection with ICE’s formation of Bakkt (“Contribution Agreement"), and consideration payable pursuant to an agreement with a strategic partner of approximately $0.3 million for the three months ended March 31, 2022 and approximately $0.9 million for the three months ended March 31, 2021. Included in these amounts are amounts earned from related parties of less than $0.1 million for the three months ended March 31, 2022 and amounts earned from affiliates of less than $0.1 million for the three months ended March 31, 2021 (Note 7).</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7205" w:type="dxa"/>
        <w:jc w:val="left"/>
        <w:tblInd w:w="0" w:type="dxa"/>
        <w:tblCellMar>
          <w:top w:w="28" w:type="dxa"/>
          <w:left w:w="28" w:type="dxa"/>
          <w:bottom w:w="28" w:type="dxa"/>
          <w:right w:w="28" w:type="dxa"/>
        </w:tblCellMar>
      </w:tblPr>
      <w:tblGrid>
        <w:gridCol w:w="966"/>
        <w:gridCol w:w="847"/>
        <w:gridCol w:w="857"/>
        <w:gridCol w:w="109"/>
        <w:gridCol w:w="109"/>
        <w:gridCol w:w="109"/>
        <w:gridCol w:w="355"/>
        <w:gridCol w:w="1216"/>
        <w:gridCol w:w="183"/>
        <w:gridCol w:w="109"/>
        <w:gridCol w:w="109"/>
        <w:gridCol w:w="109"/>
        <w:gridCol w:w="109"/>
        <w:gridCol w:w="109"/>
        <w:gridCol w:w="109"/>
        <w:gridCol w:w="386"/>
        <w:gridCol w:w="1130"/>
        <w:gridCol w:w="284"/>
      </w:tblGrid>
      <w:tr>
        <w:trPr/>
        <w:tc>
          <w:tcPr>
            <w:tcW w:w="9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Digital asset marketplace</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redemption platform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Alternative payment platform</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(b)Amounts are net of incentives, rebates and liquidity payments and reductions related to the Contribution Agreement of less than $0.1 million for the three months ended March 31, 2022 and approximately $0.3 million for the three months ended March 31, 2021.</w:t>
      </w:r>
    </w:p>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(c)Amounts are net of incentives and consideration payable pursuant to an agreement with a strategic partner of $0.3 million and $0.6 million for the three months ended March 31, 2022 and 2021, respectively.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to which our revenues relate.</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lineRule="auto" w:line="29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three months ended March 31, 2022 and 2021, respectively, was as follows (in thousands):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255"/>
        <w:gridCol w:w="1974"/>
        <w:gridCol w:w="1986"/>
        <w:gridCol w:w="367"/>
        <w:gridCol w:w="1073"/>
        <w:gridCol w:w="189"/>
        <w:gridCol w:w="109"/>
        <w:gridCol w:w="109"/>
        <w:gridCol w:w="109"/>
        <w:gridCol w:w="109"/>
        <w:gridCol w:w="109"/>
        <w:gridCol w:w="109"/>
        <w:gridCol w:w="365"/>
        <w:gridCol w:w="1070"/>
        <w:gridCol w:w="272"/>
      </w:tblGrid>
      <w:tr>
        <w:trPr/>
        <w:tc>
          <w:tcPr>
            <w:tcW w:w="2255"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6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2021</w:t>
            </w:r>
          </w:p>
        </w:tc>
      </w:tr>
      <w:tr>
        <w:trPr/>
        <w:tc>
          <w:tcPr>
            <w:tcW w:w="6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contract liability</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contract liabilities included in the beginning balance</w:t>
            </w:r>
          </w:p>
        </w:tc>
        <w:tc>
          <w:tcPr>
            <w:tcW w:w="14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cash received, net of amounts recognized in revenue during the period</w:t>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contract liability</w:t>
            </w:r>
          </w:p>
        </w:tc>
        <w:tc>
          <w:tcPr>
            <w:tcW w:w="3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8,505 </w:t>
            </w:r>
          </w:p>
        </w:tc>
        <w:tc>
          <w:tcPr>
            <w:tcW w:w="1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2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 aggregate amount of the transaction price allocated to the remaining performance obligations related to partially completed contracts is $26.4 million, comprised of $17.9 million of subscription fees and $8.5 million of service fees that are deferred. We will recognize our subscription fees as revenue over a weighted-average period of 42 months (ranges from 3 months – 54 months) and our service fees as revenue over approximately 2 years.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2021, the aggregate amount of the transaction price allocated to the remaining performance obligations related to partially completed contracts is $14.1 million, comprised of $5.9 million of subscription fees and $8.2 million of service fees that are deferred. We will recognize our subscription fees as revenue over a weighted-average period of 15.5 months (ranges from 1 month – 39 months) and our service fees as revenue over approximately 3 years.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we incurred no incremental costs to obtain and/or fulfill contracts with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4.Goodwill and Intangible Assets,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goodwill consisted of the following (in thousands):</w:t>
      </w:r>
    </w:p>
    <w:p>
      <w:pPr>
        <w:pStyle w:val="TextBody"/>
        <w:spacing w:before="240" w:after="283"/>
        <w:jc w:val="both"/>
        <w:rPr/>
      </w:pPr>
      <w:r>
        <w:rPr/>
      </w:r>
    </w:p>
    <w:tbl>
      <w:tblPr>
        <w:tblW w:w="4160" w:type="dxa"/>
        <w:jc w:val="left"/>
        <w:tblInd w:w="0" w:type="dxa"/>
        <w:tblCellMar>
          <w:top w:w="28" w:type="dxa"/>
          <w:left w:w="28" w:type="dxa"/>
          <w:bottom w:w="28" w:type="dxa"/>
          <w:right w:w="28" w:type="dxa"/>
        </w:tblCellMar>
      </w:tblPr>
      <w:tblGrid>
        <w:gridCol w:w="1021"/>
        <w:gridCol w:w="896"/>
        <w:gridCol w:w="902"/>
        <w:gridCol w:w="211"/>
        <w:gridCol w:w="97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tbl>
      <w:tblPr>
        <w:tblW w:w="4010" w:type="dxa"/>
        <w:jc w:val="left"/>
        <w:tblInd w:w="0" w:type="dxa"/>
        <w:tblCellMar>
          <w:top w:w="28" w:type="dxa"/>
          <w:left w:w="28" w:type="dxa"/>
          <w:bottom w:w="28" w:type="dxa"/>
          <w:right w:w="28" w:type="dxa"/>
        </w:tblCellMar>
      </w:tblPr>
      <w:tblGrid>
        <w:gridCol w:w="1021"/>
        <w:gridCol w:w="896"/>
        <w:gridCol w:w="902"/>
        <w:gridCol w:w="211"/>
        <w:gridCol w:w="82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goodwill impairment charges have been recognized in the periods presented.</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tbl>
      <w:tblPr>
        <w:tblW w:w="10205" w:type="dxa"/>
        <w:jc w:val="left"/>
        <w:tblInd w:w="0" w:type="dxa"/>
        <w:tblCellMar>
          <w:top w:w="28" w:type="dxa"/>
          <w:left w:w="28" w:type="dxa"/>
          <w:bottom w:w="28" w:type="dxa"/>
          <w:right w:w="28" w:type="dxa"/>
        </w:tblCellMar>
      </w:tblPr>
      <w:tblGrid>
        <w:gridCol w:w="650"/>
        <w:gridCol w:w="530"/>
        <w:gridCol w:w="535"/>
        <w:gridCol w:w="769"/>
        <w:gridCol w:w="769"/>
        <w:gridCol w:w="771"/>
        <w:gridCol w:w="109"/>
        <w:gridCol w:w="109"/>
        <w:gridCol w:w="109"/>
        <w:gridCol w:w="312"/>
        <w:gridCol w:w="1223"/>
        <w:gridCol w:w="161"/>
        <w:gridCol w:w="109"/>
        <w:gridCol w:w="109"/>
        <w:gridCol w:w="109"/>
        <w:gridCol w:w="414"/>
        <w:gridCol w:w="1241"/>
        <w:gridCol w:w="216"/>
        <w:gridCol w:w="109"/>
        <w:gridCol w:w="109"/>
        <w:gridCol w:w="109"/>
        <w:gridCol w:w="288"/>
        <w:gridCol w:w="1129"/>
        <w:gridCol w:w="216"/>
      </w:tblGrid>
      <w:tr>
        <w:trPr/>
        <w:tc>
          <w:tcPr>
            <w:tcW w:w="65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42,398 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383,091 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tbl>
      <w:tblPr>
        <w:tblW w:w="10205" w:type="dxa"/>
        <w:jc w:val="left"/>
        <w:tblInd w:w="0" w:type="dxa"/>
        <w:tblCellMar>
          <w:top w:w="28" w:type="dxa"/>
          <w:left w:w="28" w:type="dxa"/>
          <w:bottom w:w="28" w:type="dxa"/>
          <w:right w:w="28" w:type="dxa"/>
        </w:tblCellMar>
      </w:tblPr>
      <w:tblGrid>
        <w:gridCol w:w="650"/>
        <w:gridCol w:w="530"/>
        <w:gridCol w:w="535"/>
        <w:gridCol w:w="769"/>
        <w:gridCol w:w="769"/>
        <w:gridCol w:w="771"/>
        <w:gridCol w:w="109"/>
        <w:gridCol w:w="109"/>
        <w:gridCol w:w="109"/>
        <w:gridCol w:w="312"/>
        <w:gridCol w:w="1223"/>
        <w:gridCol w:w="161"/>
        <w:gridCol w:w="109"/>
        <w:gridCol w:w="109"/>
        <w:gridCol w:w="109"/>
        <w:gridCol w:w="414"/>
        <w:gridCol w:w="1241"/>
        <w:gridCol w:w="216"/>
        <w:gridCol w:w="109"/>
        <w:gridCol w:w="109"/>
        <w:gridCol w:w="109"/>
        <w:gridCol w:w="288"/>
        <w:gridCol w:w="1129"/>
        <w:gridCol w:w="216"/>
      </w:tblGrid>
      <w:tr>
        <w:trPr/>
        <w:tc>
          <w:tcPr>
            <w:tcW w:w="65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388,469 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March 31, 2022 and 2021, was $5.4 million and $1.6 million, respectively, and is included in “Depreciation and amortization” in the statements of operations.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for definite-lived intangible assets as of March 31, 2022 is as follows (in thousands):</w:t>
      </w:r>
    </w:p>
    <w:tbl>
      <w:tblPr>
        <w:tblW w:w="3765" w:type="dxa"/>
        <w:jc w:val="left"/>
        <w:tblInd w:w="0" w:type="dxa"/>
        <w:tblCellMar>
          <w:top w:w="28" w:type="dxa"/>
          <w:left w:w="28" w:type="dxa"/>
          <w:bottom w:w="28" w:type="dxa"/>
          <w:right w:w="28" w:type="dxa"/>
        </w:tblCellMar>
      </w:tblPr>
      <w:tblGrid>
        <w:gridCol w:w="827"/>
        <w:gridCol w:w="725"/>
        <w:gridCol w:w="728"/>
        <w:gridCol w:w="263"/>
        <w:gridCol w:w="1030"/>
        <w:gridCol w:w="192"/>
      </w:tblGrid>
      <w:tr>
        <w:trPr/>
        <w:tc>
          <w:tcPr>
            <w:tcW w:w="82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2022</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18,896 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5.Consolidated Balance Sheet Components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tbl>
      <w:tblPr>
        <w:tblW w:w="7059" w:type="dxa"/>
        <w:jc w:val="left"/>
        <w:tblInd w:w="0" w:type="dxa"/>
        <w:tblCellMar>
          <w:top w:w="28" w:type="dxa"/>
          <w:left w:w="28" w:type="dxa"/>
          <w:bottom w:w="28" w:type="dxa"/>
          <w:right w:w="28" w:type="dxa"/>
        </w:tblCellMar>
      </w:tblPr>
      <w:tblGrid>
        <w:gridCol w:w="1157"/>
        <w:gridCol w:w="1017"/>
        <w:gridCol w:w="1021"/>
        <w:gridCol w:w="292"/>
        <w:gridCol w:w="998"/>
        <w:gridCol w:w="150"/>
        <w:gridCol w:w="109"/>
        <w:gridCol w:w="109"/>
        <w:gridCol w:w="109"/>
        <w:gridCol w:w="109"/>
        <w:gridCol w:w="109"/>
        <w:gridCol w:w="109"/>
        <w:gridCol w:w="344"/>
        <w:gridCol w:w="1175"/>
        <w:gridCol w:w="251"/>
      </w:tblGrid>
      <w:tr>
        <w:trPr/>
        <w:tc>
          <w:tcPr>
            <w:tcW w:w="115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12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18,352 </w:t>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18,142 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pStyle w:val="TextBody"/>
        <w:spacing w:lineRule="auto" w:line="333" w:before="0" w:after="0"/>
        <w:jc w:val="both"/>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5377" w:type="dxa"/>
        <w:jc w:val="left"/>
        <w:tblInd w:w="0" w:type="dxa"/>
        <w:tblCellMar>
          <w:top w:w="28" w:type="dxa"/>
          <w:left w:w="28" w:type="dxa"/>
          <w:bottom w:w="28" w:type="dxa"/>
          <w:right w:w="28" w:type="dxa"/>
        </w:tblCellMar>
      </w:tblPr>
      <w:tblGrid>
        <w:gridCol w:w="549"/>
        <w:gridCol w:w="481"/>
        <w:gridCol w:w="485"/>
        <w:gridCol w:w="324"/>
        <w:gridCol w:w="948"/>
        <w:gridCol w:w="167"/>
        <w:gridCol w:w="109"/>
        <w:gridCol w:w="109"/>
        <w:gridCol w:w="109"/>
        <w:gridCol w:w="109"/>
        <w:gridCol w:w="109"/>
        <w:gridCol w:w="109"/>
        <w:gridCol w:w="380"/>
        <w:gridCol w:w="1110"/>
        <w:gridCol w:w="279"/>
      </w:tblGrid>
      <w:tr>
        <w:trPr/>
        <w:tc>
          <w:tcPr>
            <w:tcW w:w="54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pPr>
      <w:r>
        <w:br w:type="page"/>
      </w: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973" w:type="dxa"/>
        <w:jc w:val="left"/>
        <w:tblInd w:w="0" w:type="dxa"/>
        <w:tblCellMar>
          <w:top w:w="28" w:type="dxa"/>
          <w:left w:w="28" w:type="dxa"/>
          <w:bottom w:w="28" w:type="dxa"/>
          <w:right w:w="28" w:type="dxa"/>
        </w:tblCellMar>
      </w:tblPr>
      <w:tblGrid>
        <w:gridCol w:w="1487"/>
        <w:gridCol w:w="1307"/>
        <w:gridCol w:w="1316"/>
        <w:gridCol w:w="292"/>
        <w:gridCol w:w="998"/>
        <w:gridCol w:w="150"/>
        <w:gridCol w:w="109"/>
        <w:gridCol w:w="109"/>
        <w:gridCol w:w="109"/>
        <w:gridCol w:w="109"/>
        <w:gridCol w:w="109"/>
        <w:gridCol w:w="109"/>
        <w:gridCol w:w="380"/>
        <w:gridCol w:w="1110"/>
        <w:gridCol w:w="279"/>
      </w:tblGrid>
      <w:tr>
        <w:trPr/>
        <w:tc>
          <w:tcPr>
            <w:tcW w:w="148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computer and network equipment</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2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2021, depreciation and amortization expense related to property, equipment and software amounted to approximately $0.5 million and $1.1 million, respectively, of which $0.1 million and $0.9 million, respectively, related to amortization expense of capitalized internal-use software placed in service.</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Deposits with Clearinghouse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with clearinghouse, noncurrent, consisted of the default resource contribution (Note 7). The default resource contribution amounted to approximately $15.2 million as of each of March 31, 2022 and December 31, 2021.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2021, ICUS self-certified a rule change with the CFTC, reducing Bakkt Trust’s financial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7553" w:type="dxa"/>
        <w:jc w:val="left"/>
        <w:tblInd w:w="0" w:type="dxa"/>
        <w:tblCellMar>
          <w:top w:w="28" w:type="dxa"/>
          <w:left w:w="28" w:type="dxa"/>
          <w:bottom w:w="28" w:type="dxa"/>
          <w:right w:w="28" w:type="dxa"/>
        </w:tblCellMar>
      </w:tblPr>
      <w:tblGrid>
        <w:gridCol w:w="1336"/>
        <w:gridCol w:w="1173"/>
        <w:gridCol w:w="1180"/>
        <w:gridCol w:w="292"/>
        <w:gridCol w:w="998"/>
        <w:gridCol w:w="150"/>
        <w:gridCol w:w="109"/>
        <w:gridCol w:w="109"/>
        <w:gridCol w:w="109"/>
        <w:gridCol w:w="109"/>
        <w:gridCol w:w="109"/>
        <w:gridCol w:w="109"/>
        <w:gridCol w:w="344"/>
        <w:gridCol w:w="1175"/>
        <w:gridCol w:w="251"/>
      </w:tblGrid>
      <w:tr>
        <w:trPr/>
        <w:tc>
          <w:tcPr>
            <w:tcW w:w="1336"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16)</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pPr>
      <w:r>
        <w:br w:type="page"/>
      </w: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Payable and Accrued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consisted of the following (in thousands):</w:t>
      </w:r>
    </w:p>
    <w:tbl>
      <w:tblPr>
        <w:tblW w:w="6338" w:type="dxa"/>
        <w:jc w:val="left"/>
        <w:tblInd w:w="0" w:type="dxa"/>
        <w:tblCellMar>
          <w:top w:w="28" w:type="dxa"/>
          <w:left w:w="28" w:type="dxa"/>
          <w:bottom w:w="28" w:type="dxa"/>
          <w:right w:w="28" w:type="dxa"/>
        </w:tblCellMar>
      </w:tblPr>
      <w:tblGrid>
        <w:gridCol w:w="896"/>
        <w:gridCol w:w="787"/>
        <w:gridCol w:w="791"/>
        <w:gridCol w:w="292"/>
        <w:gridCol w:w="998"/>
        <w:gridCol w:w="150"/>
        <w:gridCol w:w="109"/>
        <w:gridCol w:w="109"/>
        <w:gridCol w:w="109"/>
        <w:gridCol w:w="109"/>
        <w:gridCol w:w="109"/>
        <w:gridCol w:w="109"/>
        <w:gridCol w:w="344"/>
        <w:gridCol w:w="1175"/>
        <w:gridCol w:w="251"/>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Purchasing card payable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 payable</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64,321 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64,090 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7657" w:type="dxa"/>
        <w:jc w:val="left"/>
        <w:tblInd w:w="0" w:type="dxa"/>
        <w:tblCellMar>
          <w:top w:w="28" w:type="dxa"/>
          <w:left w:w="28" w:type="dxa"/>
          <w:bottom w:w="28" w:type="dxa"/>
          <w:right w:w="28" w:type="dxa"/>
        </w:tblCellMar>
      </w:tblPr>
      <w:tblGrid>
        <w:gridCol w:w="1374"/>
        <w:gridCol w:w="1209"/>
        <w:gridCol w:w="1212"/>
        <w:gridCol w:w="324"/>
        <w:gridCol w:w="948"/>
        <w:gridCol w:w="167"/>
        <w:gridCol w:w="109"/>
        <w:gridCol w:w="109"/>
        <w:gridCol w:w="109"/>
        <w:gridCol w:w="109"/>
        <w:gridCol w:w="109"/>
        <w:gridCol w:w="109"/>
        <w:gridCol w:w="380"/>
        <w:gridCol w:w="1110"/>
        <w:gridCol w:w="279"/>
      </w:tblGrid>
      <w:tr>
        <w:trPr/>
        <w:tc>
          <w:tcPr>
            <w:tcW w:w="1374"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units liability, current (Note 10)</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 liability</w:t>
            </w:r>
          </w:p>
        </w:tc>
        <w:tc>
          <w:tcPr>
            <w:tcW w:w="12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Noncurrent Liabilities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 (in thousands):</w:t>
      </w:r>
    </w:p>
    <w:tbl>
      <w:tblPr>
        <w:tblW w:w="8034" w:type="dxa"/>
        <w:jc w:val="left"/>
        <w:tblInd w:w="0" w:type="dxa"/>
        <w:tblCellMar>
          <w:top w:w="28" w:type="dxa"/>
          <w:left w:w="28" w:type="dxa"/>
          <w:bottom w:w="28" w:type="dxa"/>
          <w:right w:w="28" w:type="dxa"/>
        </w:tblCellMar>
      </w:tblPr>
      <w:tblGrid>
        <w:gridCol w:w="1510"/>
        <w:gridCol w:w="1328"/>
        <w:gridCol w:w="1332"/>
        <w:gridCol w:w="292"/>
        <w:gridCol w:w="998"/>
        <w:gridCol w:w="150"/>
        <w:gridCol w:w="109"/>
        <w:gridCol w:w="109"/>
        <w:gridCol w:w="109"/>
        <w:gridCol w:w="109"/>
        <w:gridCol w:w="109"/>
        <w:gridCol w:w="109"/>
        <w:gridCol w:w="344"/>
        <w:gridCol w:w="1175"/>
        <w:gridCol w:w="251"/>
      </w:tblGrid>
      <w:tr>
        <w:trPr/>
        <w:tc>
          <w:tcPr>
            <w:tcW w:w="1510"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units liability, non-current (Note 10)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(Note 16)</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6.Tax Receivable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we entered into a Tax Receivable Agreement with certain Opco Equity Holders. Pursuant to the Tax Receivable Agreement,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for the payment by us to exchanging holders of Opco common units of 85% of certain net income tax benefits, if any, that we realize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 As of March 31, 2022, no such exchanges have occurred, and as such, no value has been recorded under the Tax Receivable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7.Related Parties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ICE Management and Technical Support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we entered into an intercompany services agreement with ICE to provide management and technical support services. For the three months ended March 31, 2022 and 2021, expenses of zero and $0.5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we entered into a Transition Services Agreement (“TSA”) with ICE, which superseded the intercompany services agreement pursuant to which ICE will provide insurance, digital warehouse, data center, technical support, and other transition-related services in exchange for quarterly service fees to be paid by us. We recognized $0.4 million of expense related to the TSA for the three months ended March 31, 2022, which is reflected as “Related party expenses (affiliate in Predecessor periods)” in the statements of operations and “Due to related party (affiliate in Predecessor period)” in the balance sheets.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Triparty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Triparty Agreement provides for IFUS to list for trading one or more digital currency futures and/or options contracts, and for ICUS to serve as the clearing house to provide central counterparty and ancillary services for such contracts. The Triparty Agreement also governs our PDF Contracts. Refer to Note 8 to our consolidated financial statements included in our Form 10-K for additional description of the Triparty Agreement.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revenues related to the Triparty Agreement of less than $0.1 million for each of the three months ended March 31, 2022 and 2021, net of rebates and incentive payments (contra-revenue) of less than $0.1 million and $0.3 million for the three months ended March 31, 2022 and 2021, respectively.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Triparty Agreement also required Bakkt Trust to make, and, subject to certain limits, to replenish as needed a $35.4 million default resource contribution to ICUS, to be used by ICUS in accordance with the ICUS rules. As described in Note 5, the contribution requirement was reduced to $15.0 million in 2021. The contribution is included in the “Deposits with clearinghouse” noncurrent balance. Interest earned on the contribution, net of certain fees and costs, is paid to Bakkt Trust from ICUS. We did not earn any interest for the three months ended March 31, 2022 and 2021.</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we also recognized a capital contribution for the cost of the trading and clearing services provided by IFUS and ICUS pursuant to the Contribution Agreement, which reduced revenue attributable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Triparty Agreement by $0.1 million for the three months ended March 31, 2021 (Note 9). We did not recognize a material reduction in revenue related to this capital contribution for the three months ended March 31,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we had $0.4 million and approximately $0.6 million, respectively, reflected as “Due to related party” in the balance sheets related to the TSA and Triparty Agreement. As of each of March 31, 2022 and December 31, 2021, we had less than $0.1 million, as recorded within “Accounts receivable, net” in the balance sheets related to the Triparty Agreement.</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Contractual Relationships with ICE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our shares of ICE stock. During the three months ended March 31, 2021, we recorded an unrealized loss on the sale of shares of affiliate stock of approximately $0.1 million which is included in “Other expense, net”. We did not recognize a loss on the sale of shares of affiliate stock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8.Warrants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were 7,140,935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received less than $0.1 million in proceeds from the exercise of the public warrants. We recognized a gain from the change in fair value of the warrant liability during the three months ended March 31, 2022, of $2.4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9.Stockholders’ Equity</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2022, no shares of preferred stock have been issued.</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March 31, 2022, there were 57,164,488 shares of Class A common stock issued and outstanding.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Holders of Paired Interests become eligible on April 16, 2022 under the Exchange Agreement, dated October 15, 2021, to exchange their Paired Interests for Class A common stock or, at our election, cash in lieu thereof. As of March 31, 2022, there were 206,003,270 shares of Class V common stock issued and outstanding.</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expiration of the six-month lock-up period on April 16, 2022, holders of Paired Interests exchanged an aggregate of 17.5 million Paired Interests for our Class A common stock, and the Company did not elect to settle any such exchanges in cash.</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shall not be declared or paid on the Class V common stock. </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shall not be entitled to receive any of our assets.</w:t>
      </w:r>
    </w:p>
    <w:p>
      <w:pPr>
        <w:pStyle w:val="TextBody"/>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Members’ Equity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Opco had three classes of voting units – Class A, Class B and Class C voting units – and incentive units granted under the Opco Incentive Equity Plan (the “Opco Plan”) (Note 10).</w:t>
      </w:r>
    </w:p>
    <w:p>
      <w:pPr>
        <w:pStyle w:val="TextBody"/>
        <w:spacing w:before="0" w:after="0"/>
        <w:jc w:val="both"/>
        <w:rPr/>
      </w:pPr>
      <w:r>
        <w:rPr/>
      </w:r>
    </w:p>
    <w:p>
      <w:pPr>
        <w:pStyle w:val="TextBody"/>
        <w:spacing w:lineRule="auto" w:line="31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the Opco equity holders converted 400,000,000 Opco Class A voting units, 192,453,454 Opco Class B voting units, and 270,270,270 Opco Class C voting units to 189,933,286 shares of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Class V common stock on a pro rata basis. Additionally, we issued 17,473,362 shares of Class V common stock related to the outstanding Opco incentive units. </w:t>
      </w:r>
    </w:p>
    <w:p>
      <w:pPr>
        <w:pStyle w:val="TextBody"/>
        <w:spacing w:lineRule="auto" w:line="312"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Class B Warrant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19, 2020, Opco issued a warrant to a strategic partner to purchase 15,000,000 of Opco’s Class B voting units (“Class B Warrant”), at an exercise price of $1.00 per unit, exercisable upon issuance, that expires 3 years from issuance.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2021, the strategic partner elected to net exercise its Class B Warrant in exchange for 9,953,454 of Class B voting units. </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Class C Warrant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Opco issued a warrant to a minority investor to purchase 3,603,600 of Opco’s Class C voting units (“Class C Warrant”), at an exercise price of $1.11 per unit. Refer to Note 10 to our consolidated financial statements included in our Form 10-K where the Class C Warrant is described in detail.</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modified warrant units automatically converted into the right to purchase 793,352 Paired Interests in Opco at an exercise price of $5.04 per Paired Interest. As of March 31, 2022, 172,055 modified warrant units have vested but have not been exercised, and the remaining 621,297 warrant units have not vested or been exercised. As of March 31, 2021, no warrant units had vested or been exercised. No expenses were recorded during the three months ended March 31, 2022 and 2021, since the service conditions were not probable of being met in those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10.Share-Based and Unit-Based Compensation</w:t>
      </w: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2021 Incentive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 </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granted 6,969,070 RSUs and 4,865,378 PSUs, which represents 100% of the target award, to employees and directors of Bakkt and Bakkt Trust. The majority of these grants were related to initial employment agreements for executives, which were approved by the Compensation Committee of the Board of Directors. We recorded $13.2 million of share-based compensation expense for the three months ended March 31, 2022 which is included in “Compensation and benefits” in the statements of operations.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March 31, 2022 was $55.8 million for the RSUs and PSUs. The unrecognized compensation expense will be recognized over a weighted-average period of 2.72 years.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RSU and PSU Activity</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RSU and PSU activity under the 2021 Incentive Plan for the three months ended March 31, 2022 (in thousands, except per unit data):</w:t>
      </w:r>
    </w:p>
    <w:tbl>
      <w:tblPr>
        <w:tblW w:w="10205" w:type="dxa"/>
        <w:jc w:val="left"/>
        <w:tblInd w:w="0" w:type="dxa"/>
        <w:tblCellMar>
          <w:top w:w="28" w:type="dxa"/>
          <w:left w:w="28" w:type="dxa"/>
          <w:bottom w:w="28" w:type="dxa"/>
          <w:right w:w="28" w:type="dxa"/>
        </w:tblCellMar>
      </w:tblPr>
      <w:tblGrid>
        <w:gridCol w:w="734"/>
        <w:gridCol w:w="594"/>
        <w:gridCol w:w="478"/>
        <w:gridCol w:w="573"/>
        <w:gridCol w:w="452"/>
        <w:gridCol w:w="453"/>
        <w:gridCol w:w="109"/>
        <w:gridCol w:w="109"/>
        <w:gridCol w:w="109"/>
        <w:gridCol w:w="829"/>
        <w:gridCol w:w="829"/>
        <w:gridCol w:w="831"/>
        <w:gridCol w:w="109"/>
        <w:gridCol w:w="109"/>
        <w:gridCol w:w="109"/>
        <w:gridCol w:w="482"/>
        <w:gridCol w:w="1170"/>
        <w:gridCol w:w="251"/>
        <w:gridCol w:w="109"/>
        <w:gridCol w:w="109"/>
        <w:gridCol w:w="109"/>
        <w:gridCol w:w="299"/>
        <w:gridCol w:w="1024"/>
        <w:gridCol w:w="225"/>
      </w:tblGrid>
      <w:tr>
        <w:trPr/>
        <w:tc>
          <w:tcPr>
            <w:tcW w:w="73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 and PSUs</w:t>
            </w:r>
          </w:p>
        </w:tc>
        <w:tc>
          <w:tcPr>
            <w:tcW w:w="14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 and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8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2021</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4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51,260 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2022</w:t>
            </w:r>
          </w:p>
        </w:tc>
        <w:tc>
          <w:tcPr>
            <w:tcW w:w="1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4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2022</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RSUs and PSUs is based on the closing price of our common stock on the grant date.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stock units provide an opportunity for the recipient to receive a number of shares of our common stock based on our performance during fiscal year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Preferred incentive units and common incentive units (collectively, “incentive units”) represent an ownership interest in Opco and are entitled to receive distributions from Opco, subject to certain vesting conditions.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Refer to Note 11 to our consolidated financial statements included in our Form 10-K where the modifications to the Opco Plan are described in detail.</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Unit-Based Compensation Expense</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three months ended March 31, 2022, was as follows (in thousands):</w:t>
      </w:r>
    </w:p>
    <w:tbl>
      <w:tblPr>
        <w:tblW w:w="10205" w:type="dxa"/>
        <w:jc w:val="left"/>
        <w:tblInd w:w="0" w:type="dxa"/>
        <w:tblCellMar>
          <w:top w:w="28" w:type="dxa"/>
          <w:left w:w="28" w:type="dxa"/>
          <w:bottom w:w="28" w:type="dxa"/>
          <w:right w:w="28" w:type="dxa"/>
        </w:tblCellMar>
      </w:tblPr>
      <w:tblGrid>
        <w:gridCol w:w="725"/>
        <w:gridCol w:w="517"/>
        <w:gridCol w:w="474"/>
        <w:gridCol w:w="400"/>
        <w:gridCol w:w="1173"/>
        <w:gridCol w:w="209"/>
        <w:gridCol w:w="109"/>
        <w:gridCol w:w="109"/>
        <w:gridCol w:w="109"/>
        <w:gridCol w:w="1314"/>
        <w:gridCol w:w="1314"/>
        <w:gridCol w:w="1316"/>
        <w:gridCol w:w="109"/>
        <w:gridCol w:w="109"/>
        <w:gridCol w:w="109"/>
        <w:gridCol w:w="643"/>
        <w:gridCol w:w="603"/>
        <w:gridCol w:w="863"/>
      </w:tblGrid>
      <w:tr>
        <w:trPr/>
        <w:tc>
          <w:tcPr>
            <w:tcW w:w="72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unit</w:t>
            </w:r>
          </w:p>
        </w:tc>
        <w:tc>
          <w:tcPr>
            <w:tcW w:w="1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and Comprehensive Loss 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7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r>
      <w:tr>
        <w:trPr/>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15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three months ended March 31, 2021, was as follows (in thousands):</w:t>
      </w:r>
    </w:p>
    <w:tbl>
      <w:tblPr>
        <w:tblW w:w="10205" w:type="dxa"/>
        <w:jc w:val="left"/>
        <w:tblInd w:w="0" w:type="dxa"/>
        <w:tblCellMar>
          <w:top w:w="28" w:type="dxa"/>
          <w:left w:w="28" w:type="dxa"/>
          <w:bottom w:w="28" w:type="dxa"/>
          <w:right w:w="28" w:type="dxa"/>
        </w:tblCellMar>
      </w:tblPr>
      <w:tblGrid>
        <w:gridCol w:w="725"/>
        <w:gridCol w:w="519"/>
        <w:gridCol w:w="476"/>
        <w:gridCol w:w="401"/>
        <w:gridCol w:w="1176"/>
        <w:gridCol w:w="209"/>
        <w:gridCol w:w="109"/>
        <w:gridCol w:w="109"/>
        <w:gridCol w:w="109"/>
        <w:gridCol w:w="1322"/>
        <w:gridCol w:w="1322"/>
        <w:gridCol w:w="1324"/>
        <w:gridCol w:w="109"/>
        <w:gridCol w:w="109"/>
        <w:gridCol w:w="109"/>
        <w:gridCol w:w="605"/>
        <w:gridCol w:w="605"/>
        <w:gridCol w:w="867"/>
      </w:tblGrid>
      <w:tr>
        <w:trPr/>
        <w:tc>
          <w:tcPr>
            <w:tcW w:w="72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unit</w:t>
            </w:r>
          </w:p>
        </w:tc>
        <w:tc>
          <w:tcPr>
            <w:tcW w:w="1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and Comprehensive Loss 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7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incentive unit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15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r>
        <w:trPr/>
        <w:tc>
          <w:tcPr>
            <w:tcW w:w="1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March 31, 2022 was approximately $4.5 million and $0.5 million for common incentive units and participation units, respectively. The unrecognized compensation expense will be recognized over a weighted-average period of 1.54 years.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 Activity</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common incentive unit activity under the Opco Plan for the three months ended March 31, 2022 (in thousands, except per unit data):</w:t>
      </w:r>
    </w:p>
    <w:tbl>
      <w:tblPr>
        <w:tblW w:w="10205" w:type="dxa"/>
        <w:jc w:val="left"/>
        <w:tblInd w:w="0" w:type="dxa"/>
        <w:tblCellMar>
          <w:top w:w="28" w:type="dxa"/>
          <w:left w:w="28" w:type="dxa"/>
          <w:bottom w:w="28" w:type="dxa"/>
          <w:right w:w="28" w:type="dxa"/>
        </w:tblCellMar>
      </w:tblPr>
      <w:tblGrid>
        <w:gridCol w:w="754"/>
        <w:gridCol w:w="578"/>
        <w:gridCol w:w="580"/>
        <w:gridCol w:w="682"/>
        <w:gridCol w:w="606"/>
        <w:gridCol w:w="608"/>
        <w:gridCol w:w="893"/>
        <w:gridCol w:w="893"/>
        <w:gridCol w:w="896"/>
        <w:gridCol w:w="517"/>
        <w:gridCol w:w="1256"/>
        <w:gridCol w:w="269"/>
        <w:gridCol w:w="295"/>
        <w:gridCol w:w="1157"/>
        <w:gridCol w:w="221"/>
      </w:tblGrid>
      <w:tr>
        <w:trPr/>
        <w:tc>
          <w:tcPr>
            <w:tcW w:w="75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1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6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2021</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6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2022</w:t>
            </w:r>
          </w:p>
        </w:tc>
        <w:tc>
          <w:tcPr>
            <w:tcW w:w="12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6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51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131,050 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2022</w:t>
            </w:r>
          </w:p>
        </w:tc>
        <w:tc>
          <w:tcPr>
            <w:tcW w:w="1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6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ind w:left="0" w:right="0" w:firstLine="720"/>
        <w:jc w:val="both"/>
        <w:rPr/>
      </w:pPr>
      <w:r>
        <w:rPr/>
      </w:r>
    </w:p>
    <w:p>
      <w:pPr>
        <w:pStyle w:val="TextBody"/>
        <w:spacing w:lineRule="auto" w:line="33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preferred incentive unit and common incentive unit activity under the Opco Plan for the three months ended March 31, 2021 (in thousands, except per unit data):</w:t>
      </w:r>
    </w:p>
    <w:tbl>
      <w:tblPr>
        <w:tblW w:w="10205" w:type="dxa"/>
        <w:jc w:val="left"/>
        <w:tblInd w:w="0" w:type="dxa"/>
        <w:tblCellMar>
          <w:top w:w="28" w:type="dxa"/>
          <w:left w:w="28" w:type="dxa"/>
          <w:bottom w:w="28" w:type="dxa"/>
          <w:right w:w="28" w:type="dxa"/>
        </w:tblCellMar>
      </w:tblPr>
      <w:tblGrid>
        <w:gridCol w:w="734"/>
        <w:gridCol w:w="584"/>
        <w:gridCol w:w="588"/>
        <w:gridCol w:w="678"/>
        <w:gridCol w:w="619"/>
        <w:gridCol w:w="621"/>
        <w:gridCol w:w="890"/>
        <w:gridCol w:w="890"/>
        <w:gridCol w:w="893"/>
        <w:gridCol w:w="515"/>
        <w:gridCol w:w="1252"/>
        <w:gridCol w:w="268"/>
        <w:gridCol w:w="294"/>
        <w:gridCol w:w="1155"/>
        <w:gridCol w:w="224"/>
      </w:tblGrid>
      <w:tr>
        <w:trPr/>
        <w:tc>
          <w:tcPr>
            <w:tcW w:w="73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Incentive Units</w:t>
            </w:r>
          </w:p>
        </w:tc>
        <w:tc>
          <w:tcPr>
            <w:tcW w:w="19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Preferred Incentive Units</w:t>
            </w:r>
          </w:p>
        </w:tc>
        <w:tc>
          <w:tcPr>
            <w:tcW w:w="2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2020</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76,475 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2021</w:t>
            </w:r>
          </w:p>
        </w:tc>
        <w:tc>
          <w:tcPr>
            <w:tcW w:w="12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76,475 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141,058 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2021</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757"/>
        <w:gridCol w:w="581"/>
        <w:gridCol w:w="584"/>
        <w:gridCol w:w="685"/>
        <w:gridCol w:w="610"/>
        <w:gridCol w:w="611"/>
        <w:gridCol w:w="900"/>
        <w:gridCol w:w="900"/>
        <w:gridCol w:w="902"/>
        <w:gridCol w:w="521"/>
        <w:gridCol w:w="1264"/>
        <w:gridCol w:w="271"/>
        <w:gridCol w:w="313"/>
        <w:gridCol w:w="1071"/>
        <w:gridCol w:w="235"/>
      </w:tblGrid>
      <w:tr>
        <w:trPr/>
        <w:tc>
          <w:tcPr>
            <w:tcW w:w="75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1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Incentive Units</w:t>
            </w:r>
          </w:p>
        </w:tc>
        <w:tc>
          <w:tcPr>
            <w:tcW w:w="1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Incentive Units</w:t>
            </w:r>
          </w:p>
        </w:tc>
        <w:tc>
          <w:tcPr>
            <w:tcW w:w="27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December 31, 2020</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Outsanding as of March 31, 2021</w:t>
            </w:r>
          </w:p>
        </w:tc>
        <w:tc>
          <w:tcPr>
            <w:tcW w:w="12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26,833 </w:t>
            </w:r>
          </w:p>
        </w:tc>
        <w:tc>
          <w:tcPr>
            <w:tcW w:w="6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as of March 31, 2021</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participation units granted during the three months ended March 31, 2022 and 2021. As of March 31, 2022 and December 31, 2021, the total number of participation units outstanding were 0.6 million and 0.7 million, respectively. The fair value of the participation units as of March 31, 2022 and December 31, 2021 was 3.1 million and 4.1 million, respectively. Participation units are settled in cash and the balance is recorded within other current liabilities and other noncurrent liabilities as described in Note 5.</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units under the Opco Plan were issued prior to the Business Combination and the plan was frozen upon execution of the merger agreement. No future units can be granted under this plan.</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Determination of Fair Value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term – The expected term represents the period that a unit is expected to be outstanding.</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Volatility – Opco has limited historical data available to derive its own stock price volatility. As such, Opco estimates stock price volatility based on the average historic price volatility of comparable public industry peers.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Risk-free interest rate – The risk-free rate is based on the U.S. Treasury yield curve in effect on the grant date for securities with similar expected terms to the term of Opco’s incentive units.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Expected dividends – Expected dividends is assumed to be zero as Opco has not paid and does not expect to pay cash dividends or non-liquidating distributions.</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000000"/>
          <w:sz w:val="20"/>
        </w:rPr>
        <w:t>Discount for lack of marketability – an estimated two year time to exit Predecessor awards and the six month lock-up restriction on Successor awards is reflected as a discount for lack of marketability estimated using the Finnerty model.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11.Net Loss per share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denominators of the basic and diluted per share computations for net loss (in thousands, except share and per share data):</w:t>
      </w:r>
    </w:p>
    <w:tbl>
      <w:tblPr>
        <w:tblW w:w="7019" w:type="dxa"/>
        <w:jc w:val="left"/>
        <w:tblInd w:w="0" w:type="dxa"/>
        <w:tblCellMar>
          <w:top w:w="28" w:type="dxa"/>
          <w:left w:w="28" w:type="dxa"/>
          <w:bottom w:w="28" w:type="dxa"/>
          <w:right w:w="28" w:type="dxa"/>
        </w:tblCellMar>
      </w:tblPr>
      <w:tblGrid>
        <w:gridCol w:w="1844"/>
        <w:gridCol w:w="1618"/>
        <w:gridCol w:w="1637"/>
        <w:gridCol w:w="349"/>
        <w:gridCol w:w="1317"/>
        <w:gridCol w:w="254"/>
      </w:tblGrid>
      <w:tr>
        <w:trPr/>
        <w:tc>
          <w:tcPr>
            <w:tcW w:w="1844"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6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(36,193)</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basic</w:t>
            </w:r>
          </w:p>
        </w:tc>
        <w:tc>
          <w:tcPr>
            <w:tcW w:w="16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tax effect attributable to noncontrolling interests</w:t>
            </w:r>
          </w:p>
        </w:tc>
        <w:tc>
          <w:tcPr>
            <w:tcW w:w="16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diluted</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 basic and diluted:</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57,164,421 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w:t>
            </w:r>
          </w:p>
        </w:tc>
        <w:tc>
          <w:tcPr>
            <w:tcW w:w="1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201,453,166 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6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258,617,587 </w:t>
            </w:r>
          </w:p>
        </w:tc>
        <w:tc>
          <w:tcPr>
            <w:tcW w:w="2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w:t>
            </w:r>
          </w:p>
        </w:tc>
        <w:tc>
          <w:tcPr>
            <w:tcW w:w="3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diluted</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potential common shares excluded from diluted loss per common share as their effect would be anti-dilutive:</w:t>
      </w:r>
    </w:p>
    <w:tbl>
      <w:tblPr>
        <w:tblW w:w="4514" w:type="dxa"/>
        <w:jc w:val="left"/>
        <w:tblInd w:w="0" w:type="dxa"/>
        <w:tblCellMar>
          <w:top w:w="28" w:type="dxa"/>
          <w:left w:w="28" w:type="dxa"/>
          <w:bottom w:w="28" w:type="dxa"/>
          <w:right w:w="28" w:type="dxa"/>
        </w:tblCellMar>
      </w:tblPr>
      <w:tblGrid>
        <w:gridCol w:w="941"/>
        <w:gridCol w:w="822"/>
        <w:gridCol w:w="832"/>
        <w:gridCol w:w="560"/>
        <w:gridCol w:w="560"/>
        <w:gridCol w:w="799"/>
      </w:tblGrid>
      <w:tr>
        <w:trPr/>
        <w:tc>
          <w:tcPr>
            <w:tcW w:w="941"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13,781,817 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7,140,935 </w:t>
            </w:r>
          </w:p>
        </w:tc>
        <w:tc>
          <w:tcPr>
            <w:tcW w:w="7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warrants</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793,352 </w:t>
            </w:r>
          </w:p>
        </w:tc>
        <w:tc>
          <w:tcPr>
            <w:tcW w:w="7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unvested incentive units</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4,537,296 </w:t>
            </w:r>
          </w:p>
        </w:tc>
        <w:tc>
          <w:tcPr>
            <w:tcW w:w="7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26,253,400 </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12.Capital Requirements</w:t>
      </w:r>
    </w:p>
    <w:p>
      <w:pPr>
        <w:pStyle w:val="TextBody"/>
        <w:spacing w:lineRule="auto" w:line="333" w:before="240" w:after="283"/>
        <w:ind w:left="0" w:right="0" w:firstLine="720"/>
        <w:jc w:val="both"/>
        <w:rPr/>
      </w:pPr>
      <w:r>
        <w:rPr>
          <w:rFonts w:ascii="Times New Roman;sans-serif" w:hAnsi="Times New Roman;sans-serif"/>
          <w:b/>
          <w:color w:val="000000"/>
          <w:sz w:val="20"/>
        </w:rPr>
        <w:t>Bakkt Trust</w:t>
      </w:r>
      <w:r>
        <w:rPr>
          <w:color w:val="000000"/>
        </w:rPr>
        <w:t xml:space="preserve"> </w:t>
      </w:r>
      <w:r>
        <w:rPr>
          <w:rFonts w:ascii="Times New Roman;sans-serif" w:hAnsi="Times New Roman;sans-serif"/>
          <w:b w:val="false"/>
          <w:color w:val="000000"/>
          <w:sz w:val="20"/>
        </w:rPr>
        <w:t>is subject to certain NYDFS regulatory capital requirements. These capital requirements require Bakkt Trust to maintain positive net worth at the greater of $15.0 million or the sum of the required percentage established for transmitted assets, cold wallet, and hot wallet custody assets. As of March 31, 2022 and 2021, Bakkt Trust had determined that $16.5 million, respectively should be set aside to satisfy these, which is reflected as “Restricted cash” in the balance sheets.</w:t>
      </w:r>
    </w:p>
    <w:p>
      <w:pPr>
        <w:pStyle w:val="TextBody"/>
        <w:spacing w:lineRule="auto" w:line="333" w:before="240" w:after="283"/>
        <w:ind w:left="0" w:right="0" w:firstLine="720"/>
        <w:jc w:val="both"/>
        <w:rPr/>
      </w:pPr>
      <w:r>
        <w:rPr>
          <w:rFonts w:ascii="Times New Roman;sans-serif" w:hAnsi="Times New Roman;sans-serif"/>
          <w:b/>
          <w:color w:val="000000"/>
          <w:sz w:val="20"/>
        </w:rPr>
        <w:t>Bakkt Clearing</w:t>
      </w:r>
      <w:r>
        <w:rPr>
          <w:color w:val="000000"/>
        </w:rPr>
        <w:t xml:space="preserve"> </w:t>
      </w:r>
      <w:r>
        <w:rPr>
          <w:rFonts w:ascii="Times New Roman;sans-serif" w:hAnsi="Times New Roman;sans-serif"/>
          <w:b w:val="false"/>
          <w:color w:val="000000"/>
          <w:sz w:val="20"/>
        </w:rPr>
        <w:t xml:space="preserve">is registered as a futures commission merchant (“FCM”) with the Commodity Futures Trading Commission (“CFTC”) and is a member of the National Futures Association (“NFA”). Bakkt Clearing is subject to CFTC Regulation 1.17, and the NFA capital requirements. Under these requirements, it is generally required to maintain “adjusted net capital” equivalent to the greater of $1.0 million or the sum of 8 percent of customer and noncustomer risk maintenance margin requirements on all positions, as defined. These margin requirements may change from day to day, but as of March 31, 2022, Bakkt Clearing had adjusted net capital of $2.0 million. </w:t>
      </w:r>
    </w:p>
    <w:p>
      <w:pPr>
        <w:pStyle w:val="TextBody"/>
        <w:spacing w:lineRule="auto" w:line="333" w:before="240" w:after="283"/>
        <w:ind w:left="0" w:right="0" w:firstLine="720"/>
        <w:jc w:val="both"/>
        <w:rPr/>
      </w:pPr>
      <w:r>
        <w:rPr>
          <w:rFonts w:ascii="Times New Roman;sans-serif" w:hAnsi="Times New Roman;sans-serif"/>
          <w:b/>
          <w:color w:val="000000"/>
          <w:sz w:val="20"/>
        </w:rPr>
        <w:t>Bakkt Marketplace</w:t>
      </w:r>
      <w:r>
        <w:rPr>
          <w:color w:val="000000"/>
        </w:rPr>
        <w:t xml:space="preserve"> </w:t>
      </w:r>
      <w:r>
        <w:rPr>
          <w:rFonts w:ascii="Times New Roman;sans-serif" w:hAnsi="Times New Roman;sans-serif"/>
          <w:b w:val="false"/>
          <w:color w:val="000000"/>
          <w:sz w:val="20"/>
        </w:rPr>
        <w:t>is required to maintain tangible member’s equity of a minimum amount, plus the amount of customer funds held in transit since it holds a number of money transmitter licenses</w:t>
      </w:r>
      <w:r>
        <w:rPr>
          <w:color w:val="0C0C0C"/>
        </w:rPr>
        <w:t xml:space="preserve"> </w:t>
      </w:r>
      <w:r>
        <w:rPr>
          <w:rFonts w:ascii="Times New Roman;sans-serif" w:hAnsi="Times New Roman;sans-serif"/>
          <w:b w:val="false"/>
          <w:color w:val="0C0C0C"/>
          <w:sz w:val="20"/>
        </w:rPr>
        <w:t>and has a virtual currency license (or “BitLicense”) from the NYDFS, which subjects it to NYDFS’ oversight with respect to such business activities conducted in New York State and with New York residents.</w:t>
      </w:r>
      <w:r>
        <w:rPr>
          <w:color w:val="000000"/>
        </w:rPr>
        <w:t xml:space="preserve"> </w:t>
      </w:r>
      <w:r>
        <w:rPr>
          <w:rFonts w:ascii="Times New Roman;sans-serif" w:hAnsi="Times New Roman;sans-serif"/>
          <w:b w:val="false"/>
          <w:color w:val="000000"/>
          <w:sz w:val="20"/>
        </w:rPr>
        <w:t>Tangible member’s equity means member’s equity minus intangible assets and as of March 31, 2022 and December 31, 2021, tangible member’s equity amounted to approximately $5.6 million and approximately $11.0 million, respectively.</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minimum capital requirements to which our subsidiaries are subject may restrict their ability to transfer cash. We may also be required to transfer cash to our subsidiaries such that they may continue to meet these minimum capital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13.Commitments and Contingencies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401(k) defined contribution plan covering all eligible U.S. employees. Both Company and employee contributions to the 401(k) plan are discretionary. For the three months ended March 31, 2022 and 2021, we recorded approximately $0.7 million and $0.5 million, respectively, of expenses related to the 401(k) plan.</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above, in October 2021, we completed our Business Combination with VPC Impact Acquisition Holdings (“VIH”), pursuant to which VIH changed its name to Bakkt Holdings, Inc. and the current directors and officers of the Company replaced the directors and officers in place prior to the Business Combination. On April 21, 2022, a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putative class action complaint was filed against Bakkt Holdings, Inc. and certain of its directors and officers prior to the Business Combination in the U.S. District Court for the Eastern District of New York on behalf of certain purchasers of securities of VIH and/or purchasers of Bakkt Class A common stock issued in connection with the Business Combination. The complaint alleges that VIH made false or misleading statements and omissions of purportedly material fact, in violation of federal securities laws, in connection with disclosures relating to certain of VIH’s financial statements, business, operations, and compliance policies. The complaint alleges that the false or misleading statements and omissions were contained in the registration statement filed in connection with the Business Combination and in other SEC filings made by VIH. The complaint alleges that VIH traded at artificially inflated prices as a result of the allegedly misleading statements and omissions. Plaintiff seeks certification of a class of purchasers of (1) VIH/Bakkt securities between March 31, 2021 and November 19, 2021, both dates inclusive and/or (2) Bakkt Class A common stock pursuant and/or traceable to the registration statement filed in connection with the Business Combination and in such other SEC filings. The complaint seeks damages, as well as the plaintiff’s fees and costs. Bakkt intends to vigorously defend against the allegations. No allegations have been made against any current officer or director of Bakkt other than one current board member, who was both an officer and director of VIH and has continued as a director of Bakkt. </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pStyle w:val="TextBody"/>
        <w:spacing w:lineRule="auto" w:line="333" w:before="240" w:after="283"/>
        <w:rPr>
          <w:rFonts w:ascii="Times New Roman;sans-serif" w:hAnsi="Times New Roman;sans-serif"/>
          <w:b/>
          <w:i/>
          <w:color w:val="000000"/>
          <w:sz w:val="20"/>
        </w:rPr>
      </w:pPr>
      <w:r>
        <w:rPr>
          <w:rFonts w:ascii="Times New Roman;sans-serif" w:hAnsi="Times New Roman;sans-serif"/>
          <w:b/>
          <w:i/>
          <w:color w:val="000000"/>
          <w:sz w:val="20"/>
        </w:rPr>
        <w:t>Commercial Purchasing Card Facility</w:t>
      </w:r>
    </w:p>
    <w:p>
      <w:pPr>
        <w:pStyle w:val="TextBody"/>
        <w:spacing w:lineRule="auto" w:line="333" w:before="240" w:after="283"/>
        <w:ind w:left="0" w:right="0" w:firstLine="720"/>
        <w:jc w:val="both"/>
        <w:rPr/>
      </w:pPr>
      <w:r>
        <w:rPr>
          <w:rFonts w:ascii="Times New Roman;sans-serif" w:hAnsi="Times New Roman;sans-serif"/>
          <w:b w:val="false"/>
          <w:color w:val="000000"/>
          <w:sz w:val="20"/>
        </w:rPr>
        <w:t xml:space="preserve">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January 2021, the purchasing card facility was extended to April 15, 2022 </w:t>
      </w:r>
      <w:r>
        <w:rPr>
          <w:rFonts w:ascii="Times New Roman;sans-serif" w:hAnsi="Times New Roman;sans-serif"/>
          <w:b w:val="false"/>
          <w:color w:val="231F20"/>
          <w:sz w:val="20"/>
        </w:rPr>
        <w:t>in order to facilitate a long-term agreement on more favorable terms to us</w:t>
      </w:r>
      <w:r>
        <w:rPr>
          <w:rFonts w:ascii="Times New Roman;sans-serif" w:hAnsi="Times New Roman;sans-serif"/>
          <w:b w:val="false"/>
          <w:color w:val="000000"/>
          <w:sz w:val="20"/>
        </w:rPr>
        <w:t>. Bakkt Holdings, Inc. serves as the guarantor on behalf of our subsidiary under the commercial purchasing card facility. In April 2022, we further extended the maturity date of the purchasing card facility to August 12,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pStyle w:val="TextBody"/>
        <w:spacing w:before="0" w:after="0"/>
        <w:ind w:left="0" w:right="0" w:firstLine="720"/>
        <w:rPr/>
      </w:pPr>
      <w:r>
        <w:rPr/>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four-year cloud computing arrangement which includes minimum contractual payments due to the third-party provider. As of March 31, 2022, our outstanding purchase obligations consist of the following future minimum commitments (in thousands):</w:t>
      </w:r>
    </w:p>
    <w:tbl>
      <w:tblPr>
        <w:tblW w:w="9214" w:type="dxa"/>
        <w:jc w:val="left"/>
        <w:tblInd w:w="0" w:type="dxa"/>
        <w:tblCellMar>
          <w:top w:w="28" w:type="dxa"/>
          <w:left w:w="28" w:type="dxa"/>
          <w:bottom w:w="28" w:type="dxa"/>
          <w:right w:w="28" w:type="dxa"/>
        </w:tblCellMar>
      </w:tblPr>
      <w:tblGrid>
        <w:gridCol w:w="658"/>
        <w:gridCol w:w="577"/>
        <w:gridCol w:w="580"/>
        <w:gridCol w:w="334"/>
        <w:gridCol w:w="977"/>
        <w:gridCol w:w="173"/>
        <w:gridCol w:w="109"/>
        <w:gridCol w:w="109"/>
        <w:gridCol w:w="109"/>
        <w:gridCol w:w="211"/>
        <w:gridCol w:w="616"/>
        <w:gridCol w:w="109"/>
        <w:gridCol w:w="109"/>
        <w:gridCol w:w="109"/>
        <w:gridCol w:w="109"/>
        <w:gridCol w:w="211"/>
        <w:gridCol w:w="616"/>
        <w:gridCol w:w="109"/>
        <w:gridCol w:w="109"/>
        <w:gridCol w:w="109"/>
        <w:gridCol w:w="109"/>
        <w:gridCol w:w="479"/>
        <w:gridCol w:w="923"/>
        <w:gridCol w:w="247"/>
        <w:gridCol w:w="109"/>
        <w:gridCol w:w="109"/>
        <w:gridCol w:w="109"/>
        <w:gridCol w:w="211"/>
        <w:gridCol w:w="721"/>
        <w:gridCol w:w="154"/>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14.Income Taxes</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benefit (expense) primarily relates to the Company’s allocable share of any taxable income or loss of Opco following the Business Combination. Opco’s wholly owned corporate subsidiaries that are consolidated for U.S. GAAP purposes but separately taxed for federal, state, and foreign income tax purposes as corporations are generating federal, state, and foreign income tax expense.</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6.8% for the three months ending March 31, 2022 differs from statutory rates primarily due to the loss allocated to noncontrolling interest that is not taxed to the Company and the non-deductible fair value gains and losses related to the changes in our warrant liability.</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of (0.1)% for the three months ending March 31, 2021 differs from statutory rates primarily due to the impact of losses in which no tax benefit is expected to be recognized. The income tax benefit during the period related to our operations in Canada.</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period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15.Fair Value Measurements</w:t>
      </w:r>
    </w:p>
    <w:p>
      <w:pPr>
        <w:pStyle w:val="TextBody"/>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that are measured at fair value on a recurring basis are classified entirely as Level 1 as follows (in thousands):</w:t>
      </w:r>
    </w:p>
    <w:tbl>
      <w:tblPr>
        <w:tblW w:w="6534" w:type="dxa"/>
        <w:jc w:val="left"/>
        <w:tblInd w:w="0" w:type="dxa"/>
        <w:tblCellMar>
          <w:top w:w="28" w:type="dxa"/>
          <w:left w:w="28" w:type="dxa"/>
          <w:bottom w:w="28" w:type="dxa"/>
          <w:right w:w="28" w:type="dxa"/>
        </w:tblCellMar>
      </w:tblPr>
      <w:tblGrid>
        <w:gridCol w:w="1053"/>
        <w:gridCol w:w="925"/>
        <w:gridCol w:w="931"/>
        <w:gridCol w:w="211"/>
        <w:gridCol w:w="736"/>
        <w:gridCol w:w="109"/>
        <w:gridCol w:w="211"/>
        <w:gridCol w:w="736"/>
        <w:gridCol w:w="109"/>
        <w:gridCol w:w="213"/>
        <w:gridCol w:w="411"/>
        <w:gridCol w:w="110"/>
        <w:gridCol w:w="213"/>
        <w:gridCol w:w="411"/>
        <w:gridCol w:w="155"/>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14,996</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14,996</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tbl>
      <w:tblPr>
        <w:tblW w:w="6534" w:type="dxa"/>
        <w:jc w:val="left"/>
        <w:tblInd w:w="0" w:type="dxa"/>
        <w:tblCellMar>
          <w:top w:w="28" w:type="dxa"/>
          <w:left w:w="28" w:type="dxa"/>
          <w:bottom w:w="28" w:type="dxa"/>
          <w:right w:w="28" w:type="dxa"/>
        </w:tblCellMar>
      </w:tblPr>
      <w:tblGrid>
        <w:gridCol w:w="1053"/>
        <w:gridCol w:w="925"/>
        <w:gridCol w:w="931"/>
        <w:gridCol w:w="211"/>
        <w:gridCol w:w="736"/>
        <w:gridCol w:w="109"/>
        <w:gridCol w:w="211"/>
        <w:gridCol w:w="736"/>
        <w:gridCol w:w="109"/>
        <w:gridCol w:w="213"/>
        <w:gridCol w:w="411"/>
        <w:gridCol w:w="110"/>
        <w:gridCol w:w="213"/>
        <w:gridCol w:w="411"/>
        <w:gridCol w:w="155"/>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17,424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17,424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public warrant liability is valued based on quoted prices in active markets and is classified within Level 1. </w:t>
      </w:r>
    </w:p>
    <w:p>
      <w:pPr>
        <w:pStyle w:val="TextBody"/>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16.Leases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for office space under operating leases and office equipment under finance leases. As of March 31, 2022, we do not have any active finance leases. We consider a lease to have commenced on the date when we are granted access to the leased asset. Several of these leases include escalation clauses for adjusting rentals.</w:t>
      </w:r>
    </w:p>
    <w:p>
      <w:pPr>
        <w:pStyle w:val="TextBody"/>
        <w:spacing w:before="0" w:after="0"/>
        <w:jc w:val="both"/>
        <w:rPr/>
      </w:pPr>
      <w:r>
        <w:rPr/>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also entered into a new real estate lease for office space in New York, New York, that commenced on January 31, 2022.The lease has a term of 94 months and the total fixed lease payments over the term of the lease are $7.3 million.</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leases have remaining lease terms as of March 31, 2022 ranging from 13 months to 126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pStyle w:val="TextBody"/>
        <w:spacing w:lineRule="auto" w:line="333"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111.4 months, and the weighted average discount rate for our operating leases was 5.0%. We were not party to any short-term leases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333" w:before="240" w:after="283"/>
        <w:ind w:left="0" w:right="0" w:hanging="360"/>
        <w:rPr/>
      </w:pPr>
      <w:r>
        <w:rPr>
          <w:rFonts w:ascii="Times New Roman;sans-serif" w:hAnsi="Times New Roman;sans-serif"/>
          <w:b/>
          <w:color w:val="000000"/>
          <w:sz w:val="20"/>
        </w:rPr>
        <w:t>17.</w:t>
      </w:r>
      <w:r>
        <w:rPr>
          <w:rFonts w:ascii="Times New Roman;sans-serif" w:hAnsi="Times New Roman;sans-serif"/>
          <w:b/>
          <w:color w:val="231F20"/>
          <w:sz w:val="20"/>
        </w:rPr>
        <w:t>Subsequent Events</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we signed a lease agreement to expand the office space of our call center in Alpharetta, Georgia. The lease has a term of 48 months and total fixed lease payments over the term of the lease are approximately $3.1 million.</w:t>
      </w:r>
    </w:p>
    <w:p>
      <w:pPr>
        <w:pStyle w:val="TextBody"/>
        <w:spacing w:lineRule="auto" w:line="333"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and transactions and determined that no other events or transactions met the definition of a subsequent event for purpose of recognition or disclosure in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3"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333" w:before="240" w:after="283"/>
        <w:jc w:val="both"/>
        <w:rPr/>
      </w:pPr>
      <w:r>
        <w:rPr>
          <w:rFonts w:ascii="Times New Roman;sans-serif" w:hAnsi="Times New Roman;sans-serif"/>
          <w:b w:val="false"/>
          <w:i/>
          <w:color w:val="231F20"/>
          <w:sz w:val="20"/>
        </w:rPr>
        <w:t xml:space="preserve">The following discussion and analysis of financial condition and results of operations should be read together with the accompanying consolidated financial statements and related notes. References in this section to “we,” “us,” “our,” “Bakkt” or the “Company” and like terms refer to (i) Bakkt Opco Holdings, LLC and its subsidiaries (the “Predecessor”) for the three months ended March 31, 2021 (referred to herein as a "Predecessor Period") and (ii) Bakkt Holdings, Inc. and its subsidiaries (the “Successor”) for the three months ended March 31, 2022 (the “Successor Period”),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w:t>
      </w:r>
      <w:r>
        <w:rPr>
          <w:rFonts w:ascii="Times New Roman;sans-serif" w:hAnsi="Times New Roman;sans-serif"/>
          <w:b w:val="false"/>
          <w:i/>
          <w:color w:val="231F20"/>
          <w:sz w:val="20"/>
          <w:highlight w:val="white"/>
        </w:rPr>
        <w:t>Factors that could cause or contribute to such differences include, but are not limited to, those factors discussed above in “Cautionary Statement Regarding Forward-Looking Statements” and “Item 1A. Risk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mission is to power commerce by connecting the digital economy across asset classes for consumers, business and institutions. The digital asset ecosystem is broad, including cryptoassets, loyalty and rewards points, gift cards, in-game assets, and non-fungible tokens (“NFTs”). We are working to unlock new ways to participate in the growing digital economy by expanding access to, and improving liquidity for, digital assets. We believe we are opportunistically positioned at the center of this digital asset ecosystem, with approximately 0.7 million transacting accounts on our platform for the three months ended March 31, 2022. We define “transacting accounts” as unique accounts that perform transactions on our platform each month, which is indicative of how users across our platform use our services.</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Through our institutional-grade platform, we offer four key pillars to our partners and customers. These include: crypto services, through which we enabling crypto buy and sell capabilities for platform partners, banks and credit unions and other providers to provide to their customers, as well as crypto solutions for institutions; crypto rewards, for partners to enable their customers to earn rewards in or redeem existing rewards into crypto; digital asset payments for paying with or getting paid in assets like crypto; and a wide range of loyalty redemption services for large financial institutions, merchants such as apple and travel and entertainment providers. </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our platform is uniquely positioned to offer each of these four pillars to our partners and institutions by utilizing a combination of three complementary aspects – a digital asset marketplace, a loyalty redemption service, and an alternative payment method.</w:t>
      </w:r>
    </w:p>
    <w:p>
      <w:pPr>
        <w:pStyle w:val="TextBody"/>
        <w:spacing w:lineRule="auto" w:line="333" w:before="240" w:after="283"/>
        <w:ind w:left="0" w:right="0" w:hanging="360"/>
        <w:jc w:val="both"/>
        <w:rPr/>
      </w:pPr>
      <w:r>
        <w:rPr>
          <w:color w:val="000000"/>
        </w:rPr>
        <w:t>•</w:t>
      </w:r>
      <w:r>
        <w:rPr>
          <w:rFonts w:ascii="Times New Roman;sans-serif" w:hAnsi="Times New Roman;sans-serif"/>
          <w:b/>
          <w:i/>
          <w:color w:val="231F20"/>
          <w:sz w:val="20"/>
        </w:rPr>
        <w:t xml:space="preserve">Digital Asset Marketplace. </w:t>
      </w:r>
      <w:r>
        <w:rPr>
          <w:rFonts w:ascii="Times New Roman;sans-serif" w:hAnsi="Times New Roman;sans-serif"/>
          <w:b w:val="false"/>
          <w:color w:val="231F20"/>
          <w:sz w:val="20"/>
        </w:rPr>
        <w:t xml:space="preserve">Our digital asset marketplace is designed to enable participants to seamlessly transact in digital assets and has applications for individual consumers, enterprises (whom we define as consumer-facing merchants, retailers, and financial institutions), and institutional investors. </w:t>
      </w:r>
      <w:r>
        <w:rPr>
          <w:rFonts w:ascii="Times New Roman;sans-serif" w:hAnsi="Times New Roman;sans-serif"/>
          <w:b w:val="false"/>
          <w:color w:val="000000"/>
          <w:sz w:val="20"/>
        </w:rPr>
        <w:t xml:space="preserve">Intercontinental Exchange, Inc. (“ICE”), our controlling shareholder prior to the Business Combination, has decades of experience building institutional products and solutions. </w:t>
      </w:r>
      <w:r>
        <w:rPr>
          <w:rFonts w:ascii="Times New Roman;sans-serif" w:hAnsi="Times New Roman;sans-serif"/>
          <w:b w:val="false"/>
          <w:color w:val="231F20"/>
          <w:sz w:val="20"/>
        </w:rPr>
        <w:t xml:space="preserve">We leveraged that expertise to build an institutional-grade custodian for bitcoin and ether, Bakkt Trust Company LLC (“Bakkt Trust”), which is regulated by the New York Department of Financial Services (“NYDFS”). This custodian, marketed as the Bakkt Warehouse, provides custody services that anchor the first end-to-end regulated and physically-delivered bitcoin futures and options contracts (“PDF Contracts”), which are traded on ICE Futures U.S., Inc. (“IFUS”) and cleared on ICE Clear US, Inc. (“ICUS”), and also provides custody services to institutions and certain high net-worth individuals on a standalone basis as approved by the NYDFS. Our custodian also operates as the backbone of many of our consumer- and enterprise-focused offerings. For example, it enables consumers to use our app to transact in bitcoin in real-time. In the future, contingent upon achieving the necessary regulatory approvals and/or partnering with an existing licensed broker-dealer, we plan to add the ability to transact in securities such as derivatives, and ETFs. We believe that our institutional-grade infrastructure underpins our ability to expand and scale consumer solutions. We earn revenue in the digital asset marketplace by providing standalone custody services for cryptoassets assets for our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333" w:before="240" w:after="283"/>
        <w:jc w:val="both"/>
        <w:rPr/>
      </w:pPr>
      <w:r>
        <w:rPr>
          <w:rFonts w:ascii="Times New Roman;sans-serif" w:hAnsi="Times New Roman;sans-serif"/>
          <w:b w:val="false"/>
          <w:color w:val="231F20"/>
          <w:sz w:val="20"/>
        </w:rPr>
        <w:t xml:space="preserve">institutional customers, which we recognize on a pro rata basis over the term of the custody contract. Separately, as a result of our Triparty Agreement with IFUS and ICUS (the “Triparty Agreement”), we earn the net revenues for providing stand-ready custody services to IFUS and ICUS in connection with the offering of PDF Contracts. Our standalone custody revenue and revenue recognized under the Triparty Agreement are currently immaterial. </w:t>
      </w:r>
      <w:r>
        <w:rPr>
          <w:rFonts w:ascii="Times New Roman;sans-serif" w:hAnsi="Times New Roman;sans-serif"/>
          <w:b w:val="false"/>
          <w:color w:val="000000"/>
          <w:sz w:val="20"/>
        </w:rPr>
        <w:t>For more information, see Note 2 to our audited consolidated financial statements included in our Form 10-K.</w:t>
      </w:r>
    </w:p>
    <w:p>
      <w:pPr>
        <w:pStyle w:val="TextBody"/>
        <w:spacing w:lineRule="auto" w:line="333" w:before="0" w:after="0"/>
        <w:ind w:left="0" w:right="0" w:hanging="360"/>
        <w:jc w:val="both"/>
        <w:rPr/>
      </w:pPr>
      <w:r>
        <w:rPr>
          <w:color w:val="000000"/>
        </w:rPr>
        <w:t>•</w:t>
      </w:r>
      <w:r>
        <w:rPr>
          <w:rFonts w:ascii="Times New Roman;sans-serif" w:hAnsi="Times New Roman;sans-serif"/>
          <w:b/>
          <w:i/>
          <w:color w:val="231F20"/>
          <w:sz w:val="20"/>
        </w:rPr>
        <w:t>Loyalty Redemption</w:t>
      </w:r>
      <w:r>
        <w:rPr>
          <w:rFonts w:ascii="Times New Roman;sans-serif" w:hAnsi="Times New Roman;sans-serif"/>
          <w:b w:val="false"/>
          <w:color w:val="231F20"/>
          <w:sz w:val="20"/>
        </w:rPr>
        <w:t xml:space="preserve">. Leveraging our acquisition of Bridge2 Solutions (as described below), our loyalty redemption capabilities support enterprises with leading loyalty and rewards programs (which we call “loyalty partners”),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w:t>
      </w:r>
      <w:r>
        <w:rPr>
          <w:rFonts w:ascii="Times New Roman;sans-serif" w:hAnsi="Times New Roman;sans-serif"/>
          <w:b w:val="false"/>
          <w:color w:val="000000"/>
          <w:sz w:val="20"/>
        </w:rPr>
        <w:t xml:space="preserve">For more information, see Note 2 to our audited consolidated financial statements included in our Form 10-K. </w:t>
      </w:r>
    </w:p>
    <w:p>
      <w:pPr>
        <w:pStyle w:val="TextBody"/>
        <w:spacing w:lineRule="auto" w:line="333" w:before="0" w:after="0"/>
        <w:ind w:left="0" w:right="0" w:hanging="360"/>
        <w:jc w:val="both"/>
        <w:rPr/>
      </w:pPr>
      <w:r>
        <w:rPr>
          <w:color w:val="000000"/>
        </w:rPr>
        <w:t>•</w:t>
      </w:r>
      <w:r>
        <w:rPr>
          <w:rFonts w:ascii="Times New Roman;sans-serif" w:hAnsi="Times New Roman;sans-serif"/>
          <w:b/>
          <w:i/>
          <w:color w:val="231F20"/>
          <w:sz w:val="20"/>
        </w:rPr>
        <w:t>Alternative Payment Method</w:t>
      </w:r>
      <w:r>
        <w:rPr>
          <w:rFonts w:ascii="Times New Roman;sans-serif" w:hAnsi="Times New Roman;sans-serif"/>
          <w:b w:val="false"/>
          <w:color w:val="231F20"/>
          <w:sz w:val="20"/>
        </w:rPr>
        <w:t xml:space="preserve">. Our platform delivers consumer choice and convenience with an alternative payment method that allows 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when applicable. </w:t>
      </w:r>
      <w:r>
        <w:rPr>
          <w:rFonts w:ascii="Times New Roman;sans-serif" w:hAnsi="Times New Roman;sans-serif"/>
          <w:b w:val="false"/>
          <w:color w:val="000000"/>
          <w:sz w:val="20"/>
        </w:rPr>
        <w:t>For more information, see Note 2 to our audited consolidated financial statements included in our Form 10-K.</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Our Platform</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is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Key Factors Affecting Our Performance</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Attractiveness of Platform</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333" w:before="240" w:after="283"/>
        <w:jc w:val="both"/>
        <w:rPr/>
      </w:pPr>
      <w:r>
        <w:rPr>
          <w:rFonts w:ascii="Times New Roman;sans-serif" w:hAnsi="Times New Roman;sans-serif"/>
          <w:b w:val="false"/>
          <w:color w:val="231F20"/>
          <w:sz w:val="20"/>
        </w:rPr>
        <w:t>margin earned in connection with consumer purchases and the sale of cryptoassets. We will look</w:t>
      </w:r>
      <w:r>
        <w:rPr>
          <w:color w:val="000000"/>
        </w:rPr>
        <w:t xml:space="preserve"> </w:t>
      </w:r>
      <w:r>
        <w:rPr>
          <w:rFonts w:ascii="Times New Roman;sans-serif" w:hAnsi="Times New Roman;sans-serif"/>
          <w:b w:val="false"/>
          <w:color w:val="231F20"/>
          <w:sz w:val="20"/>
        </w:rPr>
        <w:t>to grow our base of active and transacting users to grow these revenue streams.</w:t>
      </w:r>
    </w:p>
    <w:p>
      <w:pPr>
        <w:pStyle w:val="TextBody"/>
        <w:spacing w:lineRule="auto" w:line="333" w:before="240" w:after="283"/>
        <w:ind w:left="0" w:right="0" w:firstLine="720"/>
        <w:jc w:val="both"/>
        <w:rPr/>
      </w:pPr>
      <w:r>
        <w:rPr>
          <w:rFonts w:ascii="Times New Roman;sans-serif" w:hAnsi="Times New Roman;sans-serif"/>
          <w:b w:val="false"/>
          <w:color w:val="231F20"/>
          <w:sz w:val="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w:t>
      </w:r>
      <w:r>
        <w:rPr>
          <w:color w:val="000000"/>
        </w:rPr>
        <w:t xml:space="preserve"> </w:t>
      </w:r>
      <w:r>
        <w:rPr>
          <w:rFonts w:ascii="Times New Roman;sans-serif" w:hAnsi="Times New Roman;sans-serif"/>
          <w:b w:val="false"/>
          <w:color w:val="231F20"/>
          <w:sz w:val="20"/>
        </w:rPr>
        <w:t>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Regulations in U.S. markets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COVID-19 Impacts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2021, our business operations started to recover from the impacts of the pandemic. Our business operations have continued to recover in 2022 from the impacts of the pandemic, including revenue from the loyalty and travel business.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Business Combination</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On October 15, 2021, Bakkt (f/k/a VPC Impact Acquisition Holdings, a Cayman Islands exempted company (“VIH”)) and VIH completed the Business Combination contemplated by the Merger Agreement. Pursuant to the Merger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w:t>
      </w:r>
      <w:r>
        <w:rPr>
          <w:rFonts w:ascii="Times New Roman;sans-serif" w:hAnsi="Times New Roman;sans-serif"/>
          <w:b w:val="false"/>
          <w:color w:val="000000"/>
          <w:sz w:val="20"/>
        </w:rPr>
        <w:t>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a result of the Business Combination, our financial results are broken out between the Predecessor periods (January 1, 2021 through March 31, 2021) and the Successor period (January 1, 2022 through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Our Corporate Structure</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below graphic illustrates the structure of the physically-delivered bitcoin futures and options and custody offerings.</w:t>
      </w:r>
    </w:p>
    <w:p>
      <w:pPr>
        <w:pStyle w:val="TextBody"/>
        <w:spacing w:before="240" w:after="283"/>
        <w:jc w:val="both"/>
        <w:rPr/>
      </w:pPr>
      <w:r>
        <w:rPr/>
        <w:drawing>
          <wp:inline distT="0" distB="63500" distL="0" distR="0">
            <wp:extent cx="6286500" cy="3533775"/>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6286500" cy="3533775"/>
                    </a:xfrm>
                    <a:prstGeom prst="rect">
                      <a:avLst/>
                    </a:prstGeom>
                  </pic:spPr>
                </pic:pic>
              </a:graphicData>
            </a:graphic>
          </wp:inline>
        </w:drawing>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rust’s custody solution provides support to Bakkt Marketplace with respect to bitcoin and ether functionality within the consumer app.</w:t>
      </w:r>
    </w:p>
    <w:p>
      <w:pPr>
        <w:pStyle w:val="TextBody"/>
        <w:spacing w:before="240" w:after="283"/>
        <w:jc w:val="both"/>
        <w:rPr/>
      </w:pPr>
      <w:r>
        <w:rPr/>
        <w:drawing>
          <wp:inline distT="0" distB="63500" distL="0" distR="0">
            <wp:extent cx="6286500" cy="353377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6286500" cy="3533775"/>
                    </a:xfrm>
                    <a:prstGeom prst="rect">
                      <a:avLst/>
                    </a:prstGeom>
                  </pic:spPr>
                </pic:pic>
              </a:graphicData>
            </a:graphic>
          </wp:inline>
        </w:drawing>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Bakkt Clearing is registered as a futures commission merchant (“FCM”) with the Commodity Futures Trading Commission (“CFTC”) and a member of the National Futures Association (“NFA”).</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Bakkt’s white label loyalty redemption platform is largely carried on by its subsidiary, Bridge2 Solutions, LLC, which Bakkt acquired in February 2020. </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Our Relationship with ICE and the Triparty Agreement</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 $483 million prior to the Business Combination, leveraging ICE’s leading competency of creating and operating market infrastructure. Upon our formation, ICE made a cash capital contribution and granted us the right to access ICE’s existing futures and clearing platforms.ICE also partners with us with respect to certain institutional product offerings.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spacing w:lineRule="auto" w:line="333" w:before="24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following table is our consolidated statements of operations for the Successor period and the Predecessor periods (in thousands): </w:t>
      </w:r>
    </w:p>
    <w:tbl>
      <w:tblPr>
        <w:tblW w:w="9173" w:type="dxa"/>
        <w:jc w:val="left"/>
        <w:tblInd w:w="0" w:type="dxa"/>
        <w:tblCellMar>
          <w:top w:w="28" w:type="dxa"/>
          <w:left w:w="28" w:type="dxa"/>
          <w:bottom w:w="28" w:type="dxa"/>
          <w:right w:w="28" w:type="dxa"/>
        </w:tblCellMar>
      </w:tblPr>
      <w:tblGrid>
        <w:gridCol w:w="1713"/>
        <w:gridCol w:w="1500"/>
        <w:gridCol w:w="1511"/>
        <w:gridCol w:w="354"/>
        <w:gridCol w:w="1338"/>
        <w:gridCol w:w="183"/>
        <w:gridCol w:w="109"/>
        <w:gridCol w:w="109"/>
        <w:gridCol w:w="109"/>
        <w:gridCol w:w="109"/>
        <w:gridCol w:w="109"/>
        <w:gridCol w:w="109"/>
        <w:gridCol w:w="363"/>
        <w:gridCol w:w="1290"/>
        <w:gridCol w:w="267"/>
      </w:tblGrid>
      <w:tr>
        <w:trPr/>
        <w:tc>
          <w:tcPr>
            <w:tcW w:w="1713"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revenues</w:t>
            </w:r>
            <w:r>
              <w:rPr>
                <w:rFonts w:ascii="Times New Roman;sans-serif" w:hAnsi="Times New Roman;sans-serif"/>
                <w:b w:val="false"/>
                <w:color w:val="000000"/>
                <w:sz w:val="13"/>
              </w:rPr>
              <w:t>(1)</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Related party expenses (affiliate in Predecessor period)</w:t>
            </w:r>
            <w:r>
              <w:rPr>
                <w:rFonts w:ascii="Times New Roman;sans-serif" w:hAnsi="Times New Roman;sans-serif"/>
                <w:b w:val="false"/>
                <w:color w:val="000000"/>
                <w:sz w:val="13"/>
              </w:rPr>
              <w:t>(2)</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61,018 </w:t>
            </w:r>
          </w:p>
        </w:tc>
        <w:tc>
          <w:tcPr>
            <w:tcW w:w="18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36,555 </w:t>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(48,486)</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(28,410)</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(36,193)</w:t>
            </w:r>
          </w:p>
        </w:tc>
        <w:tc>
          <w:tcPr>
            <w:tcW w:w="18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Bakkt Holdings, Inc.</w:t>
            </w:r>
          </w:p>
        </w:tc>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stockholders per share:</w:t>
            </w:r>
          </w:p>
        </w:tc>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5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bl>
    <w:p>
      <w:pPr>
        <w:pStyle w:val="TextBody"/>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revenue for the three months ended March 31, 2022 and 2021 includes net revenues from related party of $20 and net revenues from affiliate of $(26), respectively.</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(2)As a result of the Business Combination, ICE and its affiliates are no longer our affiliates.</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(3)Basic and diluted loss per share is not presented for the Predecessor period due to lack of comparability with the Successor period.</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Three Months Ended March 31, 2022 (Successor) compared to Three Months Ended March 31, 2021 (Predecessor)</w:t>
      </w:r>
    </w:p>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Financial Summary</w: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The three months ended March 31, 2022 included the following notable items relative to the three months ended March 31, 2021:</w:t>
      </w:r>
    </w:p>
    <w:p>
      <w:pPr>
        <w:pStyle w:val="TextBody"/>
        <w:spacing w:lineRule="auto" w:line="333" w:before="60" w:after="283"/>
        <w:ind w:left="0" w:right="0" w:hanging="360"/>
        <w:jc w:val="both"/>
        <w:rPr/>
      </w:pPr>
      <w:r>
        <w:rPr>
          <w:color w:val="231F20"/>
        </w:rPr>
        <w:t>•</w:t>
      </w:r>
      <w:r>
        <w:rPr>
          <w:rFonts w:ascii="Times New Roman;sans-serif" w:hAnsi="Times New Roman;sans-serif"/>
          <w:b w:val="false"/>
          <w:color w:val="231F20"/>
          <w:sz w:val="20"/>
        </w:rPr>
        <w:t>Revenue increased $4.4 million, or 54%, primarily driven by strong transaction revenue from the loyalty redemption business; and</w:t>
      </w:r>
    </w:p>
    <w:p>
      <w:pPr>
        <w:pStyle w:val="TextBody"/>
        <w:spacing w:lineRule="auto" w:line="333"/>
        <w:ind w:left="0" w:right="0" w:hanging="360"/>
        <w:jc w:val="both"/>
        <w:rPr/>
      </w:pPr>
      <w:r>
        <w:rPr>
          <w:color w:val="000000"/>
        </w:rPr>
        <w:t>•</w:t>
      </w:r>
      <w:r>
        <w:rPr>
          <w:rFonts w:ascii="Times New Roman;sans-serif" w:hAnsi="Times New Roman;sans-serif"/>
          <w:b w:val="false"/>
          <w:color w:val="231F20"/>
          <w:sz w:val="20"/>
        </w:rPr>
        <w:t>Operating expenses increased $24.5 million, or 67%, primarily driven by increases in non-cash compensation and headcount.</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Revenue</w:t>
      </w:r>
    </w:p>
    <w:tbl>
      <w:tblPr>
        <w:tblW w:w="8557" w:type="dxa"/>
        <w:jc w:val="left"/>
        <w:tblInd w:w="0" w:type="dxa"/>
        <w:tblCellMar>
          <w:top w:w="28" w:type="dxa"/>
          <w:left w:w="28" w:type="dxa"/>
          <w:bottom w:w="28" w:type="dxa"/>
          <w:right w:w="28" w:type="dxa"/>
        </w:tblCellMar>
      </w:tblPr>
      <w:tblGrid>
        <w:gridCol w:w="521"/>
        <w:gridCol w:w="458"/>
        <w:gridCol w:w="460"/>
        <w:gridCol w:w="380"/>
        <w:gridCol w:w="1299"/>
        <w:gridCol w:w="196"/>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52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Net Revenues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revenues consist of transaction revenue and subscription and service revenue. Transaction revenue is net of incentives, rebates and liquidity payments under the Triparty Agreement, reductions in connection with the contribution agreement entered into between Bakkt and ICE in connection with ICE’s formation of Bakkt (the “Contribution Agreement”), and consideration payable to a customer pursuant to an agreement with a strategic partner.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revenues increased by $4.4 million, or 53.9%, for the three months ended March 31, 2022 compared to the three months ended March 31, 2021. The increase was comprised of $3.2 million of increased transaction revenue and $1.2 million of increased subscription and service revenue. The increase in transaction revenue was driven by $2.5 million from higher customer activity in our loyalty redemption services business. The increase in subscription and service revenue was primarily related to the addition of new services for an existing loyalty customer. </w:t>
      </w:r>
    </w:p>
    <w:p>
      <w:pPr>
        <w:pStyle w:val="TextBody"/>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Operating Expenses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Compensation and Benefits</w:t>
      </w:r>
    </w:p>
    <w:tbl>
      <w:tblPr>
        <w:tblW w:w="9697" w:type="dxa"/>
        <w:jc w:val="left"/>
        <w:tblInd w:w="0" w:type="dxa"/>
        <w:tblCellMar>
          <w:top w:w="28" w:type="dxa"/>
          <w:left w:w="28" w:type="dxa"/>
          <w:bottom w:w="28" w:type="dxa"/>
          <w:right w:w="28" w:type="dxa"/>
        </w:tblCellMar>
      </w:tblPr>
      <w:tblGrid>
        <w:gridCol w:w="858"/>
        <w:gridCol w:w="754"/>
        <w:gridCol w:w="757"/>
        <w:gridCol w:w="380"/>
        <w:gridCol w:w="1299"/>
        <w:gridCol w:w="196"/>
        <w:gridCol w:w="109"/>
        <w:gridCol w:w="109"/>
        <w:gridCol w:w="109"/>
        <w:gridCol w:w="109"/>
        <w:gridCol w:w="109"/>
        <w:gridCol w:w="109"/>
        <w:gridCol w:w="379"/>
        <w:gridCol w:w="1297"/>
        <w:gridCol w:w="198"/>
        <w:gridCol w:w="109"/>
        <w:gridCol w:w="109"/>
        <w:gridCol w:w="109"/>
        <w:gridCol w:w="211"/>
        <w:gridCol w:w="721"/>
        <w:gridCol w:w="109"/>
        <w:gridCol w:w="109"/>
        <w:gridCol w:w="109"/>
        <w:gridCol w:w="109"/>
        <w:gridCol w:w="308"/>
        <w:gridCol w:w="308"/>
        <w:gridCol w:w="614"/>
      </w:tblGrid>
      <w:tr>
        <w:trPr/>
        <w:tc>
          <w:tcPr>
            <w:tcW w:w="85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130.3%, for the three months ended March 31, 2022 compared to the three months ended March 31, 2021. The increase was primarily due to increases of $4.0 million in additional salaries, wages and benefits, $1.5 million in contract labor for software development, and $12.6 million in non-cash compensation and incentive bonuses. As a newly public company, we issued restricted stock units (“RSUs”) in the fourth quarter of 2021 that will vest in the second quarter of 2022. These awards accounted for $9.1 million of the total share-based compensation during the three months ended March 31, 2022 period. As we typically grant RSUs with a three-year vesting period, the impact of share-based compensation expenses is expected to be reduced in future periods.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Professional Services</w:t>
      </w:r>
    </w:p>
    <w:tbl>
      <w:tblPr>
        <w:tblW w:w="9052" w:type="dxa"/>
        <w:jc w:val="left"/>
        <w:tblInd w:w="0" w:type="dxa"/>
        <w:tblCellMar>
          <w:top w:w="28" w:type="dxa"/>
          <w:left w:w="28" w:type="dxa"/>
          <w:bottom w:w="28" w:type="dxa"/>
          <w:right w:w="28" w:type="dxa"/>
        </w:tblCellMar>
      </w:tblPr>
      <w:tblGrid>
        <w:gridCol w:w="662"/>
        <w:gridCol w:w="582"/>
        <w:gridCol w:w="585"/>
        <w:gridCol w:w="422"/>
        <w:gridCol w:w="1234"/>
        <w:gridCol w:w="218"/>
        <w:gridCol w:w="109"/>
        <w:gridCol w:w="109"/>
        <w:gridCol w:w="109"/>
        <w:gridCol w:w="109"/>
        <w:gridCol w:w="109"/>
        <w:gridCol w:w="109"/>
        <w:gridCol w:w="503"/>
        <w:gridCol w:w="1111"/>
        <w:gridCol w:w="261"/>
        <w:gridCol w:w="109"/>
        <w:gridCol w:w="109"/>
        <w:gridCol w:w="109"/>
        <w:gridCol w:w="211"/>
        <w:gridCol w:w="616"/>
        <w:gridCol w:w="109"/>
        <w:gridCol w:w="109"/>
        <w:gridCol w:w="109"/>
        <w:gridCol w:w="109"/>
        <w:gridCol w:w="308"/>
        <w:gridCol w:w="308"/>
        <w:gridCol w:w="614"/>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Professional services expense includes fees for accounting, legal and regulatory fees. Professional services increased by $3.8 million, or 412.0%, for the three months ended March 31, 2022 compared to the three months ended March 31, 2021. The increase was primarily due to increases of $1.1 million in professional and other fees, $1.9 million in audit and tax fees, and $0.8 million in legal fees.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Technology and Communication</w:t>
      </w:r>
    </w:p>
    <w:tbl>
      <w:tblPr>
        <w:tblW w:w="9936" w:type="dxa"/>
        <w:jc w:val="left"/>
        <w:tblInd w:w="0" w:type="dxa"/>
        <w:tblCellMar>
          <w:top w:w="28" w:type="dxa"/>
          <w:left w:w="28" w:type="dxa"/>
          <w:bottom w:w="28" w:type="dxa"/>
          <w:right w:w="28" w:type="dxa"/>
        </w:tblCellMar>
      </w:tblPr>
      <w:tblGrid>
        <w:gridCol w:w="1019"/>
        <w:gridCol w:w="896"/>
        <w:gridCol w:w="904"/>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101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$1.6 million, or 56.4%, for the three months ended March 31, 2022 compared to the three months ended March 31, 2021. The increase was primarily due to an increase of $1.4 million in hardware and software license fees.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Selling, General and Administrative</w:t>
      </w:r>
    </w:p>
    <w:tbl>
      <w:tblPr>
        <w:tblW w:w="10146" w:type="dxa"/>
        <w:jc w:val="left"/>
        <w:tblInd w:w="0" w:type="dxa"/>
        <w:tblCellMar>
          <w:top w:w="28" w:type="dxa"/>
          <w:left w:w="28" w:type="dxa"/>
          <w:bottom w:w="28" w:type="dxa"/>
          <w:right w:w="28" w:type="dxa"/>
        </w:tblCellMar>
      </w:tblPr>
      <w:tblGrid>
        <w:gridCol w:w="1097"/>
        <w:gridCol w:w="964"/>
        <w:gridCol w:w="968"/>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255"/>
        <w:gridCol w:w="256"/>
        <w:gridCol w:w="614"/>
      </w:tblGrid>
      <w:tr>
        <w:trPr/>
        <w:tc>
          <w:tcPr>
            <w:tcW w:w="109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pPr>
      <w:r>
        <w:rPr>
          <w:rFonts w:ascii="Times New Roman;sans-serif" w:hAnsi="Times New Roman;sans-serif"/>
          <w:b w:val="false"/>
          <w:color w:val="231F20"/>
          <w:sz w:val="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w:t>
      </w:r>
      <w:r>
        <w:rPr>
          <w:color w:val="000000"/>
        </w:rPr>
        <w:t xml:space="preserve"> </w:t>
      </w:r>
      <w:r>
        <w:rPr>
          <w:rFonts w:ascii="Times New Roman;sans-serif" w:hAnsi="Times New Roman;sans-serif"/>
          <w:b w:val="false"/>
          <w:color w:val="231F20"/>
          <w:sz w:val="20"/>
        </w:rPr>
        <w:t xml:space="preserve">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Selling, general and administrative costs increased by $3.3 million, or 54.4%, for the three months ended March 31, 2022 compared to the three months ended March 31, 2021. The increase was primarily due to increases of $4.0 million in insurance expense and $0.4 million in rent, partially offset by a reduction of marketing expenses of $1.7 million. The majority of marketing expenses are web-based promotional campaigns. We expect to increase marketing efforts as part of our broader growth initiatives, which is expected to result in increased selling, general and administrative expenses in future periods.</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Acquisition-related Expenses</w:t>
      </w:r>
    </w:p>
    <w:tbl>
      <w:tblPr>
        <w:tblW w:w="9727" w:type="dxa"/>
        <w:jc w:val="left"/>
        <w:tblInd w:w="0" w:type="dxa"/>
        <w:tblCellMar>
          <w:top w:w="28" w:type="dxa"/>
          <w:left w:w="28" w:type="dxa"/>
          <w:bottom w:w="28" w:type="dxa"/>
          <w:right w:w="28" w:type="dxa"/>
        </w:tblCellMar>
      </w:tblPr>
      <w:tblGrid>
        <w:gridCol w:w="896"/>
        <w:gridCol w:w="788"/>
        <w:gridCol w:w="791"/>
        <w:gridCol w:w="501"/>
        <w:gridCol w:w="1110"/>
        <w:gridCol w:w="263"/>
        <w:gridCol w:w="109"/>
        <w:gridCol w:w="109"/>
        <w:gridCol w:w="109"/>
        <w:gridCol w:w="109"/>
        <w:gridCol w:w="109"/>
        <w:gridCol w:w="109"/>
        <w:gridCol w:w="421"/>
        <w:gridCol w:w="1234"/>
        <w:gridCol w:w="219"/>
        <w:gridCol w:w="109"/>
        <w:gridCol w:w="109"/>
        <w:gridCol w:w="109"/>
        <w:gridCol w:w="211"/>
        <w:gridCol w:w="691"/>
        <w:gridCol w:w="109"/>
        <w:gridCol w:w="109"/>
        <w:gridCol w:w="109"/>
        <w:gridCol w:w="109"/>
        <w:gridCol w:w="285"/>
        <w:gridCol w:w="286"/>
        <w:gridCol w:w="614"/>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5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Acquisition-related expenses decreased by $7.3 million, or 93.4%, for the three months ended March 31, 2022 compared to the three months ended March 31, 2021. Acquisition-related expenses for the three months ended March 31, 2021 consist of </w:t>
      </w:r>
      <w:r>
        <w:rPr>
          <w:rFonts w:ascii="Times New Roman;sans-serif" w:hAnsi="Times New Roman;sans-serif"/>
          <w:b w:val="false"/>
          <w:color w:val="000000"/>
          <w:sz w:val="20"/>
        </w:rPr>
        <w:t>fees for investment banking advisors, lawyers, accountants, tax advisors and public relations firms directly related to the</w:t>
      </w:r>
      <w:r>
        <w:rPr>
          <w:color w:val="231F20"/>
        </w:rPr>
        <w:t xml:space="preserve"> </w:t>
      </w:r>
      <w:r>
        <w:rPr>
          <w:rFonts w:ascii="Times New Roman;sans-serif" w:hAnsi="Times New Roman;sans-serif"/>
          <w:b w:val="false"/>
          <w:color w:val="231F20"/>
          <w:sz w:val="20"/>
        </w:rPr>
        <w:t>Business Combination, which did not recur during the three months ended March 31, 2022. The amount and timing of acquisition-related expenses is expected to vary across periods based on potential transaction activities.</w:t>
      </w:r>
    </w:p>
    <w:p>
      <w:pPr>
        <w:pStyle w:val="TextBody"/>
        <w:spacing w:lineRule="auto" w:line="333" w:before="240" w:after="240"/>
        <w:ind w:left="0" w:right="0" w:firstLine="720"/>
        <w:rPr>
          <w:rFonts w:ascii="Times New Roman;sans-serif" w:hAnsi="Times New Roman;sans-serif"/>
          <w:b/>
          <w:i/>
          <w:color w:val="231F20"/>
          <w:sz w:val="20"/>
        </w:rPr>
      </w:pPr>
      <w:r>
        <w:rPr>
          <w:rFonts w:ascii="Times New Roman;sans-serif" w:hAnsi="Times New Roman;sans-serif"/>
          <w:b/>
          <w:i/>
          <w:color w:val="231F20"/>
          <w:sz w:val="20"/>
        </w:rPr>
        <w:t>Depreciation and Amortization</w:t>
      </w:r>
    </w:p>
    <w:tbl>
      <w:tblPr>
        <w:tblW w:w="9816" w:type="dxa"/>
        <w:jc w:val="left"/>
        <w:tblInd w:w="0" w:type="dxa"/>
        <w:tblCellMar>
          <w:top w:w="28" w:type="dxa"/>
          <w:left w:w="28" w:type="dxa"/>
          <w:bottom w:w="28" w:type="dxa"/>
          <w:right w:w="28" w:type="dxa"/>
        </w:tblCellMar>
      </w:tblPr>
      <w:tblGrid>
        <w:gridCol w:w="939"/>
        <w:gridCol w:w="826"/>
        <w:gridCol w:w="829"/>
        <w:gridCol w:w="422"/>
        <w:gridCol w:w="1234"/>
        <w:gridCol w:w="218"/>
        <w:gridCol w:w="109"/>
        <w:gridCol w:w="109"/>
        <w:gridCol w:w="109"/>
        <w:gridCol w:w="109"/>
        <w:gridCol w:w="109"/>
        <w:gridCol w:w="109"/>
        <w:gridCol w:w="421"/>
        <w:gridCol w:w="1234"/>
        <w:gridCol w:w="219"/>
        <w:gridCol w:w="109"/>
        <w:gridCol w:w="109"/>
        <w:gridCol w:w="109"/>
        <w:gridCol w:w="211"/>
        <w:gridCol w:w="616"/>
        <w:gridCol w:w="109"/>
        <w:gridCol w:w="109"/>
        <w:gridCol w:w="109"/>
        <w:gridCol w:w="109"/>
        <w:gridCol w:w="308"/>
        <w:gridCol w:w="308"/>
        <w:gridCol w:w="61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Depreciation and amortization increased by $3.1 million, or 109.4%, for the three months ended March 31, 2022 compared to the three months ended March 31, 2021. The increase was primarily due to increases of $3.2 million related to the step-up in basis of the technology and customer relationships acquired in connection with the Business Combination, partially offset by a decrease of $0.1 million related to amortization of trade names during the three months ended March 31, 2021, which is no longer amortizable following the Business Combination in 2021.</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Gain from Change in Fair Value of Warrant Liability</w:t>
      </w:r>
    </w:p>
    <w:tbl>
      <w:tblPr>
        <w:tblW w:w="10205" w:type="dxa"/>
        <w:jc w:val="left"/>
        <w:tblInd w:w="0" w:type="dxa"/>
        <w:tblCellMar>
          <w:top w:w="28" w:type="dxa"/>
          <w:left w:w="28" w:type="dxa"/>
          <w:bottom w:w="28" w:type="dxa"/>
          <w:right w:w="28" w:type="dxa"/>
        </w:tblCellMar>
      </w:tblPr>
      <w:tblGrid>
        <w:gridCol w:w="1271"/>
        <w:gridCol w:w="1117"/>
        <w:gridCol w:w="1122"/>
        <w:gridCol w:w="380"/>
        <w:gridCol w:w="1111"/>
        <w:gridCol w:w="196"/>
        <w:gridCol w:w="109"/>
        <w:gridCol w:w="109"/>
        <w:gridCol w:w="109"/>
        <w:gridCol w:w="109"/>
        <w:gridCol w:w="109"/>
        <w:gridCol w:w="109"/>
        <w:gridCol w:w="501"/>
        <w:gridCol w:w="964"/>
        <w:gridCol w:w="260"/>
        <w:gridCol w:w="109"/>
        <w:gridCol w:w="109"/>
        <w:gridCol w:w="109"/>
        <w:gridCol w:w="211"/>
        <w:gridCol w:w="616"/>
        <w:gridCol w:w="109"/>
        <w:gridCol w:w="109"/>
        <w:gridCol w:w="109"/>
        <w:gridCol w:w="109"/>
        <w:gridCol w:w="303"/>
        <w:gridCol w:w="303"/>
        <w:gridCol w:w="433"/>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333"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40" w:before="0" w:after="0"/>
        <w:rPr/>
      </w:pPr>
      <w:r>
        <w:br w:type="page"/>
      </w: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recorded a gain of $2.4 million during the three months ended March 31, 2022 for the change in fair value on the revaluation of our warrant liability associated with our public warrants. This is a non-cash gain and is driven by fluctuations in the market price of our warrants.</w:t>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Other expense, net</w:t>
      </w:r>
    </w:p>
    <w:tbl>
      <w:tblPr>
        <w:tblW w:w="8702" w:type="dxa"/>
        <w:jc w:val="left"/>
        <w:tblInd w:w="0" w:type="dxa"/>
        <w:tblCellMar>
          <w:top w:w="28" w:type="dxa"/>
          <w:left w:w="28" w:type="dxa"/>
          <w:bottom w:w="28" w:type="dxa"/>
          <w:right w:w="28" w:type="dxa"/>
        </w:tblCellMar>
      </w:tblPr>
      <w:tblGrid>
        <w:gridCol w:w="586"/>
        <w:gridCol w:w="515"/>
        <w:gridCol w:w="518"/>
        <w:gridCol w:w="493"/>
        <w:gridCol w:w="1126"/>
        <w:gridCol w:w="255"/>
        <w:gridCol w:w="109"/>
        <w:gridCol w:w="109"/>
        <w:gridCol w:w="109"/>
        <w:gridCol w:w="109"/>
        <w:gridCol w:w="109"/>
        <w:gridCol w:w="109"/>
        <w:gridCol w:w="493"/>
        <w:gridCol w:w="1126"/>
        <w:gridCol w:w="256"/>
        <w:gridCol w:w="109"/>
        <w:gridCol w:w="109"/>
        <w:gridCol w:w="109"/>
        <w:gridCol w:w="237"/>
        <w:gridCol w:w="541"/>
        <w:gridCol w:w="123"/>
        <w:gridCol w:w="109"/>
        <w:gridCol w:w="109"/>
        <w:gridCol w:w="109"/>
        <w:gridCol w:w="255"/>
        <w:gridCol w:w="256"/>
        <w:gridCol w:w="614"/>
      </w:tblGrid>
      <w:tr>
        <w:trPr/>
        <w:tc>
          <w:tcPr>
            <w:tcW w:w="58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net primarily consists of non-operating gains and losses. During the three months ended March 31, 2022, we had other expense of $0.5 million as compared to other expense of $0.3 million for the three months ended March 31, 2021. The increase in other expense of $0.1 million was primarily driven by foreign currency transaction losses.</w:t>
      </w:r>
    </w:p>
    <w:p>
      <w:pPr>
        <w:pStyle w:val="TextBody"/>
        <w:spacing w:before="0" w:after="0"/>
        <w:jc w:val="both"/>
        <w:rPr/>
      </w:pPr>
      <w:r>
        <w:rPr/>
      </w:r>
    </w:p>
    <w:p>
      <w:pPr>
        <w:pStyle w:val="TextBody"/>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Income tax benefit (expense)</w:t>
      </w:r>
    </w:p>
    <w:tbl>
      <w:tblPr>
        <w:tblW w:w="9488" w:type="dxa"/>
        <w:jc w:val="left"/>
        <w:tblInd w:w="0" w:type="dxa"/>
        <w:tblCellMar>
          <w:top w:w="28" w:type="dxa"/>
          <w:left w:w="28" w:type="dxa"/>
          <w:bottom w:w="28" w:type="dxa"/>
          <w:right w:w="28" w:type="dxa"/>
        </w:tblCellMar>
      </w:tblPr>
      <w:tblGrid>
        <w:gridCol w:w="891"/>
        <w:gridCol w:w="783"/>
        <w:gridCol w:w="786"/>
        <w:gridCol w:w="422"/>
        <w:gridCol w:w="1234"/>
        <w:gridCol w:w="218"/>
        <w:gridCol w:w="109"/>
        <w:gridCol w:w="109"/>
        <w:gridCol w:w="109"/>
        <w:gridCol w:w="109"/>
        <w:gridCol w:w="109"/>
        <w:gridCol w:w="109"/>
        <w:gridCol w:w="568"/>
        <w:gridCol w:w="1012"/>
        <w:gridCol w:w="294"/>
        <w:gridCol w:w="109"/>
        <w:gridCol w:w="109"/>
        <w:gridCol w:w="109"/>
        <w:gridCol w:w="211"/>
        <w:gridCol w:w="616"/>
        <w:gridCol w:w="109"/>
        <w:gridCol w:w="109"/>
        <w:gridCol w:w="109"/>
        <w:gridCol w:w="109"/>
        <w:gridCol w:w="303"/>
        <w:gridCol w:w="303"/>
        <w:gridCol w:w="430"/>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40" w:before="33" w:after="3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before="0" w:after="0"/>
        <w:ind w:left="0" w:right="0" w:firstLine="720"/>
        <w:jc w:val="both"/>
        <w:rPr/>
      </w:pPr>
      <w:r>
        <w:rPr/>
      </w:r>
    </w:p>
    <w:p>
      <w:pPr>
        <w:pStyle w:val="TextBody"/>
        <w:spacing w:lineRule="auto" w:line="312"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benefit during the three months ended March 31, 2022 primarily consists of deferred tax benefit from net loss allocated to Bakkt Holdings, Inc. during the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predecessor principally financed its operations through equity financings in the form of capital contributions from its members and, to a lesser degree, from customer revenues. In addition, in 2018, ICE contributed certain developed assets and rights to use exchange and clearing licenses enabling Bakkt to commence operations. In connection with the closing of the Business Combination, our predecessor’s cash position was supplemented by $532.4 million, which included $325.0 million in proceeds from the closing of a private placement of shares of our Class A common stock and $207.4 million that had previously been held in trust.</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of March 31, 2022, we had $355.2 million and $16.5 million of cash and cash equivalents and restricted cash, respectively, which amounts included the net proceeds raised in connection with the Business Combination, the amounts used to fund redemptions in connection with the Business Combination and the amounts received upon exercise of the public warrants through such date. Cash and cash equivalents consist of cash deposits at banks and money market funds. Restricted cash is held to satisfy certain minimum capital requirements pursuant to regulatory requirements.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our unrestricted cash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expected uses of the available funds from the Business Combination are based upon our present plans, objectives and business condition. We have not determined all of the particular uses for the available funds, and </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333"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management has not estimated the amount of funds, or the range of funds, to be used for any particular purpose. As a result, our management retain broad discretion over the available funds.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continue to accelerate our hiring plans along with increasing our marketing and promotional efforts, which we expect to continue in the near future. We may also enter into arrangements to acquire or invest in complementary businesses, services, and technologies which will likely require us to increase our cash consumption.</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have evaluated the impact of the COVID-19 pandemic on our liquidity and capital needs, and we anticipate that its effects will be largely neutral.</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w:t>
      </w:r>
    </w:p>
    <w:p>
      <w:pPr>
        <w:pStyle w:val="TextBody"/>
        <w:spacing w:lineRule="auto" w:line="333" w:before="240" w:after="240"/>
        <w:ind w:left="0" w:right="0" w:firstLine="490"/>
        <w:jc w:val="both"/>
        <w:rPr/>
      </w:pPr>
      <w:r>
        <w:rPr>
          <w:rFonts w:ascii="Times New Roman;sans-serif" w:hAnsi="Times New Roman;sans-serif"/>
          <w:b w:val="false"/>
          <w:color w:val="231F20"/>
          <w:sz w:val="20"/>
        </w:rPr>
        <w:t>The following table summarizes our cash flows for the periods presented (</w:t>
      </w:r>
      <w:r>
        <w:rPr>
          <w:rFonts w:ascii="Times New Roman;sans-serif" w:hAnsi="Times New Roman;sans-serif"/>
          <w:b w:val="false"/>
          <w:color w:val="000000"/>
          <w:sz w:val="20"/>
        </w:rPr>
        <w:t>in thousands)</w:t>
      </w:r>
      <w:r>
        <w:rPr>
          <w:rFonts w:ascii="Times New Roman;sans-serif" w:hAnsi="Times New Roman;sans-serif"/>
          <w:b w:val="false"/>
          <w:color w:val="231F20"/>
          <w:sz w:val="20"/>
        </w:rPr>
        <w:t>:</w:t>
      </w:r>
    </w:p>
    <w:tbl>
      <w:tblPr>
        <w:tblW w:w="10205" w:type="dxa"/>
        <w:jc w:val="left"/>
        <w:tblInd w:w="0" w:type="dxa"/>
        <w:tblCellMar>
          <w:top w:w="28" w:type="dxa"/>
          <w:left w:w="28" w:type="dxa"/>
          <w:bottom w:w="28" w:type="dxa"/>
          <w:right w:w="28" w:type="dxa"/>
        </w:tblCellMar>
      </w:tblPr>
      <w:tblGrid>
        <w:gridCol w:w="1407"/>
        <w:gridCol w:w="1238"/>
        <w:gridCol w:w="1254"/>
        <w:gridCol w:w="530"/>
        <w:gridCol w:w="1990"/>
        <w:gridCol w:w="274"/>
        <w:gridCol w:w="109"/>
        <w:gridCol w:w="109"/>
        <w:gridCol w:w="109"/>
        <w:gridCol w:w="109"/>
        <w:gridCol w:w="109"/>
        <w:gridCol w:w="109"/>
        <w:gridCol w:w="604"/>
        <w:gridCol w:w="1806"/>
        <w:gridCol w:w="448"/>
      </w:tblGrid>
      <w:tr>
        <w:trPr/>
        <w:tc>
          <w:tcPr>
            <w:tcW w:w="1407"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8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3899" w:type="dxa"/>
            <w:gridSpan w:val="3"/>
            <w:tcBorders/>
            <w:shd w:fill="auto" w:val="clear"/>
            <w:tcMar>
              <w:top w:w="0" w:type="dxa"/>
              <w:left w:w="0" w:type="dxa"/>
              <w:bottom w:w="0" w:type="dxa"/>
              <w:right w:w="0" w:type="dxa"/>
            </w:tcMar>
            <w:vAlign w:val="center"/>
          </w:tcPr>
          <w:p>
            <w:pPr>
              <w:pStyle w:val="TableContents"/>
              <w:spacing w:before="33" w:after="30"/>
              <w:ind w:left="0" w:right="0" w:firstLine="289"/>
              <w:jc w:val="both"/>
              <w:rPr/>
            </w:pPr>
            <w:r>
              <w:rPr/>
            </w:r>
          </w:p>
        </w:tc>
        <w:tc>
          <w:tcPr>
            <w:tcW w:w="2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2021</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w:t>
            </w:r>
          </w:p>
        </w:tc>
        <w:tc>
          <w:tcPr>
            <w:tcW w:w="53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4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 financing activities</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most significantly our platform, and associated non-headcount technology and communication cost to develop, operate and support our customer-facing technology platforms.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operating activities of $33.2 million for the three months ended March 31, 2022 was primarily related to our net loss of $43.3 million and changes in our operating assets and liabilities of $4.0 million, offset by non-cash charges of $14.2 million. The non-cash charges for the combined 2021 period primarily consisted of share-based compensation of $13.2 million and depreciation and amortization of $5.9 million, offset by a gain from change in fair value of warrant liability of $2.4 million. Net cash outflows from changes in our operating assets and liabilities for the three months ended March 31, 2022 resulted primarily from an increase in accounts receivables of $1.3 million, a decrease of accounts payable and accrued liabilities of $1.7 million and an increase in other assets and liabilities of $4.3 million, which were partially offset by a decrease in prepaid insurance of $4.3 million.</w:t>
      </w:r>
    </w:p>
    <w:p>
      <w:pPr>
        <w:pStyle w:val="TextBody"/>
        <w:spacing w:lineRule="auto" w:line="333" w:before="240" w:after="283"/>
        <w:ind w:left="0" w:right="0" w:firstLine="720"/>
        <w:jc w:val="both"/>
        <w:rPr/>
      </w:pPr>
      <w:r>
        <w:rPr>
          <w:rFonts w:ascii="Times New Roman;sans-serif" w:hAnsi="Times New Roman;sans-serif"/>
          <w:b w:val="false"/>
          <w:color w:val="231F20"/>
          <w:sz w:val="20"/>
        </w:rPr>
        <w:t>Net cash flows used in operating activities of $1.0 million for the three months ended March 31, 2021 is primarily attributable to our net loss of $28.8 million, offset by non-cash charges of $5.4 million and changes in our operating assets and liabilities of approximately $22.5 million. Non-cash charges primarily consisted of $1.3 million of unit-based compensation expenses and $2.8 million of depreciation and amortization. Net cash inflows from changes in operating assets and liabilities resulted from the return of a deposit with our clearinghouse affiliate of $20.4 million, a $2.9 million increase in accounts payable and accruals and a $1.1 million increase in other assets and liabilities, which were partially offset by a</w:t>
      </w:r>
      <w:r>
        <w:rPr>
          <w:color w:val="000000"/>
        </w:rPr>
        <w:t xml:space="preserve"> </w:t>
      </w:r>
      <w:r>
        <w:rPr>
          <w:rFonts w:ascii="Times New Roman;sans-serif" w:hAnsi="Times New Roman;sans-serif"/>
          <w:b w:val="false"/>
          <w:color w:val="000000"/>
          <w:sz w:val="20"/>
        </w:rPr>
        <w:t xml:space="preserve">$2.0 million </w:t>
      </w:r>
      <w:r>
        <w:rPr>
          <w:rFonts w:ascii="Times New Roman;sans-serif" w:hAnsi="Times New Roman;sans-serif"/>
          <w:b w:val="false"/>
          <w:color w:val="231F20"/>
          <w:sz w:val="20"/>
        </w:rPr>
        <w:t>decrease in amounts due to affiliates.</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investing activities of $3.1 million for the three months ended March 31, 2022 consisted of capitalized costs of internally developed software. Capital expenditures were primary related to capitalized expenses associated with internally developed software for our technology platforms.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used in investing activities of $4.1 million for the three months ended March 31, 2021 consisted of capitalized costs of internally developed software and other capital expenditures. </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provided by financing activities of less than $0.1 million for the three months ended March 31, 2022 resulted from proceeds from the exercise of public warrants. </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financing activities of less than $0.1 million for the three months ended March 31, 2021 resulted from payments for capital leases during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Tax Receivable Agreement</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completion of the Business Combination, we entered into a Tax Receivable Agreement with certain Bakkt Equity Holders. Pursuant to the Tax Receivable Agreement,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for the payment by us to exchanging holders of Bakkt Common Units of 85% of certain net income tax benefits, if any, that we realize (or in certain cases is deemed to realize) as a result of these increases in tax basis and certain other tax attributes of Bakkt and tax benefits related to entering into the Tax Receivable Agreement, including tax benefits attributable to payments under the Tax Receivable Agreement. This payment obligation is an obligation of the Company and not of Bakkt.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Bakkt as a result of Bakkt having an election in effect under Section 754 of the Code for each taxable year in which an exchange of Bakkt Common Units for Class A common stock occurs and had we not entered into the Tax Receivable Agreement. Such increase or decrease will be calculated under the Tax Receivable Agreement without regard to any transfers of Bakkt Common Units or distributions with respect to such Bakkt Common Units before the exchange under the Exchange Agreement to which Section 743(b) or 734(b) of the Code applies. As of March 31, 2022, no such exchanges have occurred.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Contractual Obligations and Commitments</w:t>
      </w:r>
    </w:p>
    <w:p>
      <w:pPr>
        <w:pStyle w:val="TextBody"/>
        <w:spacing w:lineRule="auto" w:line="333" w:before="240" w:after="240"/>
        <w:jc w:val="both"/>
        <w:rPr/>
      </w:pPr>
      <w:r>
        <w:rPr>
          <w:rFonts w:ascii="Times New Roman;sans-serif" w:hAnsi="Times New Roman;sans-serif"/>
          <w:b w:val="false"/>
          <w:color w:val="231F20"/>
          <w:sz w:val="20"/>
        </w:rPr>
        <w:t xml:space="preserve">The following is a summary of our significant contractual obligations and commitments as of </w:t>
      </w:r>
      <w:r>
        <w:rPr>
          <w:rFonts w:ascii="Times New Roman;sans-serif" w:hAnsi="Times New Roman;sans-serif"/>
          <w:b w:val="false"/>
          <w:color w:val="000000"/>
          <w:sz w:val="20"/>
        </w:rPr>
        <w:t>March 31, 2022</w:t>
      </w:r>
      <w:r>
        <w:rPr>
          <w:color w:val="231F20"/>
        </w:rPr>
        <w:t xml:space="preserve"> </w:t>
      </w:r>
      <w:r>
        <w:rPr>
          <w:rFonts w:ascii="Times New Roman;sans-serif" w:hAnsi="Times New Roman;sans-serif"/>
          <w:b w:val="false"/>
          <w:color w:val="231F20"/>
          <w:sz w:val="20"/>
        </w:rPr>
        <w:t>(in thousands):</w:t>
      </w:r>
    </w:p>
    <w:tbl>
      <w:tblPr>
        <w:tblW w:w="10205" w:type="dxa"/>
        <w:jc w:val="left"/>
        <w:tblInd w:w="0" w:type="dxa"/>
        <w:tblCellMar>
          <w:top w:w="28" w:type="dxa"/>
          <w:left w:w="28" w:type="dxa"/>
          <w:bottom w:w="28" w:type="dxa"/>
          <w:right w:w="28" w:type="dxa"/>
        </w:tblCellMar>
      </w:tblPr>
      <w:tblGrid>
        <w:gridCol w:w="1067"/>
        <w:gridCol w:w="939"/>
        <w:gridCol w:w="949"/>
        <w:gridCol w:w="295"/>
        <w:gridCol w:w="864"/>
        <w:gridCol w:w="153"/>
        <w:gridCol w:w="109"/>
        <w:gridCol w:w="109"/>
        <w:gridCol w:w="109"/>
        <w:gridCol w:w="211"/>
        <w:gridCol w:w="721"/>
        <w:gridCol w:w="109"/>
        <w:gridCol w:w="109"/>
        <w:gridCol w:w="109"/>
        <w:gridCol w:w="109"/>
        <w:gridCol w:w="211"/>
        <w:gridCol w:w="721"/>
        <w:gridCol w:w="109"/>
        <w:gridCol w:w="109"/>
        <w:gridCol w:w="109"/>
        <w:gridCol w:w="109"/>
        <w:gridCol w:w="295"/>
        <w:gridCol w:w="1011"/>
        <w:gridCol w:w="152"/>
        <w:gridCol w:w="109"/>
        <w:gridCol w:w="109"/>
        <w:gridCol w:w="109"/>
        <w:gridCol w:w="211"/>
        <w:gridCol w:w="721"/>
        <w:gridCol w:w="158"/>
      </w:tblGrid>
      <w:tr>
        <w:trPr/>
        <w:tc>
          <w:tcPr>
            <w:tcW w:w="106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53" w:after="30"/>
              <w:ind w:left="0" w:right="0" w:firstLine="720"/>
              <w:rPr/>
            </w:pPr>
            <w:r>
              <w:rPr/>
            </w:r>
          </w:p>
        </w:tc>
        <w:tc>
          <w:tcPr>
            <w:tcW w:w="725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2955" w:type="dxa"/>
            <w:gridSpan w:val="3"/>
            <w:tcBorders/>
            <w:shd w:fill="auto" w:val="clear"/>
            <w:tcMar>
              <w:top w:w="0" w:type="dxa"/>
              <w:left w:w="0" w:type="dxa"/>
              <w:bottom w:w="0" w:type="dxa"/>
              <w:right w:w="0" w:type="dxa"/>
            </w:tcMar>
            <w:vAlign w:val="center"/>
          </w:tcPr>
          <w:p>
            <w:pPr>
              <w:pStyle w:val="TableContents"/>
              <w:spacing w:before="33" w:after="30"/>
              <w:ind w:left="0" w:right="0" w:firstLine="720"/>
              <w:jc w:val="center"/>
              <w:rPr/>
            </w:pPr>
            <w:r>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operating lease payments(2)</w:t>
            </w:r>
          </w:p>
        </w:tc>
        <w:tc>
          <w:tcPr>
            <w:tcW w:w="11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23,196 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minimum commitment payments under a four-year cloud computing arrangement.</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rental payments under operating leases with remaining non-cancellable terms in excess of one year. </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 </w:t>
      </w:r>
      <w:r>
        <w:rPr>
          <w:rFonts w:ascii="Times New Roman;sans-serif" w:hAnsi="Times New Roman;sans-serif"/>
          <w:b w:val="false"/>
          <w:color w:val="000000"/>
          <w:sz w:val="20"/>
        </w:rPr>
        <w:t>In April 2022, we further extended the maturity date of the purchasing card facility to August 12, 2022.</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Non-GAAP Financial Measures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pStyle w:val="TextBody"/>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Adjusted EBITDA</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Adjusted EBITDA as a non-GAAP financial measure.</w:t>
      </w:r>
      <w:r>
        <w:br w:type="page"/>
      </w:r>
    </w:p>
    <w:p>
      <w:pPr>
        <w:pStyle w:val="TextBody"/>
        <w:spacing w:lineRule="auto" w:line="240" w:before="0" w:after="0"/>
        <w:rPr/>
      </w:pP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333" w:before="240" w:after="283"/>
        <w:ind w:left="0" w:right="0" w:firstLine="720"/>
        <w:jc w:val="both"/>
        <w:rPr/>
      </w:pPr>
      <w:r>
        <w:rPr>
          <w:rFonts w:ascii="Times New Roman;sans-serif" w:hAnsi="Times New Roman;sans-serif"/>
          <w:b w:val="false"/>
          <w:color w:val="231F20"/>
          <w:sz w:val="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w:t>
      </w:r>
      <w:r>
        <w:rPr>
          <w:color w:val="000000"/>
        </w:rPr>
        <w:t xml:space="preserve"> </w:t>
      </w:r>
      <w:r>
        <w:rPr>
          <w:rFonts w:ascii="Times New Roman;sans-serif" w:hAnsi="Times New Roman;sans-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to the items above, Adjusted EBITDA as a non-GAAP financial measure also excludes interest income (expense) and other income (expense), and income tax (expense) benefit, as these items are not components of our core business operations.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pStyle w:val="TextBody"/>
        <w:spacing w:lineRule="auto" w:line="333" w:before="240" w:after="283"/>
        <w:ind w:left="0" w:right="0" w:hanging="360"/>
        <w:jc w:val="both"/>
        <w:rPr/>
      </w:pPr>
      <w:r>
        <w:rPr>
          <w:color w:val="000000"/>
        </w:rPr>
        <w:t>•</w:t>
      </w:r>
      <w:r>
        <w:rPr>
          <w:rFonts w:ascii="Times New Roman;sans-serif" w:hAnsi="Times New Roman;sans-serif"/>
          <w:b w:val="false"/>
          <w:color w:val="231F20"/>
          <w:sz w:val="20"/>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pStyle w:val="TextBody"/>
        <w:spacing w:lineRule="auto" w:line="333" w:before="120" w:after="283"/>
        <w:ind w:left="0" w:right="0" w:hanging="360"/>
        <w:jc w:val="both"/>
        <w:rPr/>
      </w:pPr>
      <w:r>
        <w:rPr>
          <w:color w:val="000000"/>
        </w:rPr>
        <w:t>•</w:t>
      </w:r>
      <w:r>
        <w:rPr>
          <w:rFonts w:ascii="Times New Roman;sans-serif" w:hAnsi="Times New Roman;sans-serif"/>
          <w:b w:val="false"/>
          <w:color w:val="231F20"/>
          <w:sz w:val="20"/>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pStyle w:val="TextBody"/>
        <w:spacing w:lineRule="auto" w:line="333" w:before="120" w:after="283"/>
        <w:ind w:left="0" w:right="0" w:hanging="360"/>
        <w:jc w:val="both"/>
        <w:rPr/>
      </w:pPr>
      <w:r>
        <w:rPr>
          <w:color w:val="000000"/>
        </w:rPr>
        <w:t>•</w:t>
      </w:r>
      <w:r>
        <w:rPr>
          <w:rFonts w:ascii="Times New Roman;sans-serif" w:hAnsi="Times New Roman;sans-serif"/>
          <w:b w:val="false"/>
          <w:color w:val="231F20"/>
          <w:sz w:val="20"/>
        </w:rPr>
        <w:t>non-GAAP measures do not reflect changes in, or cash requirements for, our working capital needs.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these limitations, the non-GAAP financial measures should be considered alongside other financial performance measures, including net loss and our other financial results presented in accordance with GAAP.</w:t>
      </w:r>
    </w:p>
    <w:p>
      <w:pPr>
        <w:pStyle w:val="TextBody"/>
        <w:spacing w:lineRule="auto" w:line="333" w:before="240" w:after="24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the most directly comparable GAAP operating performance measure, to our Adjusted EBITDA for each of the periods indicated (in thousands):</w:t>
      </w:r>
    </w:p>
    <w:tbl>
      <w:tblPr>
        <w:tblW w:w="8706" w:type="dxa"/>
        <w:jc w:val="left"/>
        <w:tblInd w:w="0" w:type="dxa"/>
        <w:tblCellMar>
          <w:top w:w="28" w:type="dxa"/>
          <w:left w:w="28" w:type="dxa"/>
          <w:bottom w:w="28" w:type="dxa"/>
          <w:right w:w="28" w:type="dxa"/>
        </w:tblCellMar>
      </w:tblPr>
      <w:tblGrid>
        <w:gridCol w:w="1531"/>
        <w:gridCol w:w="1346"/>
        <w:gridCol w:w="1382"/>
        <w:gridCol w:w="624"/>
        <w:gridCol w:w="624"/>
        <w:gridCol w:w="626"/>
        <w:gridCol w:w="109"/>
        <w:gridCol w:w="109"/>
        <w:gridCol w:w="109"/>
        <w:gridCol w:w="109"/>
        <w:gridCol w:w="109"/>
        <w:gridCol w:w="109"/>
        <w:gridCol w:w="562"/>
        <w:gridCol w:w="562"/>
        <w:gridCol w:w="795"/>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Predecessor</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0"/>
              <w:ind w:left="0" w:right="0" w:firstLine="289"/>
              <w:jc w:val="both"/>
              <w:rPr/>
            </w:pPr>
            <w:r>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2021</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(28,820)</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Unit-based compensation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 liability</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 transition services expense</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common units</w:t>
            </w:r>
          </w:p>
        </w:tc>
        <w:tc>
          <w:tcPr>
            <w:tcW w:w="12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2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pPr>
      <w:r>
        <w:br w:type="page"/>
      </w:r>
      <w:hyperlink w:anchor="ibfb2531c6bc24e02935ed85eab53393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Adjusted EBITDA for the three months ended March 31, 2022 decreased by $12.0 million or 71.4% as compared to the three months ended March 31, 2021. The decrease was primarily due to a $7.9 million increase in compensation and benefits resulting from an increase in headcount to support the projected growth in our business, a $3.8 million increase professional services including fees for accounting, legal and regulatory fees, and a $3.3 million increase in selling, general and administrative expenses to support the projected growth in our business and requirements of being a public company, including increased insurance premiums and disclosure processes.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consolidated financial statements are prepared in accordance with GAAP, which requires us to make estimates and apply judgments that affect the reported amounts.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Due to the COVID-19 pandemic and the military conflict in Eastern Europe, there has been uncertainty and disruption in the global economy and financial markets, which requires us to make certain estimates and assumptions that affect the amounts reported in our consolidated financial statements.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We have assessed the impact and are not aware of any specific events or circumstances that required an update to our estimates and assumptions or materially affected the carrying value of our assets or liabilities as of the date of issuance of this Report. These estimates may change as new events occur and additional information is obtained. Actual results could differ materially from these estimates under different assumptions or conditions.</w:t>
      </w:r>
    </w:p>
    <w:p>
      <w:pPr>
        <w:pStyle w:val="TextBody"/>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For a description of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Recently Issued and Adopted Accounting Pronouncements</w:t>
      </w:r>
    </w:p>
    <w:p>
      <w:pPr>
        <w:pStyle w:val="TextBody"/>
        <w:spacing w:lineRule="auto" w:line="333" w:before="240" w:after="283"/>
        <w:ind w:left="0" w:right="0" w:firstLine="720"/>
        <w:jc w:val="both"/>
        <w:rPr/>
      </w:pPr>
      <w:r>
        <w:rPr>
          <w:rFonts w:ascii="Times New Roman;sans-serif" w:hAnsi="Times New Roman;sans-serif"/>
          <w:b w:val="false"/>
          <w:color w:val="231F20"/>
          <w:sz w:val="20"/>
        </w:rPr>
        <w:t xml:space="preserve">Recently issued and adopted accounting pronouncements are described in Note 2 </w:t>
      </w:r>
      <w:r>
        <w:rPr>
          <w:rFonts w:ascii="Times New Roman;sans-serif" w:hAnsi="Times New Roman;sans-serif"/>
          <w:b w:val="false"/>
          <w:color w:val="000000"/>
          <w:sz w:val="20"/>
        </w:rPr>
        <w:t>included in this Report</w:t>
      </w:r>
      <w:r>
        <w:rPr>
          <w:rFonts w:ascii="Times New Roman;sans-serif" w:hAnsi="Times New Roman;sans-serif"/>
          <w:b w:val="false"/>
          <w:color w:val="231F2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pStyle w:val="TextBody"/>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before="0" w:after="0"/>
        <w:jc w:val="both"/>
        <w:rPr/>
      </w:pPr>
      <w:r>
        <w:rPr/>
      </w:r>
    </w:p>
    <w:p>
      <w:pPr>
        <w:pStyle w:val="TextBody"/>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system of internal control over financial reporting (as defined in Rule 13a-15(f) and Rule 15d-15(f) under the Exchange Act) during the quarter ended March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333" w:before="240" w:after="283"/>
        <w:ind w:left="0" w:right="0" w:firstLine="490"/>
        <w:jc w:val="both"/>
        <w:rPr/>
      </w:pPr>
      <w:r>
        <w:rPr>
          <w:rFonts w:ascii="Times New Roman;sans-serif" w:hAnsi="Times New Roman;sans-serif"/>
          <w:b w:val="false"/>
          <w:color w:val="000000"/>
          <w:sz w:val="20"/>
        </w:rPr>
        <w:t>In addition to the information set forth in this Report on Form 10-Q, you should carefully consider the risk factors and other cautionary statements described under the heading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333"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333"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12"/>
        <w:gridCol w:w="273"/>
        <w:gridCol w:w="274"/>
        <w:gridCol w:w="109"/>
        <w:gridCol w:w="109"/>
        <w:gridCol w:w="109"/>
        <w:gridCol w:w="2045"/>
        <w:gridCol w:w="1930"/>
        <w:gridCol w:w="1949"/>
        <w:gridCol w:w="195"/>
        <w:gridCol w:w="195"/>
        <w:gridCol w:w="196"/>
        <w:gridCol w:w="279"/>
        <w:gridCol w:w="279"/>
        <w:gridCol w:w="185"/>
        <w:gridCol w:w="245"/>
        <w:gridCol w:w="245"/>
        <w:gridCol w:w="246"/>
        <w:gridCol w:w="362"/>
        <w:gridCol w:w="278"/>
        <w:gridCol w:w="390"/>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58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4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03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Certificate of Incorporation of the Company, as currently in effect</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 xml:space="preserve">By-laws of the Company, as currently in effect </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9">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10">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33" w:before="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333" w:before="40" w:after="283"/>
        <w:ind w:left="0" w:right="0" w:hanging="490"/>
        <w:jc w:val="both"/>
        <w:rPr>
          <w:color w:val="000000"/>
        </w:rPr>
      </w:pPr>
      <w:r>
        <w:rPr>
          <w:color w:val="000000"/>
        </w:rPr>
        <w:t>†    </w:t>
      </w:r>
      <w:r>
        <w:rPr>
          <w:rFonts w:ascii="Times New Roman;sans-serif" w:hAnsi="Times New Roman;sans-serif"/>
          <w:b w:val="false"/>
          <w:color w:val="000000"/>
          <w:sz w:val="20"/>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5394" w:type="dxa"/>
        <w:jc w:val="left"/>
        <w:tblInd w:w="0" w:type="dxa"/>
        <w:tblCellMar>
          <w:top w:w="28" w:type="dxa"/>
          <w:left w:w="28" w:type="dxa"/>
          <w:bottom w:w="28" w:type="dxa"/>
          <w:right w:w="28" w:type="dxa"/>
        </w:tblCellMar>
      </w:tblPr>
      <w:tblGrid>
        <w:gridCol w:w="629"/>
        <w:gridCol w:w="554"/>
        <w:gridCol w:w="557"/>
        <w:gridCol w:w="109"/>
        <w:gridCol w:w="109"/>
        <w:gridCol w:w="109"/>
        <w:gridCol w:w="284"/>
        <w:gridCol w:w="284"/>
        <w:gridCol w:w="284"/>
        <w:gridCol w:w="720"/>
        <w:gridCol w:w="720"/>
        <w:gridCol w:w="103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7"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Bakkt Holdings, Inc.</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LaBenne</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820302/000119312521303985/d219325dex31.htm" TargetMode="External"/><Relationship Id="rId6" Type="http://schemas.openxmlformats.org/officeDocument/2006/relationships/hyperlink" Target="https://www.sec.gov/Archives/edgar/data/0001820302/000119312521303985/d219325dex32.htm" TargetMode="External"/><Relationship Id="rId7" Type="http://schemas.openxmlformats.org/officeDocument/2006/relationships/hyperlink" Target="https://www.sec.gov/Archives/edgar/data/0001820302/000182030222000023/exhibit311certification-ceo.htm" TargetMode="External"/><Relationship Id="rId8" Type="http://schemas.openxmlformats.org/officeDocument/2006/relationships/hyperlink" Target="https://www.sec.gov/Archives/edgar/data/0001820302/000182030222000023/exhibit312certification-cfo.htm" TargetMode="External"/><Relationship Id="rId9" Type="http://schemas.openxmlformats.org/officeDocument/2006/relationships/hyperlink" Target="https://www.sec.gov/Archives/edgar/data/0001820302/000182030222000023/exhibit321certification-ceo.htm" TargetMode="External"/><Relationship Id="rId10" Type="http://schemas.openxmlformats.org/officeDocument/2006/relationships/hyperlink" Target="https://www.sec.gov/Archives/edgar/data/0001820302/000182030222000023/exhibit322certification-cfo.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52</Pages>
  <Words>21249</Words>
  <CharactersWithSpaces>137944</CharactersWithSpaces>
  <Paragraphs>2178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