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29" w:lineRule="exact"/>
        <w:rPr>
          <w:sz w:val="24"/>
          <w:szCs w:val="24"/>
          <w:color w:val="auto"/>
        </w:rPr>
      </w:pPr>
    </w:p>
    <w:p>
      <w:pPr>
        <w:jc w:val="center"/>
        <w:ind w:right="-7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39"/>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232410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020" w:right="130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215265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719"/>
        <w:spacing w:after="0"/>
        <w:rPr>
          <w:sz w:val="20"/>
          <w:szCs w:val="20"/>
          <w:color w:val="auto"/>
        </w:rPr>
      </w:pPr>
      <w:r>
        <w:rPr>
          <w:rFonts w:ascii="Arial" w:cs="Arial" w:eastAsia="Arial" w:hAnsi="Arial"/>
          <w:sz w:val="43"/>
          <w:szCs w:val="43"/>
          <w:b w:val="1"/>
          <w:bCs w:val="1"/>
          <w:color w:val="auto"/>
        </w:rPr>
        <w:t>BAKKT HOLDINGS, INC.</w:t>
      </w:r>
    </w:p>
    <w:p>
      <w:pPr>
        <w:spacing w:after="0" w:line="50"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280"/>
          </w:cols>
          <w:pgMar w:left="440" w:top="368" w:right="11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98-1550750</w:t>
      </w:r>
    </w:p>
    <w:p>
      <w:pPr>
        <w:spacing w:after="0" w:line="50" w:lineRule="exact"/>
        <w:rPr>
          <w:sz w:val="24"/>
          <w:szCs w:val="24"/>
          <w:color w:val="auto"/>
        </w:rPr>
      </w:pPr>
    </w:p>
    <w:p>
      <w:pPr>
        <w:sectPr>
          <w:pgSz w:w="11900" w:h="16838" w:orient="portrait"/>
          <w:cols w:equalWidth="0" w:num="2">
            <w:col w:w="7180" w:space="720"/>
            <w:col w:w="2380"/>
          </w:cols>
          <w:pgMar w:left="440" w:top="368" w:right="1179" w:bottom="1440" w:gutter="0" w:footer="0" w:header="0"/>
          <w:type w:val="continuous"/>
        </w:sectPr>
      </w:pPr>
    </w:p>
    <w:p>
      <w:pPr>
        <w:ind w:left="1560"/>
        <w:spacing w:after="0"/>
        <w:rPr>
          <w:sz w:val="20"/>
          <w:szCs w:val="20"/>
          <w:color w:val="auto"/>
        </w:rPr>
      </w:pPr>
      <w:r>
        <w:rPr>
          <w:rFonts w:ascii="Arial" w:cs="Arial" w:eastAsia="Arial" w:hAnsi="Arial"/>
          <w:sz w:val="13"/>
          <w:szCs w:val="13"/>
          <w:b w:val="1"/>
          <w:bCs w:val="1"/>
          <w:color w:val="auto"/>
        </w:rPr>
        <w:t>(State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7" w:lineRule="exact"/>
        <w:rPr>
          <w:sz w:val="24"/>
          <w:szCs w:val="24"/>
          <w:color w:val="auto"/>
        </w:rPr>
      </w:pPr>
    </w:p>
    <w:p>
      <w:pPr>
        <w:sectPr>
          <w:pgSz w:w="11900" w:h="16838" w:orient="portrait"/>
          <w:cols w:equalWidth="0" w:num="2">
            <w:col w:w="6520" w:space="720"/>
            <w:col w:w="3040"/>
          </w:cols>
          <w:pgMar w:left="440" w:top="368" w:right="1179" w:bottom="1440" w:gutter="0" w:footer="0" w:header="0"/>
          <w:type w:val="continuous"/>
        </w:sectPr>
      </w:pPr>
    </w:p>
    <w:p>
      <w:pPr>
        <w:jc w:val="center"/>
        <w:ind w:right="-739"/>
        <w:spacing w:after="0"/>
        <w:rPr>
          <w:sz w:val="20"/>
          <w:szCs w:val="20"/>
          <w:color w:val="auto"/>
        </w:rPr>
      </w:pPr>
      <w:r>
        <w:rPr>
          <w:rFonts w:ascii="Arial" w:cs="Arial" w:eastAsia="Arial" w:hAnsi="Arial"/>
          <w:sz w:val="18"/>
          <w:szCs w:val="18"/>
          <w:b w:val="1"/>
          <w:bCs w:val="1"/>
          <w:color w:val="auto"/>
        </w:rPr>
        <w:t>5900 Windward Parkway, Suite 450</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Alpharetta, GA 30005</w:t>
      </w:r>
    </w:p>
    <w:p>
      <w:pPr>
        <w:spacing w:after="0" w:line="2" w:lineRule="exact"/>
        <w:rPr>
          <w:sz w:val="24"/>
          <w:szCs w:val="24"/>
          <w:color w:val="auto"/>
        </w:rPr>
      </w:pPr>
    </w:p>
    <w:p>
      <w:pPr>
        <w:jc w:val="center"/>
        <w:ind w:right="-73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35" w:lineRule="exact"/>
        <w:rPr>
          <w:sz w:val="24"/>
          <w:szCs w:val="24"/>
          <w:color w:val="auto"/>
        </w:rPr>
      </w:pPr>
    </w:p>
    <w:tbl>
      <w:tblPr>
        <w:tblLayout w:type="fixed"/>
        <w:tblInd w:w="102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3620" w:type="dxa"/>
            <w:vAlign w:val="bottom"/>
            <w:gridSpan w:val="2"/>
          </w:tcPr>
          <w:p>
            <w:pPr>
              <w:jc w:val="center"/>
              <w:ind w:right="2410"/>
              <w:spacing w:after="0"/>
              <w:rPr>
                <w:sz w:val="20"/>
                <w:szCs w:val="20"/>
                <w:color w:val="auto"/>
              </w:rPr>
            </w:pPr>
            <w:r>
              <w:rPr>
                <w:rFonts w:ascii="Arial" w:cs="Arial" w:eastAsia="Arial" w:hAnsi="Arial"/>
                <w:sz w:val="14"/>
                <w:szCs w:val="14"/>
                <w:b w:val="1"/>
                <w:bCs w:val="1"/>
                <w:color w:val="auto"/>
                <w:w w:val="89"/>
              </w:rPr>
              <w:t>Title of each class</w:t>
            </w:r>
          </w:p>
        </w:tc>
        <w:tc>
          <w:tcPr>
            <w:tcW w:w="3680" w:type="dxa"/>
            <w:vAlign w:val="bottom"/>
            <w:gridSpan w:val="3"/>
          </w:tcPr>
          <w:p>
            <w:pPr>
              <w:jc w:val="center"/>
              <w:ind w:left="1236"/>
              <w:spacing w:after="0"/>
              <w:rPr>
                <w:sz w:val="20"/>
                <w:szCs w:val="20"/>
                <w:color w:val="auto"/>
              </w:rPr>
            </w:pPr>
            <w:r>
              <w:rPr>
                <w:rFonts w:ascii="Arial" w:cs="Arial" w:eastAsia="Arial" w:hAnsi="Arial"/>
                <w:sz w:val="14"/>
                <w:szCs w:val="14"/>
                <w:b w:val="1"/>
                <w:bCs w:val="1"/>
                <w:color w:val="auto"/>
                <w:w w:val="91"/>
              </w:rPr>
              <w:t>Name of each exchange on which</w:t>
            </w:r>
          </w:p>
        </w:tc>
      </w:tr>
      <w:tr>
        <w:trPr>
          <w:trHeight w:val="171"/>
        </w:trPr>
        <w:tc>
          <w:tcPr>
            <w:tcW w:w="1200" w:type="dxa"/>
            <w:vAlign w:val="bottom"/>
          </w:tcPr>
          <w:p>
            <w:pPr>
              <w:spacing w:after="0"/>
              <w:rPr>
                <w:sz w:val="14"/>
                <w:szCs w:val="14"/>
                <w:color w:val="auto"/>
              </w:rPr>
            </w:pPr>
          </w:p>
        </w:tc>
        <w:tc>
          <w:tcPr>
            <w:tcW w:w="3620" w:type="dxa"/>
            <w:vAlign w:val="bottom"/>
            <w:gridSpan w:val="2"/>
          </w:tcPr>
          <w:p>
            <w:pPr>
              <w:jc w:val="center"/>
              <w:ind w:right="2410"/>
              <w:spacing w:after="0"/>
              <w:rPr>
                <w:sz w:val="20"/>
                <w:szCs w:val="20"/>
                <w:color w:val="auto"/>
              </w:rPr>
            </w:pPr>
            <w:r>
              <w:rPr>
                <w:rFonts w:ascii="Arial" w:cs="Arial" w:eastAsia="Arial" w:hAnsi="Arial"/>
                <w:sz w:val="14"/>
                <w:szCs w:val="14"/>
                <w:b w:val="1"/>
                <w:bCs w:val="1"/>
                <w:color w:val="auto"/>
                <w:w w:val="89"/>
              </w:rPr>
              <w:t>to be so registered</w:t>
            </w:r>
          </w:p>
        </w:tc>
        <w:tc>
          <w:tcPr>
            <w:tcW w:w="1640" w:type="dxa"/>
            <w:vAlign w:val="bottom"/>
          </w:tcPr>
          <w:p>
            <w:pPr>
              <w:spacing w:after="0"/>
              <w:rPr>
                <w:sz w:val="14"/>
                <w:szCs w:val="14"/>
                <w:color w:val="auto"/>
              </w:rPr>
            </w:pPr>
          </w:p>
        </w:tc>
        <w:tc>
          <w:tcPr>
            <w:tcW w:w="2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each class is to be registered</w:t>
            </w:r>
          </w:p>
        </w:tc>
      </w:tr>
      <w:tr>
        <w:trPr>
          <w:trHeight w:val="191"/>
        </w:trPr>
        <w:tc>
          <w:tcPr>
            <w:tcW w:w="1200" w:type="dxa"/>
            <w:vAlign w:val="bottom"/>
          </w:tcPr>
          <w:p>
            <w:pPr>
              <w:ind w:left="840"/>
              <w:spacing w:after="0" w:line="191" w:lineRule="exact"/>
              <w:rPr>
                <w:sz w:val="20"/>
                <w:szCs w:val="20"/>
                <w:color w:val="auto"/>
              </w:rPr>
            </w:pPr>
            <w:r>
              <w:rPr>
                <w:rFonts w:ascii="Arial" w:cs="Arial" w:eastAsia="Arial" w:hAnsi="Arial"/>
                <w:sz w:val="18"/>
                <w:szCs w:val="18"/>
                <w:b w:val="1"/>
                <w:bCs w:val="1"/>
                <w:color w:val="auto"/>
                <w:w w:val="70"/>
              </w:rPr>
              <w:t>Class</w:t>
            </w:r>
          </w:p>
        </w:tc>
        <w:tc>
          <w:tcPr>
            <w:tcW w:w="1120" w:type="dxa"/>
            <w:vAlign w:val="bottom"/>
            <w:tcBorders>
              <w:top w:val="single" w:sz="8" w:color="auto"/>
            </w:tcBorders>
          </w:tcPr>
          <w:p>
            <w:pPr>
              <w:ind w:left="80"/>
              <w:spacing w:after="0" w:line="191" w:lineRule="exact"/>
              <w:rPr>
                <w:sz w:val="20"/>
                <w:szCs w:val="20"/>
                <w:color w:val="auto"/>
              </w:rPr>
            </w:pPr>
            <w:r>
              <w:rPr>
                <w:rFonts w:ascii="Arial" w:cs="Arial" w:eastAsia="Arial" w:hAnsi="Arial"/>
                <w:sz w:val="18"/>
                <w:szCs w:val="18"/>
                <w:b w:val="1"/>
                <w:bCs w:val="1"/>
                <w:color w:val="auto"/>
              </w:rPr>
              <w:t>A Common</w:t>
            </w:r>
          </w:p>
        </w:tc>
        <w:tc>
          <w:tcPr>
            <w:tcW w:w="2500" w:type="dxa"/>
            <w:vAlign w:val="bottom"/>
          </w:tcPr>
          <w:p>
            <w:pPr>
              <w:spacing w:after="0" w:line="191" w:lineRule="exact"/>
              <w:rPr>
                <w:sz w:val="20"/>
                <w:szCs w:val="20"/>
                <w:color w:val="auto"/>
              </w:rPr>
            </w:pPr>
            <w:r>
              <w:rPr>
                <w:rFonts w:ascii="Arial" w:cs="Arial" w:eastAsia="Arial" w:hAnsi="Arial"/>
                <w:sz w:val="18"/>
                <w:szCs w:val="18"/>
                <w:b w:val="1"/>
                <w:bCs w:val="1"/>
                <w:color w:val="auto"/>
              </w:rPr>
              <w:t>Stock,</w:t>
            </w:r>
          </w:p>
        </w:tc>
        <w:tc>
          <w:tcPr>
            <w:tcW w:w="164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216"/>
        </w:trPr>
        <w:tc>
          <w:tcPr>
            <w:tcW w:w="4820" w:type="dxa"/>
            <w:vAlign w:val="bottom"/>
            <w:gridSpan w:val="3"/>
          </w:tcPr>
          <w:p>
            <w:pPr>
              <w:jc w:val="center"/>
              <w:ind w:right="1210"/>
              <w:spacing w:after="0"/>
              <w:rPr>
                <w:sz w:val="20"/>
                <w:szCs w:val="20"/>
                <w:color w:val="auto"/>
              </w:rPr>
            </w:pPr>
            <w:r>
              <w:rPr>
                <w:rFonts w:ascii="Arial" w:cs="Arial" w:eastAsia="Arial" w:hAnsi="Arial"/>
                <w:sz w:val="18"/>
                <w:szCs w:val="18"/>
                <w:b w:val="1"/>
                <w:bCs w:val="1"/>
                <w:color w:val="auto"/>
                <w:w w:val="90"/>
              </w:rPr>
              <w:t>par value $0.0001 per share</w:t>
            </w:r>
          </w:p>
        </w:tc>
        <w:tc>
          <w:tcPr>
            <w:tcW w:w="3680" w:type="dxa"/>
            <w:vAlign w:val="bottom"/>
            <w:gridSpan w:val="3"/>
          </w:tcPr>
          <w:p>
            <w:pPr>
              <w:jc w:val="center"/>
              <w:ind w:left="1216"/>
              <w:spacing w:after="0"/>
              <w:rPr>
                <w:sz w:val="20"/>
                <w:szCs w:val="20"/>
                <w:color w:val="auto"/>
              </w:rPr>
            </w:pPr>
            <w:r>
              <w:rPr>
                <w:rFonts w:ascii="Arial" w:cs="Arial" w:eastAsia="Arial" w:hAnsi="Arial"/>
                <w:sz w:val="18"/>
                <w:szCs w:val="18"/>
                <w:b w:val="1"/>
                <w:bCs w:val="1"/>
                <w:color w:val="auto"/>
                <w:w w:val="90"/>
              </w:rPr>
              <w:t>The New York Stock Exchange</w:t>
            </w:r>
          </w:p>
        </w:tc>
      </w:tr>
      <w:tr>
        <w:trPr>
          <w:trHeight w:val="234"/>
        </w:trPr>
        <w:tc>
          <w:tcPr>
            <w:tcW w:w="4820" w:type="dxa"/>
            <w:vAlign w:val="bottom"/>
            <w:gridSpan w:val="3"/>
          </w:tcPr>
          <w:p>
            <w:pPr>
              <w:jc w:val="center"/>
              <w:ind w:right="1210"/>
              <w:spacing w:after="0"/>
              <w:rPr>
                <w:sz w:val="20"/>
                <w:szCs w:val="20"/>
                <w:color w:val="auto"/>
              </w:rPr>
            </w:pPr>
            <w:r>
              <w:rPr>
                <w:rFonts w:ascii="Arial" w:cs="Arial" w:eastAsia="Arial" w:hAnsi="Arial"/>
                <w:sz w:val="18"/>
                <w:szCs w:val="18"/>
                <w:b w:val="1"/>
                <w:bCs w:val="1"/>
                <w:color w:val="auto"/>
                <w:w w:val="89"/>
              </w:rPr>
              <w:t>Warrants to purchase Class A Common Stock</w:t>
            </w:r>
          </w:p>
        </w:tc>
        <w:tc>
          <w:tcPr>
            <w:tcW w:w="3680" w:type="dxa"/>
            <w:vAlign w:val="bottom"/>
            <w:gridSpan w:val="3"/>
          </w:tcPr>
          <w:p>
            <w:pPr>
              <w:jc w:val="center"/>
              <w:ind w:left="1216"/>
              <w:spacing w:after="0"/>
              <w:rPr>
                <w:sz w:val="20"/>
                <w:szCs w:val="20"/>
                <w:color w:val="auto"/>
              </w:rPr>
            </w:pPr>
            <w:r>
              <w:rPr>
                <w:rFonts w:ascii="Arial" w:cs="Arial" w:eastAsia="Arial" w:hAnsi="Arial"/>
                <w:sz w:val="18"/>
                <w:szCs w:val="18"/>
                <w:b w:val="1"/>
                <w:bCs w:val="1"/>
                <w:color w:val="auto"/>
                <w:w w:val="90"/>
              </w:rPr>
              <w:t>The 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231140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check the following box.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Act registration statement file number to which this form relates: </w:t>
      </w:r>
      <w:r>
        <w:rPr>
          <w:rFonts w:ascii="Arial" w:cs="Arial" w:eastAsia="Arial" w:hAnsi="Arial"/>
          <w:sz w:val="18"/>
          <w:szCs w:val="18"/>
          <w:b w:val="1"/>
          <w:bCs w:val="1"/>
          <w:color w:val="auto"/>
        </w:rPr>
        <w:t>333-254935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to be registered pursuant to Section 12(g) of the Act: </w:t>
      </w: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222885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280"/>
          </w:cols>
          <w:pgMar w:left="440" w:top="368" w:right="117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This Registration Statement on Form 8-A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is being filed by Bakkt Holdings, Inc. (the “</w:t>
      </w:r>
      <w:r>
        <w:rPr>
          <w:rFonts w:ascii="Arial" w:cs="Arial" w:eastAsia="Arial" w:hAnsi="Arial"/>
          <w:sz w:val="18"/>
          <w:szCs w:val="18"/>
          <w:b w:val="1"/>
          <w:bCs w:val="1"/>
          <w:color w:val="auto"/>
        </w:rPr>
        <w:t>Registrant</w:t>
      </w:r>
      <w:r>
        <w:rPr>
          <w:rFonts w:ascii="Arial" w:cs="Arial" w:eastAsia="Arial" w:hAnsi="Arial"/>
          <w:sz w:val="18"/>
          <w:szCs w:val="18"/>
          <w:color w:val="auto"/>
        </w:rPr>
        <w:t>”), formerly known as VPC Impact Acquisition Holdings, with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in connection with the transfer of the listing of the Registrant’s Class A common stock, par value $0.0001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and warrants to purchase shares of the Common Stock (the “</w:t>
      </w:r>
      <w:r>
        <w:rPr>
          <w:rFonts w:ascii="Arial" w:cs="Arial" w:eastAsia="Arial" w:hAnsi="Arial"/>
          <w:sz w:val="18"/>
          <w:szCs w:val="18"/>
          <w:b w:val="1"/>
          <w:bCs w:val="1"/>
          <w:color w:val="auto"/>
        </w:rPr>
        <w:t>Warrants</w:t>
      </w:r>
      <w:r>
        <w:rPr>
          <w:rFonts w:ascii="Arial" w:cs="Arial" w:eastAsia="Arial" w:hAnsi="Arial"/>
          <w:sz w:val="18"/>
          <w:szCs w:val="18"/>
          <w:color w:val="auto"/>
        </w:rPr>
        <w:t>”) from The Nasdaq Capital Market to the New York Stock Exchange. The transfer of the listing is scheduled to occur at the opening of trading on October 18,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is hereby registering the Common Stock and the Warrants.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description of the Common Stock and a description of the Warrants registered hereunder are set forth under the heading “Description of VIH’s and the Company’s Securities” in the Registrant’s definitive proxy statement/prospectus dated as of September 17, 2021 and filed with the SEC on September 17, 2021 and included in the Registrant’s Registration Statement on Form S-4 (File No. 333-254935), initially filed with the SEC on March 31, 2021, as subsequently amended, and is incorporated herein by reference.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the “Instructions as to Exhibits” section of Form 8-A, no exhibits are required to be filed because no other securities of the Registrant are to be registered on the New York Stock Exchange and the securities to be registered hereby are not being registered pursuant to Section 12(g) of the Securities Exchange Act of 1934, as amended.</w:t>
      </w:r>
    </w:p>
    <w:p>
      <w:pPr>
        <w:sectPr>
          <w:pgSz w:w="11900" w:h="16838" w:orient="portrait"/>
          <w:cols w:equalWidth="0" w:num="1">
            <w:col w:w="11000"/>
          </w:cols>
          <w:pgMar w:left="440" w:top="270" w:right="45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9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October 15, 2021</w:t>
      </w:r>
      <w:r>
        <w:rPr>
          <w:sz w:val="20"/>
          <w:szCs w:val="20"/>
          <w:color w:val="auto"/>
        </w:rPr>
        <w:tab/>
      </w:r>
      <w:r>
        <w:rPr>
          <w:rFonts w:ascii="Arial" w:cs="Arial" w:eastAsia="Arial" w:hAnsi="Arial"/>
          <w:sz w:val="18"/>
          <w:szCs w:val="18"/>
          <w:b w:val="1"/>
          <w:bCs w:val="1"/>
          <w:color w:val="auto"/>
        </w:rPr>
        <w:t>BAKKT HOLDINGS,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Gavin Michael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2021-10-15T10:02:20Z</dcterms:created>
  <dcterms:modified xsi:type="dcterms:W3CDTF">2021-10-15T10:02:20Z</dcterms:modified>
</cp:coreProperties>
</file>