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D'Annunzio Marc</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60" w:type="dxa"/>
            <w:vAlign w:val="bottom"/>
            <w:tcBorders>
              <w:top w:val="single" w:sz="8" w:color="0000EE"/>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01/21/2022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65"/>
        <w:spacing w:after="0"/>
        <w:rPr>
          <w:sz w:val="20"/>
          <w:szCs w:val="20"/>
          <w:color w:val="auto"/>
        </w:rPr>
      </w:pPr>
      <w:r>
        <w:rPr>
          <w:rFonts w:ascii="Arial" w:cs="Arial" w:eastAsia="Arial" w:hAnsi="Arial"/>
          <w:sz w:val="17"/>
          <w:szCs w:val="17"/>
          <w:color w:val="0000FF"/>
        </w:rPr>
        <w:t>General Counsel &amp; Secretary</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01/21/2022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200,000</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200,000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The RSUs shall vest in three equal annual installments on the first three anniversaries of January 21, 2022, provided that the Reporting Person continues to be employed by the Issuer as of each vest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200,000 shares of Class A Common Stock subject to RSUs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Marc D'Annunzio</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01/25/2022</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2022-01-25T16:12:49Z</dcterms:created>
  <dcterms:modified xsi:type="dcterms:W3CDTF">2022-01-25T16:12:49Z</dcterms:modified>
</cp:coreProperties>
</file>