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2"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-601980</wp:posOffset>
            </wp:positionV>
            <wp:extent cx="57150" cy="615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638810</wp:posOffset>
            </wp:positionV>
            <wp:extent cx="6998970" cy="4357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357370"/>
                    </a:xfrm>
                    <a:prstGeom prst="rect">
                      <a:avLst/>
                    </a:prstGeom>
                    <a:noFill/>
                  </pic:spPr>
                </pic:pic>
              </a:graphicData>
            </a:graphic>
          </wp:anchor>
        </w:drawing>
      </w:r>
    </w:p>
    <w:p>
      <w:pPr>
        <w:spacing w:after="0" w:line="1077"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Naheta Akshay Sudhir</w:t>
        </w:r>
      </w:hyperlink>
    </w:p>
    <w:p>
      <w:pPr>
        <w:spacing w:after="0" w:line="28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10000 AVALON BOULEVARD,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04/21/2025</w:t>
      </w:r>
    </w:p>
    <w:p>
      <w:pPr>
        <w:spacing w:after="0" w:line="20" w:lineRule="exact"/>
        <w:rPr>
          <w:sz w:val="24"/>
          <w:szCs w:val="24"/>
          <w:color w:val="auto"/>
        </w:rPr>
      </w:pPr>
      <w:r>
        <w:rPr>
          <w:sz w:val="24"/>
          <w:szCs w:val="24"/>
          <w:color w:val="auto"/>
        </w:rPr>
        <w:br w:type="column"/>
      </w:r>
    </w:p>
    <w:p>
      <w:pPr>
        <w:ind w:left="-5" w:right="740" w:firstLine="5"/>
        <w:spacing w:after="0" w:line="282"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6" w:lineRule="exact"/>
        <w:rPr>
          <w:sz w:val="24"/>
          <w:szCs w:val="24"/>
          <w:color w:val="auto"/>
        </w:rPr>
      </w:pPr>
    </w:p>
    <w:p>
      <w:pPr>
        <w:ind w:left="1315"/>
        <w:spacing w:after="0"/>
        <w:rPr>
          <w:sz w:val="20"/>
          <w:szCs w:val="20"/>
          <w:color w:val="auto"/>
        </w:rPr>
      </w:pPr>
      <w:r>
        <w:rPr>
          <w:rFonts w:ascii="Times New Roman" w:cs="Times New Roman" w:eastAsia="Times New Roman" w:hAnsi="Times New Roman"/>
          <w:sz w:val="16"/>
          <w:szCs w:val="16"/>
          <w:color w:val="0000FF"/>
        </w:rPr>
        <w:t>Co-CEO</w:t>
      </w:r>
    </w:p>
    <w:p>
      <w:pPr>
        <w:spacing w:after="0" w:line="510" w:lineRule="exact"/>
        <w:rPr>
          <w:sz w:val="24"/>
          <w:szCs w:val="24"/>
          <w:color w:val="auto"/>
        </w:rPr>
      </w:pPr>
    </w:p>
    <w:p>
      <w:pPr>
        <w:sectPr>
          <w:pgSz w:w="11900" w:h="16838" w:orient="portrait"/>
          <w:cols w:equalWidth="0" w:num="3">
            <w:col w:w="3180" w:space="720"/>
            <w:col w:w="3105" w:space="720"/>
            <w:col w:w="3355"/>
          </w:cols>
          <w:pgMar w:left="460" w:top="213" w:right="359" w:bottom="1440" w:gutter="0" w:footer="0" w:header="0"/>
          <w:type w:val="continuous"/>
        </w:sectPr>
      </w:pP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14"/>
                <w:szCs w:val="14"/>
                <w:color w:val="auto"/>
              </w:rPr>
            </w:pPr>
          </w:p>
        </w:tc>
        <w:tc>
          <w:tcPr>
            <w:tcW w:w="3700" w:type="dxa"/>
            <w:vAlign w:val="bottom"/>
            <w:gridSpan w:val="9"/>
          </w:tcPr>
          <w:p>
            <w:pPr>
              <w:ind w:left="34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ALPHARETTA  GA</w:t>
            </w:r>
          </w:p>
        </w:tc>
        <w:tc>
          <w:tcPr>
            <w:tcW w:w="94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30009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40"/>
              <w:spacing w:after="0" w:line="13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60"/>
              <w:spacing w:after="0"/>
              <w:rPr>
                <w:sz w:val="20"/>
                <w:szCs w:val="20"/>
                <w:color w:val="auto"/>
              </w:rPr>
            </w:pPr>
            <w:r>
              <w:rPr>
                <w:rFonts w:ascii="Arial" w:cs="Arial" w:eastAsia="Arial" w:hAnsi="Arial"/>
                <w:sz w:val="12"/>
                <w:szCs w:val="12"/>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5"/>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20" w:type="dxa"/>
            <w:vAlign w:val="bottom"/>
            <w:gridSpan w:val="2"/>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40" w:type="dxa"/>
            <w:vAlign w:val="bottom"/>
            <w:gridSpan w:val="4"/>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04/21/2025</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94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6"/>
                <w:szCs w:val="16"/>
                <w:color w:val="0000FF"/>
              </w:rPr>
              <w:t>11,426</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11,426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4"/>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4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112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color w:val="008000"/>
              </w:rPr>
              <w:t>(3)(4)</w:t>
            </w:r>
          </w:p>
        </w:tc>
        <w:tc>
          <w:tcPr>
            <w:tcW w:w="64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1,607,717</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restart"/>
          </w:tcPr>
          <w:p>
            <w:pPr>
              <w:ind w:left="180"/>
              <w:spacing w:after="0" w:line="136" w:lineRule="exact"/>
              <w:rPr>
                <w:sz w:val="20"/>
                <w:szCs w:val="20"/>
                <w:color w:val="auto"/>
              </w:rPr>
            </w:pPr>
            <w:r>
              <w:rPr>
                <w:rFonts w:ascii="Times New Roman" w:cs="Times New Roman" w:eastAsia="Times New Roman" w:hAnsi="Times New Roman"/>
                <w:sz w:val="12"/>
                <w:szCs w:val="12"/>
                <w:color w:val="0000FF"/>
              </w:rPr>
              <w:t>04/21/2025</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700" w:type="dxa"/>
            <w:vAlign w:val="bottom"/>
            <w:vMerge w:val="restart"/>
          </w:tcPr>
          <w:p>
            <w:pPr>
              <w:ind w:left="80"/>
              <w:spacing w:after="0" w:line="136" w:lineRule="exact"/>
              <w:rPr>
                <w:sz w:val="20"/>
                <w:szCs w:val="20"/>
                <w:color w:val="auto"/>
              </w:rPr>
            </w:pPr>
            <w:r>
              <w:rPr>
                <w:rFonts w:ascii="Times New Roman" w:cs="Times New Roman" w:eastAsia="Times New Roman" w:hAnsi="Times New Roman"/>
                <w:sz w:val="12"/>
                <w:szCs w:val="12"/>
                <w:color w:val="0000FF"/>
              </w:rPr>
              <w:t>1,607,717</w:t>
            </w: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40" w:type="dxa"/>
            <w:vAlign w:val="bottom"/>
            <w:vMerge w:val="restart"/>
          </w:tcPr>
          <w:p>
            <w:pPr>
              <w:spacing w:after="0" w:line="136" w:lineRule="exact"/>
              <w:rPr>
                <w:sz w:val="20"/>
                <w:szCs w:val="20"/>
                <w:color w:val="auto"/>
              </w:rPr>
            </w:pPr>
            <w:r>
              <w:rPr>
                <w:rFonts w:ascii="Times New Roman" w:cs="Times New Roman" w:eastAsia="Times New Roman" w:hAnsi="Times New Roman"/>
                <w:sz w:val="12"/>
                <w:szCs w:val="12"/>
                <w:color w:val="0000FF"/>
              </w:rPr>
              <w:t>03/21/2028</w:t>
            </w:r>
          </w:p>
        </w:tc>
        <w:tc>
          <w:tcPr>
            <w:tcW w:w="64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line="136" w:lineRule="exact"/>
              <w:rPr>
                <w:sz w:val="20"/>
                <w:szCs w:val="20"/>
                <w:color w:val="auto"/>
              </w:rPr>
            </w:pPr>
            <w:r>
              <w:rPr>
                <w:rFonts w:ascii="Times New Roman" w:cs="Times New Roman" w:eastAsia="Times New Roman" w:hAnsi="Times New Roman"/>
                <w:sz w:val="12"/>
                <w:szCs w:val="12"/>
                <w:color w:val="0000FF"/>
              </w:rPr>
              <w:t>1,607,717</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8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-1616075</wp:posOffset>
            </wp:positionV>
            <wp:extent cx="28575" cy="162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211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200" w:hanging="4"/>
        <w:spacing w:after="0" w:line="275"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an inducement grant of restricted stock units ("RSUs"). Each RSU represents a contingent right to receive one share of the issuer's Class A Common Stock. The RSUs will vest on March 21, 2026, subject to the reporting person's continued employment with the issuer as of the vesting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an inducement grant of performance stock units ("PSUs"). Each PSU represents a contingent right to receive one share of the issuer's Class A Common Stock.</w:t>
      </w:r>
    </w:p>
    <w:p>
      <w:pPr>
        <w:spacing w:after="0" w:line="47" w:lineRule="exact"/>
        <w:rPr>
          <w:rFonts w:ascii="Times New Roman" w:cs="Times New Roman" w:eastAsia="Times New Roman" w:hAnsi="Times New Roman"/>
          <w:sz w:val="12"/>
          <w:szCs w:val="12"/>
          <w:color w:val="008000"/>
        </w:rPr>
      </w:pPr>
    </w:p>
    <w:p>
      <w:pPr>
        <w:ind w:left="40" w:right="400" w:hanging="4"/>
        <w:spacing w:after="0" w:line="256"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shall be eligible to vest over a three-year performance period following March 21, 2025 (the "Vesting Commencement Date") based on attainment of certain stock price metrics as provided below (the "Performance Period"). A total of 535,909 of the total PSUswill vest, subject to the reporting person's continued employment with the issuer through such vesting date, if the issuer's stock price (measured based on a rolling 90-day volume-weighted average price "VWAP") appreciates at any point during the Performance Period by100% above $9.33 per share (the "Reference Price"). [Continued to footnote 4]</w:t>
      </w:r>
    </w:p>
    <w:p>
      <w:pPr>
        <w:spacing w:after="0" w:line="16"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For each additional 25% of stock price appreciation (measured based on a rolling 90-day VWAP) above the Reference Price during the Performance Period, limited to a maximum of eight</w:t>
      </w:r>
    </w:p>
    <w:p>
      <w:pPr>
        <w:spacing w:after="0" w:line="12" w:lineRule="exact"/>
        <w:rPr>
          <w:rFonts w:ascii="Times New Roman" w:cs="Times New Roman" w:eastAsia="Times New Roman" w:hAnsi="Times New Roman"/>
          <w:sz w:val="12"/>
          <w:szCs w:val="12"/>
          <w:color w:val="008000"/>
        </w:rPr>
      </w:pPr>
    </w:p>
    <w:p>
      <w:pPr>
        <w:ind w:left="40" w:right="140"/>
        <w:spacing w:after="0" w:line="244"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 additional vesting tranches, an additional 133,976PSUs will vest, subject to the reporting person's continued employment with the issuer through such vesting date. No PSUs will vest in the event that the issuer's stock price (measured based on a rolling 90-day VWAP) does not appreciate above the Reference Price by atleast 100% during the Performance Period. Any PSUs that satisfy the above vesting conditions prior to the first anniversary of the Vesting Commencement Date will not vest unless and until the first anniversary of the Vesting Commencement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Marc D'Annunzio Attorney-</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04/22/2025</w:t>
            </w:r>
          </w:p>
        </w:tc>
        <w:tc>
          <w:tcPr>
            <w:tcW w:w="0" w:type="dxa"/>
            <w:vAlign w:val="bottom"/>
          </w:tcPr>
          <w:p>
            <w:pPr>
              <w:spacing w:after="0"/>
              <w:rPr>
                <w:sz w:val="1"/>
                <w:szCs w:val="1"/>
                <w:color w:val="auto"/>
              </w:rPr>
            </w:pPr>
          </w:p>
        </w:tc>
      </w:tr>
      <w:tr>
        <w:trPr>
          <w:trHeight w:val="84"/>
        </w:trPr>
        <w:tc>
          <w:tcPr>
            <w:tcW w:w="1720" w:type="dxa"/>
            <w:vAlign w:val="bottom"/>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9"/>
              </w:rPr>
              <w:t>in-Fact for Akshay Naheta</w:t>
            </w:r>
          </w:p>
        </w:tc>
        <w:tc>
          <w:tcPr>
            <w:tcW w:w="48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720" w:type="dxa"/>
            <w:vAlign w:val="bottom"/>
            <w:tcBorders>
              <w:bottom w:val="single" w:sz="8" w:color="auto"/>
            </w:tcBorders>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3"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2025-04-23T17:20:50Z</dcterms:created>
  <dcterms:modified xsi:type="dcterms:W3CDTF">2025-04-23T17:20:50Z</dcterms:modified>
</cp:coreProperties>
</file>