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1442720</wp:posOffset>
            </wp:positionH>
            <wp:positionV relativeFrom="page">
              <wp:posOffset>740410</wp:posOffset>
            </wp:positionV>
            <wp:extent cx="4663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766445</wp:posOffset>
            </wp:positionV>
            <wp:extent cx="4663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8255"/>
                    </a:xfrm>
                    <a:prstGeom prst="rect">
                      <a:avLst/>
                    </a:prstGeom>
                    <a:noFill/>
                  </pic:spPr>
                </pic:pic>
              </a:graphicData>
            </a:graphic>
          </wp:anchor>
        </w:drawing>
        <w:t>UNITED STATES</w:t>
      </w:r>
    </w:p>
    <w:p>
      <w:pPr>
        <w:jc w:val="center"/>
        <w:ind w:right="-1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73025</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96520</wp:posOffset>
            </wp:positionV>
            <wp:extent cx="4972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30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4"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1" w:lineRule="exact"/>
        <w:rPr>
          <w:sz w:val="24"/>
          <w:szCs w:val="24"/>
          <w:color w:val="auto"/>
        </w:rPr>
      </w:pPr>
    </w:p>
    <w:p>
      <w:pPr>
        <w:ind w:left="520" w:hanging="494"/>
        <w:spacing w:after="0"/>
        <w:tabs>
          <w:tab w:leader="none" w:pos="52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001-39544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251460</wp:posOffset>
            </wp:positionV>
            <wp:extent cx="497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73025</wp:posOffset>
            </wp:positionV>
            <wp:extent cx="4972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p>
      <w:pPr>
        <w:spacing w:after="0" w:line="200" w:lineRule="exact"/>
        <w:rPr>
          <w:sz w:val="24"/>
          <w:szCs w:val="24"/>
          <w:color w:val="auto"/>
        </w:rPr>
      </w:pPr>
    </w:p>
    <w:p>
      <w:pPr>
        <w:spacing w:after="0" w:line="285"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5"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98-1550750</w:t>
      </w:r>
    </w:p>
    <w:p>
      <w:pPr>
        <w:spacing w:after="0" w:line="2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5" w:lineRule="exact"/>
        <w:rPr>
          <w:sz w:val="24"/>
          <w:szCs w:val="24"/>
          <w:color w:val="auto"/>
        </w:rPr>
      </w:pPr>
    </w:p>
    <w:p>
      <w:pPr>
        <w:sectPr>
          <w:pgSz w:w="11900" w:h="16838" w:orient="portrait"/>
          <w:cols w:equalWidth="0" w:num="2">
            <w:col w:w="7220" w:space="720"/>
            <w:col w:w="3300"/>
          </w:cols>
          <w:pgMar w:left="320" w:top="1359" w:right="339" w:bottom="1440" w:gutter="0" w:footer="0" w:header="0"/>
          <w:type w:val="continuous"/>
        </w:sectPr>
      </w:pPr>
    </w:p>
    <w:tbl>
      <w:tblPr>
        <w:tblLayout w:type="fixed"/>
        <w:tblInd w:w="1440" w:type="dxa"/>
        <w:tblCellMar>
          <w:top w:w="0" w:type="dxa"/>
          <w:left w:w="0" w:type="dxa"/>
          <w:bottom w:w="0" w:type="dxa"/>
          <w:right w:w="0" w:type="dxa"/>
        </w:tblCellMar>
      </w:tblPr>
      <w:tr>
        <w:trPr>
          <w:trHeight w:val="207"/>
        </w:trPr>
        <w:tc>
          <w:tcPr>
            <w:tcW w:w="472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w w:val="99"/>
              </w:rPr>
              <w:t>10000 Avalon Boulevard, Suite 1000</w:t>
            </w:r>
          </w:p>
        </w:tc>
        <w:tc>
          <w:tcPr>
            <w:tcW w:w="2560" w:type="dxa"/>
            <w:vAlign w:val="bottom"/>
          </w:tcPr>
          <w:p>
            <w:pPr>
              <w:spacing w:after="0"/>
              <w:rPr>
                <w:sz w:val="18"/>
                <w:szCs w:val="18"/>
                <w:color w:val="auto"/>
              </w:rPr>
            </w:pPr>
          </w:p>
        </w:tc>
      </w:tr>
      <w:tr>
        <w:trPr>
          <w:trHeight w:val="259"/>
        </w:trPr>
        <w:tc>
          <w:tcPr>
            <w:tcW w:w="4720" w:type="dxa"/>
            <w:vAlign w:val="bottom"/>
          </w:tcPr>
          <w:p>
            <w:pPr>
              <w:jc w:val="center"/>
              <w:ind w:right="1899"/>
              <w:spacing w:after="0"/>
              <w:rPr>
                <w:sz w:val="20"/>
                <w:szCs w:val="20"/>
                <w:color w:val="auto"/>
              </w:rPr>
            </w:pPr>
            <w:r>
              <w:rPr>
                <w:rFonts w:ascii="Times New Roman" w:cs="Times New Roman" w:eastAsia="Times New Roman" w:hAnsi="Times New Roman"/>
                <w:sz w:val="18"/>
                <w:szCs w:val="18"/>
                <w:b w:val="1"/>
                <w:bCs w:val="1"/>
                <w:color w:val="auto"/>
                <w:w w:val="99"/>
              </w:rPr>
              <w:t>Alpharetta, Georgia</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30009</w:t>
            </w:r>
          </w:p>
        </w:tc>
      </w:tr>
      <w:tr>
        <w:trPr>
          <w:trHeight w:val="166"/>
        </w:trPr>
        <w:tc>
          <w:tcPr>
            <w:tcW w:w="4720" w:type="dxa"/>
            <w:vAlign w:val="bottom"/>
          </w:tcPr>
          <w:p>
            <w:pPr>
              <w:jc w:val="center"/>
              <w:ind w:right="187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560" w:type="dxa"/>
            <w:vAlign w:val="bottom"/>
          </w:tcPr>
          <w:p>
            <w:pPr>
              <w:jc w:val="center"/>
              <w:ind w:left="190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88265</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68"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800" w:type="dxa"/>
            <w:vAlign w:val="bottom"/>
            <w:gridSpan w:val="2"/>
          </w:tcPr>
          <w:p>
            <w:pPr>
              <w:ind w:left="17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Trading Symbol (s)</w:t>
            </w: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184"/>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Class A Common Stock, par value $0.0001 per share</w:t>
            </w:r>
          </w:p>
        </w:tc>
        <w:tc>
          <w:tcPr>
            <w:tcW w:w="16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BKKT</w:t>
            </w:r>
          </w:p>
        </w:tc>
        <w:tc>
          <w:tcPr>
            <w:tcW w:w="160" w:type="dxa"/>
            <w:vAlign w:val="bottom"/>
          </w:tcPr>
          <w:p>
            <w:pPr>
              <w:spacing w:after="0"/>
              <w:rPr>
                <w:sz w:val="15"/>
                <w:szCs w:val="15"/>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New York Stock Exchange</w:t>
            </w:r>
          </w:p>
        </w:tc>
      </w:tr>
      <w:tr>
        <w:trPr>
          <w:trHeight w:val="191"/>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Warrants to purchase Class A Common Stock</w:t>
            </w:r>
          </w:p>
        </w:tc>
        <w:tc>
          <w:tcPr>
            <w:tcW w:w="2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BKKT WS</w:t>
            </w: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New York Stock Exchange</w:t>
            </w:r>
          </w:p>
        </w:tc>
      </w:tr>
    </w:tbl>
    <w:p>
      <w:pPr>
        <w:spacing w:after="0" w:line="158" w:lineRule="exact"/>
        <w:rPr>
          <w:sz w:val="24"/>
          <w:szCs w:val="24"/>
          <w:color w:val="auto"/>
        </w:rPr>
      </w:pPr>
    </w:p>
    <w:p>
      <w:pPr>
        <w:jc w:val="both"/>
        <w:ind w:firstLine="518"/>
        <w:spacing w:after="0" w:line="217"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6"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2" w:lineRule="exact"/>
        <w:rPr>
          <w:sz w:val="24"/>
          <w:szCs w:val="24"/>
          <w:color w:val="auto"/>
        </w:rPr>
      </w:pPr>
    </w:p>
    <w:p>
      <w:pPr>
        <w:ind w:right="180" w:firstLine="518"/>
        <w:spacing w:after="0" w:line="20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ind w:right="300" w:firstLine="518"/>
        <w:spacing w:after="0" w:line="22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24"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3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298" w:lineRule="exact"/>
        <w:rPr>
          <w:sz w:val="24"/>
          <w:szCs w:val="24"/>
          <w:color w:val="auto"/>
        </w:rPr>
      </w:pPr>
    </w:p>
    <w:p>
      <w:pPr>
        <w:ind w:right="60" w:firstLine="518"/>
        <w:spacing w:after="0" w:line="19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5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220" w:firstLine="441"/>
        <w:spacing w:after="0" w:line="245" w:lineRule="auto"/>
        <w:rPr>
          <w:sz w:val="20"/>
          <w:szCs w:val="20"/>
          <w:color w:val="auto"/>
        </w:rPr>
      </w:pPr>
      <w:r>
        <w:rPr>
          <w:rFonts w:ascii="Times New Roman" w:cs="Times New Roman" w:eastAsia="Times New Roman" w:hAnsi="Times New Roman"/>
          <w:sz w:val="16"/>
          <w:szCs w:val="16"/>
          <w:color w:val="auto"/>
        </w:rPr>
        <w:t>As of August 5, 2022, there were 76,444,501 shares of the registrant’s Class A common stock, 187,338,161 shares of Class V common stock, and 7,140,829 public warrants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717550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53340</wp:posOffset>
            </wp:positionV>
            <wp:extent cx="466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78740</wp:posOffset>
            </wp:positionV>
            <wp:extent cx="4663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8890"/>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8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2"/>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22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E32E1"/>
              </w:rPr>
              <w:t>FINANCIAL INFORMATION</w:t>
            </w: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120" w:type="dxa"/>
            <w:vAlign w:val="bottom"/>
            <w:gridSpan w:val="2"/>
            <w:vMerge w:val="continue"/>
          </w:tcPr>
          <w:p>
            <w:pPr>
              <w:spacing w:after="0"/>
              <w:rPr>
                <w:sz w:val="14"/>
                <w:szCs w:val="14"/>
                <w:color w:val="auto"/>
              </w:rPr>
            </w:pPr>
          </w:p>
        </w:tc>
        <w:tc>
          <w:tcPr>
            <w:tcW w:w="9220" w:type="dxa"/>
            <w:vAlign w:val="bottom"/>
            <w:gridSpan w:val="20"/>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20"/>
          </w:tcPr>
          <w:p>
            <w:pPr>
              <w:spacing w:after="0"/>
              <w:rPr>
                <w:sz w:val="20"/>
                <w:szCs w:val="20"/>
                <w:color w:val="auto"/>
              </w:rPr>
            </w:pPr>
            <w:r>
              <w:rPr>
                <w:rFonts w:ascii="Times New Roman" w:cs="Times New Roman" w:eastAsia="Times New Roman" w:hAnsi="Times New Roman"/>
                <w:sz w:val="18"/>
                <w:szCs w:val="18"/>
                <w:color w:val="0E32E1"/>
              </w:rPr>
              <w:t>Consolidated Financial Statements (Unaudited)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tcBorders>
              <w:top w:val="single" w:sz="8" w:color="0E32E1"/>
              <w:bottom w:val="single" w:sz="8" w:color="0E32E1"/>
            </w:tcBorders>
            <w:gridSpan w:val="8"/>
          </w:tcPr>
          <w:p>
            <w:pPr>
              <w:spacing w:after="0"/>
              <w:rPr>
                <w:sz w:val="20"/>
                <w:szCs w:val="20"/>
                <w:color w:val="auto"/>
              </w:rPr>
            </w:pPr>
            <w:r>
              <w:rPr>
                <w:rFonts w:ascii="Times New Roman" w:cs="Times New Roman" w:eastAsia="Times New Roman" w:hAnsi="Times New Roman"/>
                <w:sz w:val="18"/>
                <w:szCs w:val="18"/>
                <w:color w:val="0E32E1"/>
                <w:w w:val="99"/>
              </w:rPr>
              <w:t>Consolidated Balance Sheets</w:t>
            </w:r>
          </w:p>
        </w:tc>
        <w:tc>
          <w:tcPr>
            <w:tcW w:w="1320" w:type="dxa"/>
            <w:vAlign w:val="bottom"/>
            <w:tcBorders>
              <w:top w:val="single" w:sz="8" w:color="0E32E1"/>
            </w:tcBorders>
            <w:gridSpan w:val="5"/>
          </w:tcPr>
          <w:p>
            <w:pPr>
              <w:spacing w:after="0"/>
              <w:rPr>
                <w:sz w:val="18"/>
                <w:szCs w:val="18"/>
                <w:color w:val="auto"/>
              </w:rPr>
            </w:pPr>
          </w:p>
        </w:tc>
        <w:tc>
          <w:tcPr>
            <w:tcW w:w="5800" w:type="dxa"/>
            <w:vAlign w:val="bottom"/>
            <w:gridSpan w:val="7"/>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20" w:type="dxa"/>
            <w:vAlign w:val="bottom"/>
            <w:gridSpan w:val="20"/>
          </w:tcPr>
          <w:p>
            <w:pPr>
              <w:spacing w:after="0"/>
              <w:rPr>
                <w:sz w:val="20"/>
                <w:szCs w:val="20"/>
                <w:color w:val="auto"/>
              </w:rPr>
            </w:pPr>
            <w:r>
              <w:rPr>
                <w:rFonts w:ascii="Times New Roman" w:cs="Times New Roman" w:eastAsia="Times New Roman" w:hAnsi="Times New Roman"/>
                <w:sz w:val="18"/>
                <w:szCs w:val="18"/>
                <w:color w:val="0E32E1"/>
              </w:rPr>
              <w:t>Consolidated Statements of Operations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3"/>
            <w:shd w:val="clear" w:color="auto" w:fill="0E32E1"/>
          </w:tcPr>
          <w:p>
            <w:pPr>
              <w:spacing w:after="0" w:line="20" w:lineRule="exact"/>
              <w:rPr>
                <w:sz w:val="1"/>
                <w:szCs w:val="1"/>
                <w:color w:val="auto"/>
              </w:rPr>
            </w:pPr>
          </w:p>
        </w:tc>
        <w:tc>
          <w:tcPr>
            <w:tcW w:w="48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20" w:type="dxa"/>
            <w:vAlign w:val="bottom"/>
            <w:gridSpan w:val="20"/>
          </w:tcPr>
          <w:p>
            <w:pPr>
              <w:spacing w:after="0"/>
              <w:rPr>
                <w:sz w:val="20"/>
                <w:szCs w:val="20"/>
                <w:color w:val="auto"/>
              </w:rPr>
            </w:pPr>
            <w:r>
              <w:rPr>
                <w:rFonts w:ascii="Times New Roman" w:cs="Times New Roman" w:eastAsia="Times New Roman" w:hAnsi="Times New Roman"/>
                <w:sz w:val="18"/>
                <w:szCs w:val="18"/>
                <w:color w:val="0E32E1"/>
              </w:rPr>
              <w:t>Consolidated Statements of Comprehensive Loss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3"/>
            <w:shd w:val="clear" w:color="auto" w:fill="0E32E1"/>
          </w:tcPr>
          <w:p>
            <w:pPr>
              <w:spacing w:after="0" w:line="20" w:lineRule="exact"/>
              <w:rPr>
                <w:sz w:val="1"/>
                <w:szCs w:val="1"/>
                <w:color w:val="auto"/>
              </w:rPr>
            </w:pPr>
          </w:p>
        </w:tc>
        <w:tc>
          <w:tcPr>
            <w:tcW w:w="540" w:type="dxa"/>
            <w:vAlign w:val="bottom"/>
            <w:gridSpan w:val="2"/>
            <w:shd w:val="clear" w:color="auto" w:fill="0E32E1"/>
          </w:tcPr>
          <w:p>
            <w:pPr>
              <w:spacing w:after="0" w:line="20" w:lineRule="exact"/>
              <w:rPr>
                <w:sz w:val="1"/>
                <w:szCs w:val="1"/>
                <w:color w:val="auto"/>
              </w:rPr>
            </w:pPr>
          </w:p>
        </w:tc>
        <w:tc>
          <w:tcPr>
            <w:tcW w:w="660" w:type="dxa"/>
            <w:vAlign w:val="bottom"/>
            <w:gridSpan w:val="2"/>
            <w:shd w:val="clear" w:color="auto" w:fill="0E32E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80" w:type="dxa"/>
            <w:vAlign w:val="bottom"/>
            <w:tcBorders>
              <w:bottom w:val="single" w:sz="8" w:color="0E32E1"/>
            </w:tcBorders>
            <w:gridSpan w:val="18"/>
          </w:tcPr>
          <w:p>
            <w:pPr>
              <w:spacing w:after="0"/>
              <w:rPr>
                <w:sz w:val="20"/>
                <w:szCs w:val="20"/>
                <w:color w:val="auto"/>
              </w:rPr>
            </w:pPr>
            <w:r>
              <w:rPr>
                <w:rFonts w:ascii="Times New Roman" w:cs="Times New Roman" w:eastAsia="Times New Roman" w:hAnsi="Times New Roman"/>
                <w:sz w:val="18"/>
                <w:szCs w:val="18"/>
                <w:color w:val="0E32E1"/>
                <w:w w:val="99"/>
              </w:rPr>
              <w:t>Consolidated Statements of Changes in Stockholders’ Equity and Mezzanine Equity</w:t>
            </w:r>
          </w:p>
        </w:tc>
        <w:tc>
          <w:tcPr>
            <w:tcW w:w="3140" w:type="dxa"/>
            <w:vAlign w:val="bottom"/>
            <w:gridSpan w:val="2"/>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80" w:type="dxa"/>
            <w:vAlign w:val="bottom"/>
            <w:tcBorders>
              <w:bottom w:val="single" w:sz="8" w:color="0E32E1"/>
            </w:tcBorders>
            <w:gridSpan w:val="12"/>
          </w:tcPr>
          <w:p>
            <w:pPr>
              <w:spacing w:after="0"/>
              <w:rPr>
                <w:sz w:val="20"/>
                <w:szCs w:val="20"/>
                <w:color w:val="auto"/>
              </w:rPr>
            </w:pPr>
            <w:r>
              <w:rPr>
                <w:rFonts w:ascii="Times New Roman" w:cs="Times New Roman" w:eastAsia="Times New Roman" w:hAnsi="Times New Roman"/>
                <w:sz w:val="18"/>
                <w:szCs w:val="18"/>
                <w:color w:val="0E32E1"/>
                <w:w w:val="99"/>
              </w:rPr>
              <w:t>Consolidated Statements of Cash Flows</w:t>
            </w:r>
          </w:p>
        </w:tc>
        <w:tc>
          <w:tcPr>
            <w:tcW w:w="6340" w:type="dxa"/>
            <w:vAlign w:val="bottom"/>
            <w:gridSpan w:val="8"/>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60" w:type="dxa"/>
            <w:vAlign w:val="bottom"/>
            <w:tcBorders>
              <w:bottom w:val="single" w:sz="8" w:color="0E32E1"/>
            </w:tcBorders>
            <w:gridSpan w:val="15"/>
          </w:tcPr>
          <w:p>
            <w:pPr>
              <w:spacing w:after="0"/>
              <w:rPr>
                <w:sz w:val="20"/>
                <w:szCs w:val="20"/>
                <w:color w:val="auto"/>
              </w:rPr>
            </w:pPr>
            <w:r>
              <w:rPr>
                <w:rFonts w:ascii="Times New Roman" w:cs="Times New Roman" w:eastAsia="Times New Roman" w:hAnsi="Times New Roman"/>
                <w:sz w:val="18"/>
                <w:szCs w:val="18"/>
                <w:color w:val="0E32E1"/>
                <w:w w:val="99"/>
              </w:rPr>
              <w:t>Notes to Unaudited Consolidated Financial Statements</w:t>
            </w:r>
          </w:p>
        </w:tc>
        <w:tc>
          <w:tcPr>
            <w:tcW w:w="5260" w:type="dxa"/>
            <w:vAlign w:val="bottom"/>
            <w:gridSpan w:val="5"/>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20"/>
          </w:tcPr>
          <w:p>
            <w:pPr>
              <w:spacing w:after="0"/>
              <w:rPr>
                <w:sz w:val="20"/>
                <w:szCs w:val="20"/>
                <w:color w:val="auto"/>
              </w:rPr>
            </w:pPr>
            <w:r>
              <w:rPr>
                <w:rFonts w:ascii="Times New Roman" w:cs="Times New Roman" w:eastAsia="Times New Roman" w:hAnsi="Times New Roman"/>
                <w:sz w:val="18"/>
                <w:szCs w:val="18"/>
                <w:color w:val="0E32E1"/>
              </w:rPr>
              <w:t>Management’s Discussion and Analysis of Financial Condition and Results of Operations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E32E1"/>
              <w:bottom w:val="single" w:sz="8" w:color="0E32E1"/>
            </w:tcBorders>
            <w:gridSpan w:val="17"/>
          </w:tcPr>
          <w:p>
            <w:pPr>
              <w:spacing w:after="0"/>
              <w:rPr>
                <w:sz w:val="20"/>
                <w:szCs w:val="20"/>
                <w:color w:val="auto"/>
              </w:rPr>
            </w:pPr>
            <w:r>
              <w:rPr>
                <w:rFonts w:ascii="Times New Roman" w:cs="Times New Roman" w:eastAsia="Times New Roman" w:hAnsi="Times New Roman"/>
                <w:sz w:val="18"/>
                <w:szCs w:val="18"/>
                <w:color w:val="0E32E1"/>
                <w:w w:val="99"/>
              </w:rPr>
              <w:t>Quantitative and Qualitative Disclosures About Market Risk</w:t>
            </w:r>
          </w:p>
        </w:tc>
        <w:tc>
          <w:tcPr>
            <w:tcW w:w="2080" w:type="dxa"/>
            <w:vAlign w:val="bottom"/>
            <w:tcBorders>
              <w:top w:val="single" w:sz="8" w:color="0E32E1"/>
            </w:tcBorders>
            <w:gridSpan w:val="2"/>
          </w:tcPr>
          <w:p>
            <w:pPr>
              <w:spacing w:after="0"/>
              <w:rPr>
                <w:sz w:val="18"/>
                <w:szCs w:val="18"/>
                <w:color w:val="auto"/>
              </w:rPr>
            </w:pPr>
          </w:p>
        </w:tc>
        <w:tc>
          <w:tcPr>
            <w:tcW w:w="27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0"/>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800" w:type="dxa"/>
            <w:vAlign w:val="bottom"/>
            <w:tcBorders>
              <w:bottom w:val="single" w:sz="8" w:color="0E32E1"/>
            </w:tcBorders>
            <w:gridSpan w:val="6"/>
          </w:tcPr>
          <w:p>
            <w:pPr>
              <w:spacing w:after="0"/>
              <w:rPr>
                <w:sz w:val="20"/>
                <w:szCs w:val="20"/>
                <w:color w:val="auto"/>
              </w:rPr>
            </w:pPr>
            <w:r>
              <w:rPr>
                <w:rFonts w:ascii="Times New Roman" w:cs="Times New Roman" w:eastAsia="Times New Roman" w:hAnsi="Times New Roman"/>
                <w:sz w:val="18"/>
                <w:szCs w:val="18"/>
                <w:color w:val="0E32E1"/>
              </w:rPr>
              <w:t>Controls and Procedures</w:t>
            </w:r>
          </w:p>
        </w:tc>
        <w:tc>
          <w:tcPr>
            <w:tcW w:w="7420" w:type="dxa"/>
            <w:vAlign w:val="bottom"/>
            <w:gridSpan w:val="14"/>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0"/>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E32E1"/>
            </w:tcBorders>
            <w:gridSpan w:val="7"/>
          </w:tcPr>
          <w:p>
            <w:pPr>
              <w:spacing w:after="0"/>
              <w:rPr>
                <w:sz w:val="20"/>
                <w:szCs w:val="20"/>
                <w:color w:val="auto"/>
              </w:rPr>
            </w:pPr>
            <w:r>
              <w:rPr>
                <w:rFonts w:ascii="Times New Roman" w:cs="Times New Roman" w:eastAsia="Times New Roman" w:hAnsi="Times New Roman"/>
                <w:sz w:val="18"/>
                <w:szCs w:val="18"/>
                <w:color w:val="0E32E1"/>
                <w:w w:val="98"/>
              </w:rPr>
              <w:t>OTHER INFORMATION</w:t>
            </w:r>
          </w:p>
        </w:tc>
        <w:tc>
          <w:tcPr>
            <w:tcW w:w="7320" w:type="dxa"/>
            <w:vAlign w:val="bottom"/>
            <w:gridSpan w:val="13"/>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20"/>
          </w:tcPr>
          <w:p>
            <w:pPr>
              <w:spacing w:after="0"/>
              <w:rPr>
                <w:sz w:val="20"/>
                <w:szCs w:val="20"/>
                <w:color w:val="auto"/>
              </w:rPr>
            </w:pPr>
            <w:r>
              <w:rPr>
                <w:rFonts w:ascii="Times New Roman" w:cs="Times New Roman" w:eastAsia="Times New Roman" w:hAnsi="Times New Roman"/>
                <w:sz w:val="18"/>
                <w:szCs w:val="18"/>
                <w:color w:val="0E32E1"/>
              </w:rPr>
              <w:t>Legal Proceedings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0"/>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E32E1"/>
              <w:bottom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E32E1"/>
                <w:w w:val="99"/>
              </w:rPr>
              <w:t>Risk Factors</w:t>
            </w:r>
          </w:p>
        </w:tc>
        <w:tc>
          <w:tcPr>
            <w:tcW w:w="420" w:type="dxa"/>
            <w:vAlign w:val="bottom"/>
            <w:tcBorders>
              <w:top w:val="single" w:sz="8" w:color="0E32E1"/>
            </w:tcBorders>
            <w:gridSpan w:val="2"/>
          </w:tcPr>
          <w:p>
            <w:pPr>
              <w:spacing w:after="0"/>
              <w:rPr>
                <w:sz w:val="18"/>
                <w:szCs w:val="18"/>
                <w:color w:val="auto"/>
              </w:rPr>
            </w:pPr>
          </w:p>
        </w:tc>
        <w:tc>
          <w:tcPr>
            <w:tcW w:w="7880" w:type="dxa"/>
            <w:vAlign w:val="bottom"/>
            <w:gridSpan w:val="16"/>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E32E1"/>
            </w:tcBorders>
            <w:gridSpan w:val="16"/>
          </w:tcPr>
          <w:p>
            <w:pPr>
              <w:spacing w:after="0"/>
              <w:rPr>
                <w:sz w:val="20"/>
                <w:szCs w:val="20"/>
                <w:color w:val="auto"/>
              </w:rPr>
            </w:pPr>
            <w:r>
              <w:rPr>
                <w:rFonts w:ascii="Times New Roman" w:cs="Times New Roman" w:eastAsia="Times New Roman" w:hAnsi="Times New Roman"/>
                <w:sz w:val="18"/>
                <w:szCs w:val="18"/>
                <w:color w:val="0E32E1"/>
                <w:w w:val="99"/>
              </w:rPr>
              <w:t>Unregistered Sales of Equity Securities and Use of Proceeds</w:t>
            </w:r>
          </w:p>
        </w:tc>
        <w:tc>
          <w:tcPr>
            <w:tcW w:w="4860" w:type="dxa"/>
            <w:vAlign w:val="bottom"/>
            <w:gridSpan w:val="4"/>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0"/>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E32E1"/>
            </w:tcBorders>
            <w:gridSpan w:val="10"/>
          </w:tcPr>
          <w:p>
            <w:pPr>
              <w:spacing w:after="0"/>
              <w:rPr>
                <w:sz w:val="20"/>
                <w:szCs w:val="20"/>
                <w:color w:val="auto"/>
              </w:rPr>
            </w:pPr>
            <w:r>
              <w:rPr>
                <w:rFonts w:ascii="Times New Roman" w:cs="Times New Roman" w:eastAsia="Times New Roman" w:hAnsi="Times New Roman"/>
                <w:sz w:val="18"/>
                <w:szCs w:val="18"/>
                <w:color w:val="0E32E1"/>
                <w:w w:val="99"/>
              </w:rPr>
              <w:t>Defaults Upon Senior Securities</w:t>
            </w:r>
          </w:p>
        </w:tc>
        <w:tc>
          <w:tcPr>
            <w:tcW w:w="6880" w:type="dxa"/>
            <w:vAlign w:val="bottom"/>
            <w:gridSpan w:val="10"/>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0"/>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E32E1"/>
            </w:tcBorders>
            <w:gridSpan w:val="5"/>
          </w:tcPr>
          <w:p>
            <w:pPr>
              <w:spacing w:after="0"/>
              <w:rPr>
                <w:sz w:val="20"/>
                <w:szCs w:val="20"/>
                <w:color w:val="auto"/>
              </w:rPr>
            </w:pPr>
            <w:r>
              <w:rPr>
                <w:rFonts w:ascii="Times New Roman" w:cs="Times New Roman" w:eastAsia="Times New Roman" w:hAnsi="Times New Roman"/>
                <w:sz w:val="18"/>
                <w:szCs w:val="18"/>
                <w:color w:val="0E32E1"/>
                <w:w w:val="99"/>
              </w:rPr>
              <w:t>Mine Safety Disclosures</w:t>
            </w:r>
          </w:p>
        </w:tc>
        <w:tc>
          <w:tcPr>
            <w:tcW w:w="7440" w:type="dxa"/>
            <w:vAlign w:val="bottom"/>
            <w:gridSpan w:val="15"/>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220" w:type="dxa"/>
            <w:vAlign w:val="bottom"/>
            <w:gridSpan w:val="20"/>
          </w:tcPr>
          <w:p>
            <w:pPr>
              <w:spacing w:after="0"/>
              <w:rPr>
                <w:sz w:val="20"/>
                <w:szCs w:val="20"/>
                <w:color w:val="auto"/>
              </w:rPr>
            </w:pPr>
            <w:r>
              <w:rPr>
                <w:rFonts w:ascii="Times New Roman" w:cs="Times New Roman" w:eastAsia="Times New Roman" w:hAnsi="Times New Roman"/>
                <w:sz w:val="18"/>
                <w:szCs w:val="18"/>
                <w:color w:val="0E32E1"/>
              </w:rPr>
              <w:t>Other Information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E32E1"/>
            </w:tcBorders>
            <w:gridSpan w:val="3"/>
          </w:tcPr>
          <w:p>
            <w:pPr>
              <w:spacing w:after="0"/>
              <w:rPr>
                <w:sz w:val="20"/>
                <w:szCs w:val="20"/>
                <w:color w:val="auto"/>
              </w:rPr>
            </w:pPr>
            <w:r>
              <w:rPr>
                <w:rFonts w:ascii="Times New Roman" w:cs="Times New Roman" w:eastAsia="Times New Roman" w:hAnsi="Times New Roman"/>
                <w:sz w:val="18"/>
                <w:szCs w:val="18"/>
                <w:color w:val="0E32E1"/>
              </w:rPr>
              <w:t>Exhibits</w:t>
            </w:r>
          </w:p>
        </w:tc>
        <w:tc>
          <w:tcPr>
            <w:tcW w:w="7900" w:type="dxa"/>
            <w:vAlign w:val="bottom"/>
            <w:gridSpan w:val="17"/>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0E32E1"/>
              </w:rPr>
              <w:t>Signatures</w:t>
            </w:r>
          </w:p>
        </w:tc>
        <w:tc>
          <w:tcPr>
            <w:tcW w:w="600" w:type="dxa"/>
            <w:vAlign w:val="bottom"/>
            <w:tcBorders>
              <w:top w:val="single" w:sz="8" w:color="0E32E1"/>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760" w:type="dxa"/>
            <w:vAlign w:val="bottom"/>
            <w:shd w:val="clear" w:color="auto" w:fill="0E32E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55880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80" w:top="914"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to “Bakkt,” “we,” “us,” “our,” or the “Company” in this Quarterly Report on Form 10-Q (this “Report”) refer to Bakkt Holdings, Inc. and its subsidiaries.</w:t>
      </w:r>
    </w:p>
    <w:p>
      <w:pPr>
        <w:spacing w:after="0" w:line="334"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18"/>
          <w:szCs w:val="18"/>
          <w:color w:val="auto"/>
        </w:rPr>
        <w:t>The Company makes forward-looking statements in this Report and in documents incorporated herein by reference. All statements, other than statements of present or historical fact included in or incorporated by reference in this Report, regarding the Company’s future financial performance, as well as the Company’s strategy, future operations, financial position, estimated revenues, and losses, projected costs, prospects, plans and objectives of management are forward-looking statements. When used in this Report, the words “anticipate,” “believe,” “continue,” “could,” “estimate,” “expect,”</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“intends,” “may,” “might,” “plan,” “possible,” “potential,” “predict,” “project,” “should,” “will,” “would,” the negative of such terms, and other similar expressions are intended to identify forward-looking statements, although not all forward-looking statements contain such identifying words. These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forward-looking statements are based on management’s current expectations, assumptions, hopes, beliefs, intentions and strategies regarding future events and are based on currently available information as to the outcome and timing of future events. The Company cautions you that these forward-looking statements are subject to all of the risks and uncertainties, most of which are difficult to predict and many of which are beyond the control of the Company and incident to its business. </w:t>
      </w:r>
      <w:r>
        <w:rPr>
          <w:rFonts w:ascii="Times New Roman" w:cs="Times New Roman" w:eastAsia="Times New Roman" w:hAnsi="Times New Roman"/>
          <w:sz w:val="18"/>
          <w:szCs w:val="18"/>
          <w:color w:val="231F20"/>
        </w:rPr>
        <w:t>Forward-looking statements in this Report may include, for example, statements about:</w:t>
      </w:r>
    </w:p>
    <w:p>
      <w:pPr>
        <w:spacing w:after="0" w:line="199" w:lineRule="exact"/>
        <w:rPr>
          <w:sz w:val="20"/>
          <w:szCs w:val="20"/>
          <w:color w:val="auto"/>
        </w:rPr>
      </w:pPr>
    </w:p>
    <w:p>
      <w:pPr>
        <w:ind w:left="800" w:hanging="252"/>
        <w:spacing w:after="0"/>
        <w:tabs>
          <w:tab w:leader="none" w:pos="8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future financial performance;</w:t>
      </w:r>
    </w:p>
    <w:p>
      <w:pPr>
        <w:spacing w:after="0" w:line="211" w:lineRule="exact"/>
        <w:rPr>
          <w:rFonts w:ascii="Times New Roman" w:cs="Times New Roman" w:eastAsia="Times New Roman" w:hAnsi="Times New Roman"/>
          <w:sz w:val="18"/>
          <w:szCs w:val="18"/>
          <w:color w:val="231F20"/>
        </w:rPr>
      </w:pPr>
    </w:p>
    <w:p>
      <w:pPr>
        <w:ind w:left="800" w:hanging="252"/>
        <w:spacing w:after="0"/>
        <w:tabs>
          <w:tab w:leader="none" w:pos="8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the market for our products and services; and</w:t>
      </w:r>
    </w:p>
    <w:p>
      <w:pPr>
        <w:spacing w:after="0" w:line="225" w:lineRule="exact"/>
        <w:rPr>
          <w:rFonts w:ascii="Times New Roman" w:cs="Times New Roman" w:eastAsia="Times New Roman" w:hAnsi="Times New Roman"/>
          <w:sz w:val="18"/>
          <w:szCs w:val="18"/>
          <w:color w:val="231F20"/>
        </w:rPr>
      </w:pPr>
    </w:p>
    <w:p>
      <w:pPr>
        <w:ind w:left="800" w:hanging="252"/>
        <w:spacing w:after="0"/>
        <w:tabs>
          <w:tab w:leader="none" w:pos="8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expansion plans and opportunities.</w:t>
      </w:r>
    </w:p>
    <w:p>
      <w:pPr>
        <w:spacing w:after="0" w:line="293" w:lineRule="exact"/>
        <w:rPr>
          <w:sz w:val="20"/>
          <w:szCs w:val="20"/>
          <w:color w:val="auto"/>
        </w:rPr>
      </w:pPr>
    </w:p>
    <w:p>
      <w:pPr>
        <w:jc w:val="both"/>
        <w:ind w:right="100" w:firstLine="648"/>
        <w:spacing w:after="0" w:line="262" w:lineRule="auto"/>
        <w:rPr>
          <w:sz w:val="20"/>
          <w:szCs w:val="20"/>
          <w:color w:val="auto"/>
        </w:rPr>
      </w:pPr>
      <w:r>
        <w:rPr>
          <w:rFonts w:ascii="Times New Roman" w:cs="Times New Roman" w:eastAsia="Times New Roman" w:hAnsi="Times New Roman"/>
          <w:sz w:val="18"/>
          <w:szCs w:val="18"/>
          <w:color w:val="231F20"/>
        </w:rPr>
        <w:t xml:space="preserve">These forward-looking statements are based on information available as of the date of this </w:t>
      </w:r>
      <w:r>
        <w:rPr>
          <w:rFonts w:ascii="Times New Roman" w:cs="Times New Roman" w:eastAsia="Times New Roman" w:hAnsi="Times New Roman"/>
          <w:sz w:val="18"/>
          <w:szCs w:val="18"/>
          <w:color w:val="000000"/>
        </w:rPr>
        <w:t>Report</w:t>
      </w:r>
      <w:r>
        <w:rPr>
          <w:rFonts w:ascii="Times New Roman" w:cs="Times New Roman" w:eastAsia="Times New Roman" w:hAnsi="Times New Roman"/>
          <w:sz w:val="18"/>
          <w:szCs w:val="18"/>
          <w:color w:val="231F20"/>
        </w:rPr>
        <w:t xml:space="preserve"> and management’s current expectations, forecasts and assumptions, and involve a number of judgments, known and/ 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207" w:lineRule="exact"/>
        <w:rPr>
          <w:sz w:val="20"/>
          <w:szCs w:val="20"/>
          <w:color w:val="auto"/>
        </w:rPr>
      </w:pPr>
    </w:p>
    <w:p>
      <w:pPr>
        <w:jc w:val="both"/>
        <w:ind w:right="40" w:firstLine="648"/>
        <w:spacing w:after="0" w:line="274" w:lineRule="auto"/>
        <w:rPr>
          <w:sz w:val="20"/>
          <w:szCs w:val="20"/>
          <w:color w:val="auto"/>
        </w:rPr>
      </w:pPr>
      <w:r>
        <w:rPr>
          <w:rFonts w:ascii="Times New Roman" w:cs="Times New Roman" w:eastAsia="Times New Roman" w:hAnsi="Times New Roman"/>
          <w:sz w:val="18"/>
          <w:szCs w:val="18"/>
          <w:color w:val="231F20"/>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 looking statements. Some factors that could cause actual results to differ include, but are not limited to:</w:t>
      </w:r>
    </w:p>
    <w:p>
      <w:pPr>
        <w:spacing w:after="0" w:line="182" w:lineRule="exact"/>
        <w:rPr>
          <w:sz w:val="20"/>
          <w:szCs w:val="20"/>
          <w:color w:val="auto"/>
        </w:rPr>
      </w:pPr>
    </w:p>
    <w:p>
      <w:pPr>
        <w:ind w:left="800" w:hanging="252"/>
        <w:spacing w:after="0"/>
        <w:tabs>
          <w:tab w:leader="none" w:pos="8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grow and manage growth profitably;</w:t>
      </w:r>
    </w:p>
    <w:p>
      <w:pPr>
        <w:spacing w:after="0" w:line="225" w:lineRule="exact"/>
        <w:rPr>
          <w:rFonts w:ascii="Times New Roman" w:cs="Times New Roman" w:eastAsia="Times New Roman" w:hAnsi="Times New Roman"/>
          <w:sz w:val="18"/>
          <w:szCs w:val="18"/>
          <w:color w:val="231F20"/>
        </w:rPr>
      </w:pPr>
    </w:p>
    <w:p>
      <w:pPr>
        <w:ind w:left="820" w:right="480" w:hanging="272"/>
        <w:spacing w:after="0" w:line="282" w:lineRule="auto"/>
        <w:tabs>
          <w:tab w:leader="none" w:pos="861"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the market in which we compete, including with respect to our competitive landscape, technology evolution or changes in applicable laws or regulations;</w:t>
      </w:r>
    </w:p>
    <w:p>
      <w:pPr>
        <w:spacing w:after="0" w:line="188" w:lineRule="exact"/>
        <w:rPr>
          <w:rFonts w:ascii="Times New Roman" w:cs="Times New Roman" w:eastAsia="Times New Roman" w:hAnsi="Times New Roman"/>
          <w:sz w:val="18"/>
          <w:szCs w:val="18"/>
          <w:color w:val="231F20"/>
        </w:rPr>
      </w:pPr>
    </w:p>
    <w:p>
      <w:pPr>
        <w:ind w:left="800" w:hanging="252"/>
        <w:spacing w:after="0"/>
        <w:tabs>
          <w:tab w:leader="none" w:pos="8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the digital asset markets that we target;</w:t>
      </w:r>
    </w:p>
    <w:p>
      <w:pPr>
        <w:spacing w:after="0" w:line="211" w:lineRule="exact"/>
        <w:rPr>
          <w:rFonts w:ascii="Times New Roman" w:cs="Times New Roman" w:eastAsia="Times New Roman" w:hAnsi="Times New Roman"/>
          <w:sz w:val="18"/>
          <w:szCs w:val="18"/>
          <w:color w:val="231F20"/>
        </w:rPr>
      </w:pPr>
    </w:p>
    <w:p>
      <w:pPr>
        <w:ind w:left="800" w:hanging="252"/>
        <w:spacing w:after="0"/>
        <w:tabs>
          <w:tab w:leader="none" w:pos="8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to our relationships within the payment ecosystem;</w:t>
      </w:r>
    </w:p>
    <w:p>
      <w:pPr>
        <w:spacing w:after="0" w:line="238" w:lineRule="exact"/>
        <w:rPr>
          <w:rFonts w:ascii="Times New Roman" w:cs="Times New Roman" w:eastAsia="Times New Roman" w:hAnsi="Times New Roman"/>
          <w:sz w:val="18"/>
          <w:szCs w:val="18"/>
          <w:color w:val="231F20"/>
        </w:rPr>
      </w:pPr>
    </w:p>
    <w:p>
      <w:pPr>
        <w:ind w:left="800" w:hanging="252"/>
        <w:spacing w:after="0"/>
        <w:tabs>
          <w:tab w:leader="none" w:pos="8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inability to launch new services and products or to profitably expand into new markets and services;</w:t>
      </w:r>
    </w:p>
    <w:p>
      <w:pPr>
        <w:spacing w:after="0" w:line="238" w:lineRule="exact"/>
        <w:rPr>
          <w:rFonts w:ascii="Times New Roman" w:cs="Times New Roman" w:eastAsia="Times New Roman" w:hAnsi="Times New Roman"/>
          <w:sz w:val="18"/>
          <w:szCs w:val="18"/>
          <w:color w:val="231F20"/>
        </w:rPr>
      </w:pPr>
    </w:p>
    <w:p>
      <w:pPr>
        <w:ind w:left="820" w:hanging="272"/>
        <w:spacing w:after="0" w:line="237" w:lineRule="auto"/>
        <w:tabs>
          <w:tab w:leader="none" w:pos="892"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inability to execute our growth strategies, including identifying and executing acquisitions and our initiatives to add new partners and customers;</w:t>
      </w:r>
    </w:p>
    <w:p>
      <w:pPr>
        <w:spacing w:after="0" w:line="198" w:lineRule="exact"/>
        <w:rPr>
          <w:rFonts w:ascii="Times New Roman" w:cs="Times New Roman" w:eastAsia="Times New Roman" w:hAnsi="Times New Roman"/>
          <w:sz w:val="18"/>
          <w:szCs w:val="18"/>
          <w:color w:val="231F20"/>
        </w:rPr>
      </w:pPr>
    </w:p>
    <w:p>
      <w:pPr>
        <w:ind w:left="800" w:hanging="252"/>
        <w:spacing w:after="0"/>
        <w:tabs>
          <w:tab w:leader="none" w:pos="8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inability to develop and maintain effective internal controls and procedures;</w:t>
      </w:r>
    </w:p>
    <w:p>
      <w:pPr>
        <w:spacing w:after="0" w:line="225" w:lineRule="exact"/>
        <w:rPr>
          <w:rFonts w:ascii="Times New Roman" w:cs="Times New Roman" w:eastAsia="Times New Roman" w:hAnsi="Times New Roman"/>
          <w:sz w:val="18"/>
          <w:szCs w:val="18"/>
          <w:color w:val="231F20"/>
        </w:rPr>
      </w:pPr>
    </w:p>
    <w:p>
      <w:pPr>
        <w:ind w:left="800" w:hanging="252"/>
        <w:spacing w:after="0"/>
        <w:tabs>
          <w:tab w:leader="none" w:pos="8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exposure to any liability, protracted and costly litigation or reputational damage relating to our data security;</w:t>
      </w:r>
    </w:p>
    <w:p>
      <w:pPr>
        <w:spacing w:after="0" w:line="252" w:lineRule="exact"/>
        <w:rPr>
          <w:rFonts w:ascii="Times New Roman" w:cs="Times New Roman" w:eastAsia="Times New Roman" w:hAnsi="Times New Roman"/>
          <w:sz w:val="18"/>
          <w:szCs w:val="18"/>
          <w:color w:val="231F20"/>
        </w:rPr>
      </w:pPr>
    </w:p>
    <w:p>
      <w:pPr>
        <w:ind w:left="800" w:hanging="252"/>
        <w:spacing w:after="0"/>
        <w:tabs>
          <w:tab w:leader="none" w:pos="8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possibility that we may be adversely affected by other economic, business, and/or competitive factors;</w:t>
      </w:r>
    </w:p>
    <w:p>
      <w:pPr>
        <w:spacing w:after="0" w:line="252" w:lineRule="exact"/>
        <w:rPr>
          <w:rFonts w:ascii="Times New Roman" w:cs="Times New Roman" w:eastAsia="Times New Roman" w:hAnsi="Times New Roman"/>
          <w:sz w:val="18"/>
          <w:szCs w:val="18"/>
          <w:color w:val="231F20"/>
        </w:rPr>
      </w:pPr>
    </w:p>
    <w:p>
      <w:pPr>
        <w:ind w:left="800" w:hanging="252"/>
        <w:spacing w:after="0"/>
        <w:tabs>
          <w:tab w:leader="none" w:pos="8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impact of the novel coronavirus pandemic;</w:t>
      </w:r>
    </w:p>
    <w:p>
      <w:pPr>
        <w:spacing w:after="0" w:line="211" w:lineRule="exact"/>
        <w:rPr>
          <w:rFonts w:ascii="Times New Roman" w:cs="Times New Roman" w:eastAsia="Times New Roman" w:hAnsi="Times New Roman"/>
          <w:sz w:val="18"/>
          <w:szCs w:val="18"/>
          <w:color w:val="231F20"/>
        </w:rPr>
      </w:pPr>
    </w:p>
    <w:p>
      <w:pPr>
        <w:ind w:left="800" w:hanging="252"/>
        <w:spacing w:after="0"/>
        <w:tabs>
          <w:tab w:leader="none" w:pos="8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inability to maintain the listing of our securities on the NYSE; and</w:t>
      </w:r>
    </w:p>
    <w:p>
      <w:pPr>
        <w:spacing w:after="0" w:line="223" w:lineRule="exact"/>
        <w:rPr>
          <w:rFonts w:ascii="Times New Roman" w:cs="Times New Roman" w:eastAsia="Times New Roman" w:hAnsi="Times New Roman"/>
          <w:sz w:val="18"/>
          <w:szCs w:val="18"/>
          <w:color w:val="231F20"/>
        </w:rPr>
      </w:pPr>
    </w:p>
    <w:p>
      <w:pPr>
        <w:ind w:left="800" w:hanging="252"/>
        <w:spacing w:after="0"/>
        <w:tabs>
          <w:tab w:leader="none" w:pos="8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 risks and uncertainties indicated in this Report, including those set forth under “</w:t>
      </w:r>
      <w:r>
        <w:rPr>
          <w:rFonts w:ascii="Times New Roman" w:cs="Times New Roman" w:eastAsia="Times New Roman" w:hAnsi="Times New Roman"/>
          <w:sz w:val="18"/>
          <w:szCs w:val="18"/>
          <w:i w:val="1"/>
          <w:iCs w:val="1"/>
          <w:color w:val="231F20"/>
        </w:rPr>
        <w:t>Risk Factors</w:t>
      </w:r>
      <w:r>
        <w:rPr>
          <w:rFonts w:ascii="Times New Roman" w:cs="Times New Roman" w:eastAsia="Times New Roman" w:hAnsi="Times New Roman"/>
          <w:sz w:val="18"/>
          <w:szCs w:val="18"/>
          <w:color w:val="231F20"/>
        </w:rPr>
        <w:t>.”</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data)</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As of</w:t>
            </w:r>
          </w:p>
        </w:tc>
        <w:tc>
          <w:tcPr>
            <w:tcW w:w="320" w:type="dxa"/>
            <w:vAlign w:val="bottom"/>
          </w:tcPr>
          <w:p>
            <w:pPr>
              <w:spacing w:after="0"/>
              <w:rPr>
                <w:sz w:val="11"/>
                <w:szCs w:val="11"/>
                <w:color w:val="auto"/>
              </w:rPr>
            </w:pPr>
          </w:p>
        </w:tc>
        <w:tc>
          <w:tcPr>
            <w:tcW w:w="1280" w:type="dxa"/>
            <w:vAlign w:val="bottom"/>
          </w:tcPr>
          <w:p>
            <w:pPr>
              <w:jc w:val="center"/>
              <w:ind w:right="248"/>
              <w:spacing w:after="0" w:line="131"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7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2022</w:t>
            </w:r>
          </w:p>
        </w:tc>
        <w:tc>
          <w:tcPr>
            <w:tcW w:w="320" w:type="dxa"/>
            <w:vAlign w:val="bottom"/>
          </w:tcPr>
          <w:p>
            <w:pPr>
              <w:spacing w:after="0"/>
              <w:rPr>
                <w:sz w:val="12"/>
                <w:szCs w:val="12"/>
                <w:color w:val="auto"/>
              </w:rPr>
            </w:pPr>
          </w:p>
        </w:tc>
        <w:tc>
          <w:tcPr>
            <w:tcW w:w="1280" w:type="dxa"/>
            <w:vAlign w:val="bottom"/>
          </w:tcPr>
          <w:p>
            <w:pPr>
              <w:jc w:val="center"/>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20" w:type="dxa"/>
            <w:vAlign w:val="bottom"/>
          </w:tcPr>
          <w:p>
            <w:pPr>
              <w:spacing w:after="0"/>
              <w:rPr>
                <w:sz w:val="16"/>
                <w:szCs w:val="16"/>
                <w:color w:val="auto"/>
              </w:rPr>
            </w:pPr>
          </w:p>
        </w:tc>
        <w:tc>
          <w:tcPr>
            <w:tcW w:w="128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64"/>
        </w:trPr>
        <w:tc>
          <w:tcPr>
            <w:tcW w:w="7960" w:type="dxa"/>
            <w:vAlign w:val="bottom"/>
            <w:vMerge w:val="continue"/>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126,751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391,364</w:t>
            </w:r>
          </w:p>
        </w:tc>
        <w:tc>
          <w:tcPr>
            <w:tcW w:w="0" w:type="dxa"/>
            <w:vAlign w:val="bottom"/>
          </w:tcPr>
          <w:p>
            <w:pPr>
              <w:spacing w:after="0"/>
              <w:rPr>
                <w:sz w:val="1"/>
                <w:szCs w:val="1"/>
                <w:color w:val="auto"/>
              </w:rPr>
            </w:pPr>
          </w:p>
        </w:tc>
      </w:tr>
      <w:tr>
        <w:trPr>
          <w:trHeight w:val="195"/>
        </w:trPr>
        <w:tc>
          <w:tcPr>
            <w:tcW w:w="7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16,500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16,500</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Customer funds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0" w:type="dxa"/>
            <w:vAlign w:val="bottom"/>
          </w:tcPr>
          <w:p>
            <w:pPr>
              <w:spacing w:after="0"/>
              <w:rPr>
                <w:sz w:val="1"/>
                <w:szCs w:val="1"/>
                <w:color w:val="auto"/>
              </w:rPr>
            </w:pPr>
          </w:p>
        </w:tc>
      </w:tr>
      <w:tr>
        <w:trPr>
          <w:trHeight w:val="195"/>
        </w:trPr>
        <w:tc>
          <w:tcPr>
            <w:tcW w:w="7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24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188,746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receivable, net</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21,844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18,142</w:t>
            </w:r>
          </w:p>
        </w:tc>
        <w:tc>
          <w:tcPr>
            <w:tcW w:w="0" w:type="dxa"/>
            <w:vAlign w:val="bottom"/>
          </w:tcPr>
          <w:p>
            <w:pPr>
              <w:spacing w:after="0"/>
              <w:rPr>
                <w:sz w:val="1"/>
                <w:szCs w:val="1"/>
                <w:color w:val="auto"/>
              </w:rPr>
            </w:pPr>
          </w:p>
        </w:tc>
      </w:tr>
      <w:tr>
        <w:trPr>
          <w:trHeight w:val="195"/>
        </w:trPr>
        <w:tc>
          <w:tcPr>
            <w:tcW w:w="7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Prepaid insurance</w:t>
            </w:r>
          </w:p>
        </w:tc>
        <w:tc>
          <w:tcPr>
            <w:tcW w:w="24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23,573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32,206</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Safeguarding asset for cryptoassets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147,102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 current assets</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7,668</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4,784</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532,790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463,547</w:t>
            </w:r>
          </w:p>
        </w:tc>
        <w:tc>
          <w:tcPr>
            <w:tcW w:w="0" w:type="dxa"/>
            <w:vAlign w:val="bottom"/>
          </w:tcPr>
          <w:p>
            <w:pPr>
              <w:spacing w:after="0"/>
              <w:rPr>
                <w:sz w:val="1"/>
                <w:szCs w:val="1"/>
                <w:color w:val="auto"/>
              </w:rPr>
            </w:pPr>
          </w:p>
        </w:tc>
      </w:tr>
      <w:tr>
        <w:trPr>
          <w:trHeight w:val="195"/>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equipment and software, net</w:t>
            </w:r>
          </w:p>
        </w:tc>
        <w:tc>
          <w:tcPr>
            <w:tcW w:w="24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21,286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6,121</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1,527,118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1,527,118</w:t>
            </w:r>
          </w:p>
        </w:tc>
        <w:tc>
          <w:tcPr>
            <w:tcW w:w="0" w:type="dxa"/>
            <w:vAlign w:val="bottom"/>
          </w:tcPr>
          <w:p>
            <w:pPr>
              <w:spacing w:after="0"/>
              <w:rPr>
                <w:sz w:val="1"/>
                <w:szCs w:val="1"/>
                <w:color w:val="auto"/>
              </w:rPr>
            </w:pPr>
          </w:p>
        </w:tc>
      </w:tr>
      <w:tr>
        <w:trPr>
          <w:trHeight w:val="195"/>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4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377,653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388,469</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 with clearinghouse, noncurrent</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15,151</w:t>
            </w:r>
          </w:p>
        </w:tc>
        <w:tc>
          <w:tcPr>
            <w:tcW w:w="0" w:type="dxa"/>
            <w:vAlign w:val="bottom"/>
          </w:tcPr>
          <w:p>
            <w:pPr>
              <w:spacing w:after="0"/>
              <w:rPr>
                <w:sz w:val="1"/>
                <w:szCs w:val="1"/>
                <w:color w:val="auto"/>
              </w:rPr>
            </w:pPr>
          </w:p>
        </w:tc>
      </w:tr>
      <w:tr>
        <w:trPr>
          <w:trHeight w:val="196"/>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24,145</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13,879</w:t>
            </w:r>
          </w:p>
        </w:tc>
        <w:tc>
          <w:tcPr>
            <w:tcW w:w="0" w:type="dxa"/>
            <w:vAlign w:val="bottom"/>
          </w:tcPr>
          <w:p>
            <w:pPr>
              <w:spacing w:after="0"/>
              <w:rPr>
                <w:sz w:val="1"/>
                <w:szCs w:val="1"/>
                <w:color w:val="auto"/>
              </w:rPr>
            </w:pPr>
          </w:p>
        </w:tc>
      </w:tr>
      <w:tr>
        <w:trPr>
          <w:trHeight w:val="227"/>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2,498,142</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2,414,285</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65,573</w:t>
            </w: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64,090</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Customer funds payable</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0" w:type="dxa"/>
            <w:vAlign w:val="bottom"/>
          </w:tcPr>
          <w:p>
            <w:pPr>
              <w:spacing w:after="0"/>
              <w:rPr>
                <w:sz w:val="1"/>
                <w:szCs w:val="1"/>
                <w:color w:val="auto"/>
              </w:rPr>
            </w:pPr>
          </w:p>
        </w:tc>
      </w:tr>
      <w:tr>
        <w:trPr>
          <w:trHeight w:val="195"/>
        </w:trPr>
        <w:tc>
          <w:tcPr>
            <w:tcW w:w="7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Deferred revenue, current</w:t>
            </w:r>
          </w:p>
        </w:tc>
        <w:tc>
          <w:tcPr>
            <w:tcW w:w="24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4,065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4,629</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Due to related party</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0" w:type="dxa"/>
            <w:vAlign w:val="bottom"/>
          </w:tcPr>
          <w:p>
            <w:pPr>
              <w:spacing w:after="0"/>
              <w:rPr>
                <w:sz w:val="1"/>
                <w:szCs w:val="1"/>
                <w:color w:val="auto"/>
              </w:rPr>
            </w:pPr>
          </w:p>
        </w:tc>
      </w:tr>
      <w:tr>
        <w:trPr>
          <w:trHeight w:val="195"/>
        </w:trPr>
        <w:tc>
          <w:tcPr>
            <w:tcW w:w="7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Safeguarding obligations for cryptoassets</w:t>
            </w:r>
          </w:p>
        </w:tc>
        <w:tc>
          <w:tcPr>
            <w:tcW w:w="24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147,102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2,117</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3,717</w:t>
            </w:r>
          </w:p>
        </w:tc>
        <w:tc>
          <w:tcPr>
            <w:tcW w:w="0" w:type="dxa"/>
            <w:vAlign w:val="bottom"/>
          </w:tcPr>
          <w:p>
            <w:pPr>
              <w:spacing w:after="0"/>
              <w:rPr>
                <w:sz w:val="1"/>
                <w:szCs w:val="1"/>
                <w:color w:val="auto"/>
              </w:rPr>
            </w:pPr>
          </w:p>
        </w:tc>
      </w:tr>
      <w:tr>
        <w:trPr>
          <w:trHeight w:val="189"/>
        </w:trPr>
        <w:tc>
          <w:tcPr>
            <w:tcW w:w="7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220,097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73,604</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 noncurrent</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4,819</w:t>
            </w:r>
          </w:p>
        </w:tc>
        <w:tc>
          <w:tcPr>
            <w:tcW w:w="0" w:type="dxa"/>
            <w:vAlign w:val="bottom"/>
          </w:tcPr>
          <w:p>
            <w:pPr>
              <w:spacing w:after="0"/>
              <w:rPr>
                <w:sz w:val="1"/>
                <w:szCs w:val="1"/>
                <w:color w:val="auto"/>
              </w:rPr>
            </w:pPr>
          </w:p>
        </w:tc>
      </w:tr>
      <w:tr>
        <w:trPr>
          <w:trHeight w:val="195"/>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 liability</w:t>
            </w:r>
          </w:p>
        </w:tc>
        <w:tc>
          <w:tcPr>
            <w:tcW w:w="24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4,713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17,424</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22,408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11,593</w:t>
            </w:r>
          </w:p>
        </w:tc>
        <w:tc>
          <w:tcPr>
            <w:tcW w:w="0" w:type="dxa"/>
            <w:vAlign w:val="bottom"/>
          </w:tcPr>
          <w:p>
            <w:pPr>
              <w:spacing w:after="0"/>
              <w:rPr>
                <w:sz w:val="1"/>
                <w:szCs w:val="1"/>
                <w:color w:val="auto"/>
              </w:rPr>
            </w:pPr>
          </w:p>
        </w:tc>
      </w:tr>
      <w:tr>
        <w:trPr>
          <w:trHeight w:val="196"/>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22,390</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12,674</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273,475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120,114</w:t>
            </w:r>
          </w:p>
        </w:tc>
        <w:tc>
          <w:tcPr>
            <w:tcW w:w="0" w:type="dxa"/>
            <w:vAlign w:val="bottom"/>
          </w:tcPr>
          <w:p>
            <w:pPr>
              <w:spacing w:after="0"/>
              <w:rPr>
                <w:sz w:val="1"/>
                <w:szCs w:val="1"/>
                <w:color w:val="auto"/>
              </w:rPr>
            </w:pPr>
          </w:p>
        </w:tc>
      </w:tr>
      <w:tr>
        <w:trPr>
          <w:trHeight w:val="195"/>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960" w:type="dxa"/>
            <w:vAlign w:val="bottom"/>
            <w:shd w:val="clear" w:color="auto" w:fill="CCEEFF"/>
          </w:tcPr>
          <w:p>
            <w:pPr>
              <w:ind w:left="240"/>
              <w:spacing w:after="0" w:line="147" w:lineRule="exact"/>
              <w:rPr>
                <w:sz w:val="20"/>
                <w:szCs w:val="20"/>
                <w:color w:val="auto"/>
              </w:rPr>
            </w:pPr>
            <w:r>
              <w:rPr>
                <w:rFonts w:ascii="Times New Roman" w:cs="Times New Roman" w:eastAsia="Times New Roman" w:hAnsi="Times New Roman"/>
                <w:sz w:val="14"/>
                <w:szCs w:val="14"/>
                <w:color w:val="auto"/>
              </w:rPr>
              <w:t>Class A common stock ($0.0001 par value, 750,000,000 shares authorized, 75,343,724 shares issued and outstanding as of June 30,</w:t>
            </w:r>
          </w:p>
        </w:tc>
        <w:tc>
          <w:tcPr>
            <w:tcW w:w="240" w:type="dxa"/>
            <w:vAlign w:val="bottom"/>
            <w:shd w:val="clear" w:color="auto" w:fill="CCEEFF"/>
          </w:tcPr>
          <w:p>
            <w:pPr>
              <w:spacing w:after="0"/>
              <w:rPr>
                <w:sz w:val="12"/>
                <w:szCs w:val="12"/>
                <w:color w:val="auto"/>
              </w:rPr>
            </w:pPr>
          </w:p>
        </w:tc>
        <w:tc>
          <w:tcPr>
            <w:tcW w:w="13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8"/>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2022 and 57,164,388 shares issued and outstanding as of December 31, 2021)</w:t>
            </w:r>
          </w:p>
        </w:tc>
        <w:tc>
          <w:tcPr>
            <w:tcW w:w="240" w:type="dxa"/>
            <w:vAlign w:val="bottom"/>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796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Class V common stock ($0.0001 par value, 250,000,000 shares authorized, 188,438,938 shares issued and outstanding as of June 30,</w:t>
            </w:r>
          </w:p>
        </w:tc>
        <w:tc>
          <w:tcPr>
            <w:tcW w:w="240" w:type="dxa"/>
            <w:vAlign w:val="bottom"/>
          </w:tcPr>
          <w:p>
            <w:pPr>
              <w:spacing w:after="0"/>
              <w:rPr>
                <w:sz w:val="12"/>
                <w:szCs w:val="12"/>
                <w:color w:val="auto"/>
              </w:rPr>
            </w:pPr>
          </w:p>
        </w:tc>
        <w:tc>
          <w:tcPr>
            <w:tcW w:w="13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3"/>
        </w:trPr>
        <w:tc>
          <w:tcPr>
            <w:tcW w:w="7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2022 and 206,271,792 shares issued and outstanding as of December 31, 2021)</w:t>
            </w:r>
          </w:p>
        </w:tc>
        <w:tc>
          <w:tcPr>
            <w:tcW w:w="2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718,560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566,766</w:t>
            </w:r>
          </w:p>
        </w:tc>
        <w:tc>
          <w:tcPr>
            <w:tcW w:w="0" w:type="dxa"/>
            <w:vAlign w:val="bottom"/>
          </w:tcPr>
          <w:p>
            <w:pPr>
              <w:spacing w:after="0"/>
              <w:rPr>
                <w:sz w:val="1"/>
                <w:szCs w:val="1"/>
                <w:color w:val="auto"/>
              </w:rPr>
            </w:pPr>
          </w:p>
        </w:tc>
      </w:tr>
      <w:tr>
        <w:trPr>
          <w:trHeight w:val="195"/>
        </w:trPr>
        <w:tc>
          <w:tcPr>
            <w:tcW w:w="7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Accumulated deficit</w:t>
            </w: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(109,367)</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(98,342)</w:t>
            </w:r>
          </w:p>
        </w:tc>
        <w:tc>
          <w:tcPr>
            <w:tcW w:w="0" w:type="dxa"/>
            <w:vAlign w:val="bottom"/>
          </w:tcPr>
          <w:p>
            <w:pPr>
              <w:spacing w:after="0"/>
              <w:rPr>
                <w:sz w:val="1"/>
                <w:szCs w:val="1"/>
                <w:color w:val="auto"/>
              </w:rPr>
            </w:pPr>
          </w:p>
        </w:tc>
      </w:tr>
      <w:tr>
        <w:trPr>
          <w:trHeight w:val="189"/>
        </w:trPr>
        <w:tc>
          <w:tcPr>
            <w:tcW w:w="7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4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609,097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468,396</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Noncontrolling interest</w:t>
            </w: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1,615,570</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1,825,775</w:t>
            </w:r>
          </w:p>
        </w:tc>
        <w:tc>
          <w:tcPr>
            <w:tcW w:w="0" w:type="dxa"/>
            <w:vAlign w:val="bottom"/>
          </w:tcPr>
          <w:p>
            <w:pPr>
              <w:spacing w:after="0"/>
              <w:rPr>
                <w:sz w:val="1"/>
                <w:szCs w:val="1"/>
                <w:color w:val="auto"/>
              </w:rPr>
            </w:pPr>
          </w:p>
        </w:tc>
      </w:tr>
      <w:tr>
        <w:trPr>
          <w:trHeight w:val="190"/>
        </w:trPr>
        <w:tc>
          <w:tcPr>
            <w:tcW w:w="79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equity</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2,224,667</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2,294,171</w:t>
            </w:r>
          </w:p>
        </w:tc>
        <w:tc>
          <w:tcPr>
            <w:tcW w:w="0" w:type="dxa"/>
            <w:vAlign w:val="bottom"/>
          </w:tcPr>
          <w:p>
            <w:pPr>
              <w:spacing w:after="0"/>
              <w:rPr>
                <w:sz w:val="1"/>
                <w:szCs w:val="1"/>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2,498,142</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2,414,285</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80" w:type="dxa"/>
            <w:vAlign w:val="bottom"/>
          </w:tcPr>
          <w:p>
            <w:pPr>
              <w:spacing w:after="0"/>
              <w:rPr>
                <w:sz w:val="18"/>
                <w:szCs w:val="18"/>
                <w:color w:val="auto"/>
              </w:rPr>
            </w:pPr>
          </w:p>
        </w:tc>
        <w:tc>
          <w:tcPr>
            <w:tcW w:w="12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0" w:type="dxa"/>
            <w:vAlign w:val="bottom"/>
          </w:tcPr>
          <w:p>
            <w:pPr>
              <w:spacing w:after="0"/>
              <w:rPr>
                <w:sz w:val="1"/>
                <w:szCs w:val="1"/>
                <w:color w:val="auto"/>
              </w:rPr>
            </w:pPr>
          </w:p>
        </w:tc>
      </w:tr>
      <w:tr>
        <w:trPr>
          <w:trHeight w:val="155"/>
        </w:trPr>
        <w:tc>
          <w:tcPr>
            <w:tcW w:w="47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119"/>
              <w:spacing w:after="0" w:line="155" w:lineRule="exact"/>
              <w:rPr>
                <w:sz w:val="20"/>
                <w:szCs w:val="20"/>
                <w:color w:val="auto"/>
              </w:rPr>
            </w:pPr>
            <w:r>
              <w:rPr>
                <w:rFonts w:ascii="Times New Roman" w:cs="Times New Roman" w:eastAsia="Times New Roman" w:hAnsi="Times New Roman"/>
                <w:sz w:val="16"/>
                <w:szCs w:val="16"/>
                <w:b w:val="1"/>
                <w:bCs w:val="1"/>
                <w:color w:val="auto"/>
              </w:rPr>
              <w:t>Three Months</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121"/>
              <w:spacing w:after="0" w:line="155" w:lineRule="exact"/>
              <w:rPr>
                <w:sz w:val="20"/>
                <w:szCs w:val="20"/>
                <w:color w:val="auto"/>
              </w:rPr>
            </w:pPr>
            <w:r>
              <w:rPr>
                <w:rFonts w:ascii="Times New Roman" w:cs="Times New Roman" w:eastAsia="Times New Roman" w:hAnsi="Times New Roman"/>
                <w:sz w:val="16"/>
                <w:szCs w:val="16"/>
                <w:b w:val="1"/>
                <w:bCs w:val="1"/>
                <w:color w:val="auto"/>
              </w:rPr>
              <w:t>Three Months</w:t>
            </w:r>
          </w:p>
        </w:tc>
        <w:tc>
          <w:tcPr>
            <w:tcW w:w="240" w:type="dxa"/>
            <w:vAlign w:val="bottom"/>
          </w:tcPr>
          <w:p>
            <w:pPr>
              <w:spacing w:after="0"/>
              <w:rPr>
                <w:sz w:val="13"/>
                <w:szCs w:val="13"/>
                <w:color w:val="auto"/>
              </w:rPr>
            </w:pPr>
          </w:p>
        </w:tc>
        <w:tc>
          <w:tcPr>
            <w:tcW w:w="146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vMerge w:val="restart"/>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Ended</w:t>
            </w:r>
          </w:p>
        </w:tc>
        <w:tc>
          <w:tcPr>
            <w:tcW w:w="146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80" w:type="dxa"/>
            <w:vAlign w:val="bottom"/>
          </w:tcPr>
          <w:p>
            <w:pPr>
              <w:spacing w:after="0"/>
              <w:rPr>
                <w:sz w:val="18"/>
                <w:szCs w:val="18"/>
                <w:color w:val="auto"/>
              </w:rPr>
            </w:pPr>
          </w:p>
        </w:tc>
        <w:tc>
          <w:tcPr>
            <w:tcW w:w="12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0" w:type="dxa"/>
            <w:vAlign w:val="bottom"/>
          </w:tcPr>
          <w:p>
            <w:pPr>
              <w:spacing w:after="0"/>
              <w:rPr>
                <w:sz w:val="1"/>
                <w:szCs w:val="1"/>
                <w:color w:val="auto"/>
              </w:rPr>
            </w:pPr>
          </w:p>
        </w:tc>
      </w:tr>
      <w:tr>
        <w:trPr>
          <w:trHeight w:val="197"/>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72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Net revenues (includes related party net revenues of $14 and $34,</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shd w:val="clear" w:color="auto" w:fill="CCEEFF"/>
          </w:tcPr>
          <w:p>
            <w:pPr>
              <w:ind w:left="240"/>
              <w:spacing w:after="0" w:line="162" w:lineRule="exact"/>
              <w:rPr>
                <w:sz w:val="20"/>
                <w:szCs w:val="20"/>
                <w:color w:val="auto"/>
              </w:rPr>
            </w:pPr>
            <w:r>
              <w:rPr>
                <w:rFonts w:ascii="Times New Roman" w:cs="Times New Roman" w:eastAsia="Times New Roman" w:hAnsi="Times New Roman"/>
                <w:sz w:val="16"/>
                <w:szCs w:val="16"/>
                <w:color w:val="auto"/>
              </w:rPr>
              <w:t>respectively, and affiliate net revenues of $(17) and $(43),</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13,572</w:t>
            </w:r>
          </w:p>
        </w:tc>
        <w:tc>
          <w:tcPr>
            <w:tcW w:w="100" w:type="dxa"/>
            <w:vAlign w:val="bottom"/>
            <w:tcBorders>
              <w:right w:val="single" w:sz="8" w:color="auto"/>
            </w:tcBorders>
            <w:shd w:val="clear" w:color="auto" w:fill="CCEEFF"/>
          </w:tcPr>
          <w:p>
            <w:pPr>
              <w:spacing w:after="0"/>
              <w:rPr>
                <w:sz w:val="14"/>
                <w:szCs w:val="14"/>
                <w:color w:val="auto"/>
              </w:rPr>
            </w:pP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8,486</w:t>
            </w:r>
          </w:p>
        </w:tc>
        <w:tc>
          <w:tcPr>
            <w:tcW w:w="24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26,104</w:t>
            </w:r>
          </w:p>
        </w:tc>
        <w:tc>
          <w:tcPr>
            <w:tcW w:w="120" w:type="dxa"/>
            <w:vAlign w:val="bottom"/>
            <w:tcBorders>
              <w:right w:val="single" w:sz="8" w:color="auto"/>
            </w:tcBorders>
            <w:shd w:val="clear" w:color="auto" w:fill="CCEEFF"/>
          </w:tcPr>
          <w:p>
            <w:pPr>
              <w:spacing w:after="0"/>
              <w:rPr>
                <w:sz w:val="14"/>
                <w:szCs w:val="14"/>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16,631</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respectively) </w:t>
            </w:r>
            <w:r>
              <w:rPr>
                <w:rFonts w:ascii="Times New Roman" w:cs="Times New Roman" w:eastAsia="Times New Roman" w:hAnsi="Times New Roman"/>
                <w:sz w:val="21"/>
                <w:szCs w:val="21"/>
                <w:color w:val="auto"/>
                <w:vertAlign w:val="superscript"/>
              </w:rPr>
              <w:t>(1)</w:t>
            </w:r>
          </w:p>
        </w:tc>
        <w:tc>
          <w:tcPr>
            <w:tcW w:w="18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34,247</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19,916</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69,335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35,150</w:t>
            </w:r>
          </w:p>
        </w:tc>
        <w:tc>
          <w:tcPr>
            <w:tcW w:w="0" w:type="dxa"/>
            <w:vAlign w:val="bottom"/>
          </w:tcPr>
          <w:p>
            <w:pPr>
              <w:spacing w:after="0"/>
              <w:rPr>
                <w:sz w:val="1"/>
                <w:szCs w:val="1"/>
                <w:color w:val="auto"/>
              </w:rPr>
            </w:pPr>
          </w:p>
        </w:tc>
      </w:tr>
      <w:tr>
        <w:trPr>
          <w:trHeight w:val="213"/>
        </w:trPr>
        <w:tc>
          <w:tcPr>
            <w:tcW w:w="4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Professional services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1,910</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Technology and communication</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4,164</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3,916</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6,702</w:t>
            </w:r>
          </w:p>
        </w:tc>
        <w:tc>
          <w:tcPr>
            <w:tcW w:w="0" w:type="dxa"/>
            <w:vAlign w:val="bottom"/>
          </w:tcPr>
          <w:p>
            <w:pPr>
              <w:spacing w:after="0"/>
              <w:rPr>
                <w:sz w:val="1"/>
                <w:szCs w:val="1"/>
                <w:color w:val="auto"/>
              </w:rPr>
            </w:pPr>
          </w:p>
        </w:tc>
      </w:tr>
      <w:tr>
        <w:trPr>
          <w:trHeight w:val="213"/>
        </w:trPr>
        <w:tc>
          <w:tcPr>
            <w:tcW w:w="4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9,769</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15,065</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Acquisition-related expenses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2,489</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10,309</w:t>
            </w:r>
          </w:p>
        </w:tc>
        <w:tc>
          <w:tcPr>
            <w:tcW w:w="0" w:type="dxa"/>
            <w:vAlign w:val="bottom"/>
          </w:tcPr>
          <w:p>
            <w:pPr>
              <w:spacing w:after="0"/>
              <w:rPr>
                <w:sz w:val="1"/>
                <w:szCs w:val="1"/>
                <w:color w:val="auto"/>
              </w:rPr>
            </w:pPr>
          </w:p>
        </w:tc>
      </w:tr>
      <w:tr>
        <w:trPr>
          <w:trHeight w:val="213"/>
        </w:trPr>
        <w:tc>
          <w:tcPr>
            <w:tcW w:w="4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6,098</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11,949</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5,828</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240"/>
              <w:spacing w:after="0" w:line="219" w:lineRule="exact"/>
              <w:rPr>
                <w:sz w:val="20"/>
                <w:szCs w:val="20"/>
                <w:color w:val="auto"/>
              </w:rPr>
            </w:pPr>
            <w:r>
              <w:rPr>
                <w:rFonts w:ascii="Times New Roman" w:cs="Times New Roman" w:eastAsia="Times New Roman" w:hAnsi="Times New Roman"/>
                <w:sz w:val="16"/>
                <w:szCs w:val="16"/>
                <w:color w:val="auto"/>
              </w:rPr>
              <w:t xml:space="preserve">Related party expenses (affiliate in Predecessor periods) </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0" w:type="dxa"/>
            <w:vAlign w:val="bottom"/>
          </w:tcPr>
          <w:p>
            <w:pPr>
              <w:spacing w:after="0"/>
              <w:rPr>
                <w:sz w:val="1"/>
                <w:szCs w:val="1"/>
                <w:color w:val="auto"/>
              </w:rPr>
            </w:pPr>
          </w:p>
        </w:tc>
      </w:tr>
      <w:tr>
        <w:trPr>
          <w:trHeight w:val="213"/>
        </w:trPr>
        <w:tc>
          <w:tcPr>
            <w:tcW w:w="4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269</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1,219</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0" w:type="dxa"/>
            <w:vAlign w:val="bottom"/>
          </w:tcPr>
          <w:p>
            <w:pPr>
              <w:spacing w:after="0"/>
              <w:rPr>
                <w:sz w:val="1"/>
                <w:szCs w:val="1"/>
                <w:color w:val="auto"/>
              </w:rPr>
            </w:pPr>
          </w:p>
        </w:tc>
      </w:tr>
      <w:tr>
        <w:trPr>
          <w:trHeight w:val="212"/>
        </w:trPr>
        <w:tc>
          <w:tcPr>
            <w:tcW w:w="4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57,123</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39,811</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118,140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76,366</w:t>
            </w:r>
          </w:p>
        </w:tc>
        <w:tc>
          <w:tcPr>
            <w:tcW w:w="0" w:type="dxa"/>
            <w:vAlign w:val="bottom"/>
          </w:tcPr>
          <w:p>
            <w:pPr>
              <w:spacing w:after="0"/>
              <w:rPr>
                <w:sz w:val="1"/>
                <w:szCs w:val="1"/>
                <w:color w:val="auto"/>
              </w:rPr>
            </w:pPr>
          </w:p>
        </w:tc>
      </w:tr>
      <w:tr>
        <w:trPr>
          <w:trHeight w:val="207"/>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(43,551)</w:t>
            </w:r>
          </w:p>
        </w:tc>
        <w:tc>
          <w:tcPr>
            <w:tcW w:w="10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(31,325)</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(92,036)</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(59,735)</w:t>
            </w:r>
          </w:p>
        </w:tc>
        <w:tc>
          <w:tcPr>
            <w:tcW w:w="0" w:type="dxa"/>
            <w:vAlign w:val="bottom"/>
          </w:tcPr>
          <w:p>
            <w:pPr>
              <w:spacing w:after="0"/>
              <w:rPr>
                <w:sz w:val="1"/>
                <w:szCs w:val="1"/>
                <w:color w:val="auto"/>
              </w:rPr>
            </w:pPr>
          </w:p>
        </w:tc>
      </w:tr>
      <w:tr>
        <w:trPr>
          <w:trHeight w:val="212"/>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13"/>
        </w:trPr>
        <w:tc>
          <w:tcPr>
            <w:tcW w:w="4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Gain from change in fair value of warrant liability</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10,283</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0" w:type="dxa"/>
            <w:vAlign w:val="bottom"/>
          </w:tcPr>
          <w:p>
            <w:pPr>
              <w:spacing w:after="0"/>
              <w:rPr>
                <w:sz w:val="1"/>
                <w:szCs w:val="1"/>
                <w:color w:val="auto"/>
              </w:rPr>
            </w:pPr>
          </w:p>
        </w:tc>
      </w:tr>
      <w:tr>
        <w:trPr>
          <w:trHeight w:val="207"/>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(32,741)</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(31,730)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(79,200)</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(60,527)</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5,100</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(27,641)</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(70,962)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(60,711)</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Less: Net loss attributable to noncontrolling interest</w:t>
            </w:r>
          </w:p>
        </w:tc>
        <w:tc>
          <w:tcPr>
            <w:tcW w:w="1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(23,744)</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(59,936)</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Bakkt Holdings, Inc.</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(3,897)</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 per share attributable to Bakkt Holdings, Inc.</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Class A common stockholders per share: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472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4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73"/>
        </w:trPr>
        <w:tc>
          <w:tcPr>
            <w:tcW w:w="472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472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4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76"/>
        </w:trPr>
        <w:tc>
          <w:tcPr>
            <w:tcW w:w="4720" w:type="dxa"/>
            <w:vAlign w:val="bottom"/>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tcBorders>
              <w:right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tcBorders>
              <w:right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the Business Combination, ICE and its affiliates are no longer our affiliates. Refer to Note 7 for our related party disclosures.</w:t>
      </w:r>
    </w:p>
    <w:p>
      <w:pPr>
        <w:spacing w:after="0" w:line="4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Basic and diluted loss per share is not presented for the Predecessor period due to lack of comparability with the Successor period.</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231F20"/>
        </w:rPr>
        <w:t>Bakkt Holdings, Inc.</w:t>
      </w:r>
    </w:p>
    <w:p>
      <w:pPr>
        <w:spacing w:after="0" w:line="5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231F20"/>
        </w:rPr>
        <w:t>Consolidated Statements of Comprehensive Loss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(Unaudited)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80" w:type="dxa"/>
            <w:vAlign w:val="bottom"/>
          </w:tcPr>
          <w:p>
            <w:pPr>
              <w:spacing w:after="0"/>
              <w:rPr>
                <w:sz w:val="18"/>
                <w:szCs w:val="18"/>
                <w:color w:val="auto"/>
              </w:rPr>
            </w:pPr>
          </w:p>
        </w:tc>
        <w:tc>
          <w:tcPr>
            <w:tcW w:w="12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0" w:type="dxa"/>
            <w:vAlign w:val="bottom"/>
          </w:tcPr>
          <w:p>
            <w:pPr>
              <w:spacing w:after="0"/>
              <w:rPr>
                <w:sz w:val="1"/>
                <w:szCs w:val="1"/>
                <w:color w:val="auto"/>
              </w:rPr>
            </w:pPr>
          </w:p>
        </w:tc>
      </w:tr>
      <w:tr>
        <w:trPr>
          <w:trHeight w:val="155"/>
        </w:trPr>
        <w:tc>
          <w:tcPr>
            <w:tcW w:w="47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119"/>
              <w:spacing w:after="0" w:line="155" w:lineRule="exact"/>
              <w:rPr>
                <w:sz w:val="20"/>
                <w:szCs w:val="20"/>
                <w:color w:val="auto"/>
              </w:rPr>
            </w:pPr>
            <w:r>
              <w:rPr>
                <w:rFonts w:ascii="Times New Roman" w:cs="Times New Roman" w:eastAsia="Times New Roman" w:hAnsi="Times New Roman"/>
                <w:sz w:val="16"/>
                <w:szCs w:val="16"/>
                <w:b w:val="1"/>
                <w:bCs w:val="1"/>
                <w:color w:val="auto"/>
              </w:rPr>
              <w:t>Three Months</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119"/>
              <w:spacing w:after="0" w:line="155" w:lineRule="exact"/>
              <w:rPr>
                <w:sz w:val="20"/>
                <w:szCs w:val="20"/>
                <w:color w:val="auto"/>
              </w:rPr>
            </w:pPr>
            <w:r>
              <w:rPr>
                <w:rFonts w:ascii="Times New Roman" w:cs="Times New Roman" w:eastAsia="Times New Roman" w:hAnsi="Times New Roman"/>
                <w:sz w:val="16"/>
                <w:szCs w:val="16"/>
                <w:b w:val="1"/>
                <w:bCs w:val="1"/>
                <w:color w:val="auto"/>
              </w:rPr>
              <w:t>Three Months</w:t>
            </w:r>
          </w:p>
        </w:tc>
        <w:tc>
          <w:tcPr>
            <w:tcW w:w="240" w:type="dxa"/>
            <w:vAlign w:val="bottom"/>
          </w:tcPr>
          <w:p>
            <w:pPr>
              <w:spacing w:after="0"/>
              <w:rPr>
                <w:sz w:val="13"/>
                <w:szCs w:val="13"/>
                <w:color w:val="auto"/>
              </w:rPr>
            </w:pPr>
          </w:p>
        </w:tc>
        <w:tc>
          <w:tcPr>
            <w:tcW w:w="146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Ended</w:t>
            </w:r>
          </w:p>
        </w:tc>
        <w:tc>
          <w:tcPr>
            <w:tcW w:w="146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80" w:type="dxa"/>
            <w:vAlign w:val="bottom"/>
          </w:tcPr>
          <w:p>
            <w:pPr>
              <w:spacing w:after="0"/>
              <w:rPr>
                <w:sz w:val="18"/>
                <w:szCs w:val="18"/>
                <w:color w:val="auto"/>
              </w:rPr>
            </w:pPr>
          </w:p>
        </w:tc>
        <w:tc>
          <w:tcPr>
            <w:tcW w:w="12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0" w:type="dxa"/>
            <w:vAlign w:val="bottom"/>
          </w:tcPr>
          <w:p>
            <w:pPr>
              <w:spacing w:after="0"/>
              <w:rPr>
                <w:sz w:val="1"/>
                <w:szCs w:val="1"/>
                <w:color w:val="auto"/>
              </w:rPr>
            </w:pPr>
          </w:p>
        </w:tc>
      </w:tr>
      <w:tr>
        <w:trPr>
          <w:trHeight w:val="211"/>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(27,641)</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(31,891)</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(70,962)</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(60,711)</w:t>
            </w: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 net of tax</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losses on available-for-sale securities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right w:val="single" w:sz="8" w:color="auto"/>
            </w:tcBorders>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right w:val="single" w:sz="8" w:color="auto"/>
            </w:tcBorders>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(28,036)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(31,797)</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(71,169)</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(60,538)</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Comprehensive loss attributable to noncontrolling interest</w:t>
            </w:r>
          </w:p>
        </w:tc>
        <w:tc>
          <w:tcPr>
            <w:tcW w:w="1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(24,030)</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(60,076)</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 attributable to Bakkt Holdings, Inc.</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(4,006)</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(11,093)</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40" w:right="420"/>
        <w:spacing w:after="0" w:line="338" w:lineRule="auto"/>
        <w:rPr>
          <w:sz w:val="20"/>
          <w:szCs w:val="20"/>
          <w:color w:val="auto"/>
        </w:rPr>
      </w:pPr>
      <w:r>
        <w:rPr>
          <w:rFonts w:ascii="Times New Roman" w:cs="Times New Roman" w:eastAsia="Times New Roman" w:hAnsi="Times New Roman"/>
          <w:sz w:val="10"/>
          <w:szCs w:val="10"/>
          <w:color w:val="auto"/>
        </w:rPr>
        <w:t>Balance as of December 31, 2021 Share-based compensation (Note 10) Unit-based compensation (Note 10)</w:t>
      </w:r>
    </w:p>
    <w:p>
      <w:pPr>
        <w:ind w:left="140" w:right="100"/>
        <w:spacing w:after="0" w:line="235" w:lineRule="auto"/>
        <w:rPr>
          <w:sz w:val="20"/>
          <w:szCs w:val="20"/>
          <w:color w:val="auto"/>
        </w:rPr>
      </w:pPr>
      <w:r>
        <w:rPr>
          <w:rFonts w:ascii="Times New Roman" w:cs="Times New Roman" w:eastAsia="Times New Roman" w:hAnsi="Times New Roman"/>
          <w:sz w:val="11"/>
          <w:szCs w:val="11"/>
          <w:color w:val="auto"/>
        </w:rPr>
        <w:t>Forfeiture and cancellation of common units (Note 10)</w:t>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Exercise of warrants (Note 8)</w:t>
      </w:r>
    </w:p>
    <w:p>
      <w:pPr>
        <w:spacing w:after="0" w:line="36" w:lineRule="exact"/>
        <w:rPr>
          <w:sz w:val="20"/>
          <w:szCs w:val="20"/>
          <w:color w:val="auto"/>
        </w:rPr>
      </w:pPr>
    </w:p>
    <w:p>
      <w:pPr>
        <w:ind w:left="140" w:right="180"/>
        <w:spacing w:after="0" w:line="333" w:lineRule="auto"/>
        <w:rPr>
          <w:sz w:val="20"/>
          <w:szCs w:val="20"/>
          <w:color w:val="auto"/>
        </w:rPr>
      </w:pPr>
      <w:r>
        <w:rPr>
          <w:rFonts w:ascii="Times New Roman" w:cs="Times New Roman" w:eastAsia="Times New Roman" w:hAnsi="Times New Roman"/>
          <w:sz w:val="11"/>
          <w:szCs w:val="11"/>
          <w:color w:val="auto"/>
        </w:rPr>
        <w:t>Currency translation adjustment, net of tax Net loss</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Balance as of March 31, 2022</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Share-based compensation (Note 10)</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Unit-based compensation (Note 10)</w:t>
      </w:r>
    </w:p>
    <w:p>
      <w:pPr>
        <w:spacing w:after="0" w:line="36" w:lineRule="exact"/>
        <w:rPr>
          <w:sz w:val="20"/>
          <w:szCs w:val="20"/>
          <w:color w:val="auto"/>
        </w:rPr>
      </w:pPr>
    </w:p>
    <w:p>
      <w:pPr>
        <w:ind w:left="140" w:right="100"/>
        <w:spacing w:after="0" w:line="235" w:lineRule="auto"/>
        <w:rPr>
          <w:sz w:val="20"/>
          <w:szCs w:val="20"/>
          <w:color w:val="auto"/>
        </w:rPr>
      </w:pPr>
      <w:r>
        <w:rPr>
          <w:rFonts w:ascii="Times New Roman" w:cs="Times New Roman" w:eastAsia="Times New Roman" w:hAnsi="Times New Roman"/>
          <w:sz w:val="11"/>
          <w:szCs w:val="11"/>
          <w:color w:val="auto"/>
        </w:rPr>
        <w:t>Forfeiture and cancellation of common units (Note 10)</w:t>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Exercise of warrants (Note 8)</w:t>
      </w:r>
    </w:p>
    <w:p>
      <w:pPr>
        <w:spacing w:after="0" w:line="36" w:lineRule="exact"/>
        <w:rPr>
          <w:sz w:val="20"/>
          <w:szCs w:val="20"/>
          <w:color w:val="auto"/>
        </w:rPr>
      </w:pPr>
    </w:p>
    <w:p>
      <w:pPr>
        <w:ind w:left="140" w:right="200"/>
        <w:spacing w:after="0" w:line="235" w:lineRule="auto"/>
        <w:rPr>
          <w:sz w:val="20"/>
          <w:szCs w:val="20"/>
          <w:color w:val="auto"/>
        </w:rPr>
      </w:pPr>
      <w:r>
        <w:rPr>
          <w:rFonts w:ascii="Times New Roman" w:cs="Times New Roman" w:eastAsia="Times New Roman" w:hAnsi="Times New Roman"/>
          <w:sz w:val="11"/>
          <w:szCs w:val="11"/>
          <w:color w:val="auto"/>
        </w:rPr>
        <w:t>Shares issued upon vesting of share-based awards, net of tax withholding</w:t>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color w:val="auto"/>
        </w:rPr>
        <w:t>Exchange of Class V shares for Class A shares</w:t>
      </w:r>
    </w:p>
    <w:p>
      <w:pPr>
        <w:spacing w:after="0" w:line="47" w:lineRule="exact"/>
        <w:rPr>
          <w:sz w:val="20"/>
          <w:szCs w:val="20"/>
          <w:color w:val="auto"/>
        </w:rPr>
      </w:pPr>
    </w:p>
    <w:p>
      <w:pPr>
        <w:ind w:left="140" w:right="60"/>
        <w:spacing w:after="0" w:line="225" w:lineRule="auto"/>
        <w:rPr>
          <w:sz w:val="20"/>
          <w:szCs w:val="20"/>
          <w:color w:val="auto"/>
        </w:rPr>
      </w:pPr>
      <w:r>
        <w:rPr>
          <w:rFonts w:ascii="Times New Roman" w:cs="Times New Roman" w:eastAsia="Times New Roman" w:hAnsi="Times New Roman"/>
          <w:sz w:val="11"/>
          <w:szCs w:val="11"/>
          <w:color w:val="auto"/>
        </w:rPr>
        <w:t>Increase in deferred tax liability from step-up tax basis related to exchanges of Opco Common Units</w:t>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Currency translation adjustment, net of tax</w:t>
      </w:r>
    </w:p>
    <w:p>
      <w:pPr>
        <w:spacing w:after="0" w:line="36" w:lineRule="exact"/>
        <w:rPr>
          <w:sz w:val="20"/>
          <w:szCs w:val="20"/>
          <w:color w:val="auto"/>
        </w:rPr>
      </w:pPr>
    </w:p>
    <w:p>
      <w:pPr>
        <w:ind w:left="140" w:right="520"/>
        <w:spacing w:after="0" w:line="235" w:lineRule="auto"/>
        <w:rPr>
          <w:sz w:val="20"/>
          <w:szCs w:val="20"/>
          <w:color w:val="auto"/>
        </w:rPr>
      </w:pPr>
      <w:r>
        <w:rPr>
          <w:rFonts w:ascii="Times New Roman" w:cs="Times New Roman" w:eastAsia="Times New Roman" w:hAnsi="Times New Roman"/>
          <w:sz w:val="11"/>
          <w:szCs w:val="11"/>
          <w:color w:val="auto"/>
        </w:rPr>
        <w:t>Unrealized losses on available-for-sale securities</w:t>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Net loss</w:t>
      </w:r>
    </w:p>
    <w:p>
      <w:pPr>
        <w:spacing w:after="0" w:line="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Balance as of June 30,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231F20"/>
        </w:rPr>
        <w:t>Bakkt Holdings, Inc.</w:t>
      </w:r>
    </w:p>
    <w:p>
      <w:pPr>
        <w:spacing w:after="0" w:line="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231F20"/>
        </w:rPr>
        <w:t>Consolidated Statements of Changes in Stockholders’ Equity (Successor)</w:t>
      </w:r>
    </w:p>
    <w:p>
      <w:pPr>
        <w:spacing w:after="0" w:line="36" w:lineRule="exact"/>
        <w:rPr>
          <w:sz w:val="20"/>
          <w:szCs w:val="20"/>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231F20"/>
        </w:rPr>
        <w:t>(in thousands, except unit data)</w:t>
      </w:r>
    </w:p>
    <w:p>
      <w:pPr>
        <w:spacing w:after="0" w:line="50" w:lineRule="exact"/>
        <w:rPr>
          <w:sz w:val="20"/>
          <w:szCs w:val="20"/>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231F20"/>
        </w:rPr>
        <w:t>(Unaudited)</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Additional Paid-</w:t>
            </w:r>
          </w:p>
        </w:tc>
        <w:tc>
          <w:tcPr>
            <w:tcW w:w="180" w:type="dxa"/>
            <w:vAlign w:val="bottom"/>
          </w:tcPr>
          <w:p>
            <w:pPr>
              <w:spacing w:after="0"/>
              <w:rPr>
                <w:sz w:val="11"/>
                <w:szCs w:val="11"/>
                <w:color w:val="auto"/>
              </w:rPr>
            </w:pPr>
          </w:p>
        </w:tc>
        <w:tc>
          <w:tcPr>
            <w:tcW w:w="860" w:type="dxa"/>
            <w:vAlign w:val="bottom"/>
            <w:vMerge w:val="restart"/>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11"/>
                <w:szCs w:val="11"/>
                <w:color w:val="auto"/>
              </w:rPr>
            </w:pPr>
          </w:p>
        </w:tc>
        <w:tc>
          <w:tcPr>
            <w:tcW w:w="104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6"/>
              </w:rPr>
              <w:t>Accumulated Other</w:t>
            </w: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Total Stockholders’</w:t>
            </w:r>
          </w:p>
        </w:tc>
        <w:tc>
          <w:tcPr>
            <w:tcW w:w="180" w:type="dxa"/>
            <w:vAlign w:val="bottom"/>
          </w:tcPr>
          <w:p>
            <w:pPr>
              <w:spacing w:after="0"/>
              <w:rPr>
                <w:sz w:val="11"/>
                <w:szCs w:val="11"/>
                <w:color w:val="auto"/>
              </w:rPr>
            </w:pPr>
          </w:p>
        </w:tc>
        <w:tc>
          <w:tcPr>
            <w:tcW w:w="96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420" w:type="dxa"/>
            <w:vAlign w:val="bottom"/>
            <w:gridSpan w:val="3"/>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Class V Common Stock</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jc w:val="center"/>
              <w:ind w:right="66"/>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3"/>
              </w:rPr>
              <w:t>Total Equity</w:t>
            </w:r>
          </w:p>
        </w:tc>
        <w:tc>
          <w:tcPr>
            <w:tcW w:w="0" w:type="dxa"/>
            <w:vAlign w:val="bottom"/>
          </w:tcPr>
          <w:p>
            <w:pPr>
              <w:spacing w:after="0"/>
              <w:rPr>
                <w:sz w:val="1"/>
                <w:szCs w:val="1"/>
                <w:color w:val="auto"/>
              </w:rPr>
            </w:pPr>
          </w:p>
        </w:tc>
      </w:tr>
      <w:tr>
        <w:trPr>
          <w:trHeight w:val="155"/>
        </w:trPr>
        <w:tc>
          <w:tcPr>
            <w:tcW w:w="1420" w:type="dxa"/>
            <w:vAlign w:val="bottom"/>
            <w:tcBorders>
              <w:bottom w:val="single" w:sz="8" w:color="auto"/>
            </w:tcBorders>
            <w:gridSpan w:val="3"/>
            <w:vMerge w:val="continue"/>
          </w:tcPr>
          <w:p>
            <w:pPr>
              <w:spacing w:after="0"/>
              <w:rPr>
                <w:sz w:val="13"/>
                <w:szCs w:val="13"/>
                <w:color w:val="auto"/>
              </w:rPr>
            </w:pPr>
          </w:p>
        </w:tc>
        <w:tc>
          <w:tcPr>
            <w:tcW w:w="124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in Capital</w:t>
            </w: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38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57,164,388</w:t>
            </w:r>
          </w:p>
        </w:tc>
        <w:tc>
          <w:tcPr>
            <w:tcW w:w="2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6</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206,271,792</w:t>
            </w:r>
          </w:p>
        </w:tc>
        <w:tc>
          <w:tcPr>
            <w:tcW w:w="3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2"/>
                <w:szCs w:val="1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566,766</w:t>
            </w:r>
          </w:p>
        </w:tc>
        <w:tc>
          <w:tcPr>
            <w:tcW w:w="1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(98,342)</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(55)</w:t>
            </w:r>
          </w:p>
        </w:tc>
        <w:tc>
          <w:tcPr>
            <w:tcW w:w="2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468,396</w:t>
            </w:r>
          </w:p>
        </w:tc>
        <w:tc>
          <w:tcPr>
            <w:tcW w:w="1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1,825,775</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2,294,171</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4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13,190</w:t>
            </w:r>
          </w:p>
        </w:tc>
        <w:tc>
          <w:tcPr>
            <w:tcW w:w="180" w:type="dxa"/>
            <w:vAlign w:val="bottom"/>
          </w:tcPr>
          <w:p>
            <w:pPr>
              <w:spacing w:after="0"/>
              <w:rPr>
                <w:sz w:val="14"/>
                <w:szCs w:val="14"/>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13,190</w:t>
            </w:r>
          </w:p>
        </w:tc>
        <w:tc>
          <w:tcPr>
            <w:tcW w:w="180" w:type="dxa"/>
            <w:vAlign w:val="bottom"/>
          </w:tcPr>
          <w:p>
            <w:pPr>
              <w:spacing w:after="0"/>
              <w:rPr>
                <w:sz w:val="14"/>
                <w:szCs w:val="14"/>
                <w:color w:val="auto"/>
              </w:rPr>
            </w:pP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13,190</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4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4"/>
                <w:szCs w:val="14"/>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4"/>
                <w:szCs w:val="14"/>
                <w:color w:val="auto"/>
              </w:rPr>
            </w:pP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1,118</w:t>
            </w: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1,118</w:t>
            </w:r>
          </w:p>
        </w:tc>
        <w:tc>
          <w:tcPr>
            <w:tcW w:w="0" w:type="dxa"/>
            <w:vAlign w:val="bottom"/>
          </w:tcPr>
          <w:p>
            <w:pPr>
              <w:spacing w:after="0"/>
              <w:rPr>
                <w:sz w:val="1"/>
                <w:szCs w:val="1"/>
                <w:color w:val="auto"/>
              </w:rPr>
            </w:pPr>
          </w:p>
        </w:tc>
      </w:tr>
      <w:tr>
        <w:trPr>
          <w:trHeight w:val="270"/>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3"/>
                <w:szCs w:val="23"/>
                <w:color w:val="auto"/>
              </w:rPr>
            </w:pPr>
          </w:p>
        </w:tc>
        <w:tc>
          <w:tcPr>
            <w:tcW w:w="4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(268,522)</w:t>
            </w:r>
          </w:p>
        </w:tc>
        <w:tc>
          <w:tcPr>
            <w:tcW w:w="380" w:type="dxa"/>
            <w:vAlign w:val="bottom"/>
          </w:tcPr>
          <w:p>
            <w:pPr>
              <w:spacing w:after="0"/>
              <w:rPr>
                <w:sz w:val="23"/>
                <w:szCs w:val="23"/>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3"/>
                <w:szCs w:val="23"/>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3"/>
                <w:szCs w:val="23"/>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3"/>
                <w:szCs w:val="23"/>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3"/>
                <w:szCs w:val="23"/>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3"/>
                <w:szCs w:val="23"/>
                <w:color w:val="auto"/>
              </w:rPr>
            </w:pP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(60)</w:t>
            </w: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100</w:t>
            </w:r>
          </w:p>
        </w:tc>
        <w:tc>
          <w:tcPr>
            <w:tcW w:w="260" w:type="dxa"/>
            <w:vAlign w:val="bottom"/>
          </w:tcPr>
          <w:p>
            <w:pPr>
              <w:spacing w:after="0"/>
              <w:rPr>
                <w:sz w:val="14"/>
                <w:szCs w:val="14"/>
                <w:color w:val="auto"/>
              </w:rPr>
            </w:pPr>
          </w:p>
        </w:tc>
        <w:tc>
          <w:tcPr>
            <w:tcW w:w="4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80" w:type="dxa"/>
            <w:vAlign w:val="bottom"/>
          </w:tcPr>
          <w:p>
            <w:pPr>
              <w:spacing w:after="0"/>
              <w:rPr>
                <w:sz w:val="14"/>
                <w:szCs w:val="14"/>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80" w:type="dxa"/>
            <w:vAlign w:val="bottom"/>
          </w:tcPr>
          <w:p>
            <w:pPr>
              <w:spacing w:after="0"/>
              <w:rPr>
                <w:sz w:val="14"/>
                <w:szCs w:val="14"/>
                <w:color w:val="auto"/>
              </w:rPr>
            </w:pP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4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4"/>
                <w:szCs w:val="14"/>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41</w:t>
            </w:r>
          </w:p>
        </w:tc>
        <w:tc>
          <w:tcPr>
            <w:tcW w:w="26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41</w:t>
            </w:r>
          </w:p>
        </w:tc>
        <w:tc>
          <w:tcPr>
            <w:tcW w:w="180" w:type="dxa"/>
            <w:vAlign w:val="bottom"/>
          </w:tcPr>
          <w:p>
            <w:pPr>
              <w:spacing w:after="0"/>
              <w:rPr>
                <w:sz w:val="14"/>
                <w:szCs w:val="14"/>
                <w:color w:val="auto"/>
              </w:rPr>
            </w:pP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147</w:t>
            </w: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188</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4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(7,128)</w:t>
            </w:r>
          </w:p>
        </w:tc>
        <w:tc>
          <w:tcPr>
            <w:tcW w:w="120" w:type="dxa"/>
            <w:vAlign w:val="bottom"/>
          </w:tcPr>
          <w:p>
            <w:pPr>
              <w:spacing w:after="0"/>
              <w:rPr>
                <w:sz w:val="14"/>
                <w:szCs w:val="14"/>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(7,128)</w:t>
            </w:r>
          </w:p>
        </w:tc>
        <w:tc>
          <w:tcPr>
            <w:tcW w:w="180" w:type="dxa"/>
            <w:vAlign w:val="bottom"/>
          </w:tcPr>
          <w:p>
            <w:pPr>
              <w:spacing w:after="0"/>
              <w:rPr>
                <w:sz w:val="14"/>
                <w:szCs w:val="14"/>
                <w:color w:val="auto"/>
              </w:rPr>
            </w:pP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(36,193)</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(43,321)</w:t>
            </w:r>
          </w:p>
        </w:tc>
        <w:tc>
          <w:tcPr>
            <w:tcW w:w="0" w:type="dxa"/>
            <w:vAlign w:val="bottom"/>
          </w:tcPr>
          <w:p>
            <w:pPr>
              <w:spacing w:after="0"/>
              <w:rPr>
                <w:sz w:val="1"/>
                <w:szCs w:val="1"/>
                <w:color w:val="auto"/>
              </w:rPr>
            </w:pPr>
          </w:p>
        </w:tc>
      </w:tr>
      <w:tr>
        <w:trPr>
          <w:trHeight w:val="22"/>
        </w:trPr>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57,164,488</w:t>
            </w:r>
          </w:p>
        </w:tc>
        <w:tc>
          <w:tcPr>
            <w:tcW w:w="2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6</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206,003,270</w:t>
            </w:r>
          </w:p>
        </w:tc>
        <w:tc>
          <w:tcPr>
            <w:tcW w:w="3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1"/>
                <w:szCs w:val="1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579,957</w:t>
            </w:r>
          </w:p>
        </w:tc>
        <w:tc>
          <w:tcPr>
            <w:tcW w:w="1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(105,470)</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w:t>
            </w:r>
          </w:p>
        </w:tc>
        <w:tc>
          <w:tcPr>
            <w:tcW w:w="2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474,500</w:t>
            </w:r>
          </w:p>
        </w:tc>
        <w:tc>
          <w:tcPr>
            <w:tcW w:w="1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1,790,787</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2,265,287</w:t>
            </w:r>
          </w:p>
        </w:tc>
        <w:tc>
          <w:tcPr>
            <w:tcW w:w="0" w:type="dxa"/>
            <w:vAlign w:val="bottom"/>
          </w:tcPr>
          <w:p>
            <w:pPr>
              <w:spacing w:after="0"/>
              <w:rPr>
                <w:sz w:val="1"/>
                <w:szCs w:val="1"/>
                <w:color w:val="auto"/>
              </w:rPr>
            </w:pPr>
          </w:p>
        </w:tc>
      </w:tr>
      <w:tr>
        <w:trPr>
          <w:trHeight w:val="22"/>
        </w:trPr>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3"/>
                <w:szCs w:val="23"/>
                <w:color w:val="auto"/>
              </w:rPr>
            </w:pPr>
          </w:p>
        </w:tc>
        <w:tc>
          <w:tcPr>
            <w:tcW w:w="4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23"/>
                <w:szCs w:val="23"/>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3"/>
                <w:szCs w:val="23"/>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8,016</w:t>
            </w:r>
          </w:p>
        </w:tc>
        <w:tc>
          <w:tcPr>
            <w:tcW w:w="180" w:type="dxa"/>
            <w:vAlign w:val="bottom"/>
          </w:tcPr>
          <w:p>
            <w:pPr>
              <w:spacing w:after="0"/>
              <w:rPr>
                <w:sz w:val="23"/>
                <w:szCs w:val="23"/>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3"/>
                <w:szCs w:val="23"/>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3"/>
                <w:szCs w:val="23"/>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8,016</w:t>
            </w:r>
          </w:p>
        </w:tc>
        <w:tc>
          <w:tcPr>
            <w:tcW w:w="180" w:type="dxa"/>
            <w:vAlign w:val="bottom"/>
          </w:tcPr>
          <w:p>
            <w:pPr>
              <w:spacing w:after="0"/>
              <w:rPr>
                <w:sz w:val="23"/>
                <w:szCs w:val="23"/>
                <w:color w:val="auto"/>
              </w:rPr>
            </w:pP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3"/>
                <w:szCs w:val="23"/>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8,016</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4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4"/>
                <w:szCs w:val="14"/>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4"/>
                <w:szCs w:val="14"/>
                <w:color w:val="auto"/>
              </w:rPr>
            </w:pP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1,063</w:t>
            </w: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1,063</w:t>
            </w:r>
          </w:p>
        </w:tc>
        <w:tc>
          <w:tcPr>
            <w:tcW w:w="0" w:type="dxa"/>
            <w:vAlign w:val="bottom"/>
          </w:tcPr>
          <w:p>
            <w:pPr>
              <w:spacing w:after="0"/>
              <w:rPr>
                <w:sz w:val="1"/>
                <w:szCs w:val="1"/>
                <w:color w:val="auto"/>
              </w:rPr>
            </w:pPr>
          </w:p>
        </w:tc>
      </w:tr>
      <w:tr>
        <w:trPr>
          <w:trHeight w:val="270"/>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3"/>
                <w:szCs w:val="23"/>
                <w:color w:val="auto"/>
              </w:rPr>
            </w:pPr>
          </w:p>
        </w:tc>
        <w:tc>
          <w:tcPr>
            <w:tcW w:w="4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(9,693)</w:t>
            </w:r>
          </w:p>
        </w:tc>
        <w:tc>
          <w:tcPr>
            <w:tcW w:w="380" w:type="dxa"/>
            <w:vAlign w:val="bottom"/>
          </w:tcPr>
          <w:p>
            <w:pPr>
              <w:spacing w:after="0"/>
              <w:rPr>
                <w:sz w:val="23"/>
                <w:szCs w:val="23"/>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3"/>
                <w:szCs w:val="23"/>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3"/>
                <w:szCs w:val="23"/>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3"/>
                <w:szCs w:val="23"/>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3"/>
                <w:szCs w:val="23"/>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3"/>
                <w:szCs w:val="23"/>
                <w:color w:val="auto"/>
              </w:rPr>
            </w:pP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(15)</w:t>
            </w: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100</w:t>
            </w:r>
          </w:p>
        </w:tc>
        <w:tc>
          <w:tcPr>
            <w:tcW w:w="260" w:type="dxa"/>
            <w:vAlign w:val="bottom"/>
          </w:tcPr>
          <w:p>
            <w:pPr>
              <w:spacing w:after="0"/>
              <w:rPr>
                <w:sz w:val="14"/>
                <w:szCs w:val="14"/>
                <w:color w:val="auto"/>
              </w:rPr>
            </w:pPr>
          </w:p>
        </w:tc>
        <w:tc>
          <w:tcPr>
            <w:tcW w:w="4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80" w:type="dxa"/>
            <w:vAlign w:val="bottom"/>
          </w:tcPr>
          <w:p>
            <w:pPr>
              <w:spacing w:after="0"/>
              <w:rPr>
                <w:sz w:val="14"/>
                <w:szCs w:val="14"/>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80" w:type="dxa"/>
            <w:vAlign w:val="bottom"/>
          </w:tcPr>
          <w:p>
            <w:pPr>
              <w:spacing w:after="0"/>
              <w:rPr>
                <w:sz w:val="14"/>
                <w:szCs w:val="14"/>
                <w:color w:val="auto"/>
              </w:rPr>
            </w:pP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270"/>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624,497</w:t>
            </w:r>
          </w:p>
        </w:tc>
        <w:tc>
          <w:tcPr>
            <w:tcW w:w="260" w:type="dxa"/>
            <w:vAlign w:val="bottom"/>
          </w:tcPr>
          <w:p>
            <w:pPr>
              <w:spacing w:after="0"/>
              <w:rPr>
                <w:sz w:val="23"/>
                <w:szCs w:val="23"/>
                <w:color w:val="auto"/>
              </w:rPr>
            </w:pPr>
          </w:p>
        </w:tc>
        <w:tc>
          <w:tcPr>
            <w:tcW w:w="4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23"/>
                <w:szCs w:val="23"/>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3"/>
                <w:szCs w:val="23"/>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(2,586)</w:t>
            </w:r>
          </w:p>
        </w:tc>
        <w:tc>
          <w:tcPr>
            <w:tcW w:w="180" w:type="dxa"/>
            <w:vAlign w:val="bottom"/>
          </w:tcPr>
          <w:p>
            <w:pPr>
              <w:spacing w:after="0"/>
              <w:rPr>
                <w:sz w:val="23"/>
                <w:szCs w:val="23"/>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3"/>
                <w:szCs w:val="23"/>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3"/>
                <w:szCs w:val="23"/>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(2,586)</w:t>
            </w:r>
          </w:p>
        </w:tc>
        <w:tc>
          <w:tcPr>
            <w:tcW w:w="180" w:type="dxa"/>
            <w:vAlign w:val="bottom"/>
          </w:tcPr>
          <w:p>
            <w:pPr>
              <w:spacing w:after="0"/>
              <w:rPr>
                <w:sz w:val="23"/>
                <w:szCs w:val="23"/>
                <w:color w:val="auto"/>
              </w:rPr>
            </w:pP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(2,586)</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17,554,639</w:t>
            </w:r>
          </w:p>
        </w:tc>
        <w:tc>
          <w:tcPr>
            <w:tcW w:w="260" w:type="dxa"/>
            <w:vAlign w:val="bottom"/>
          </w:tcPr>
          <w:p>
            <w:pPr>
              <w:spacing w:after="0"/>
              <w:rPr>
                <w:sz w:val="14"/>
                <w:szCs w:val="14"/>
                <w:color w:val="auto"/>
              </w:rPr>
            </w:pPr>
          </w:p>
        </w:tc>
        <w:tc>
          <w:tcPr>
            <w:tcW w:w="4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(17,554,639)</w:t>
            </w:r>
          </w:p>
        </w:tc>
        <w:tc>
          <w:tcPr>
            <w:tcW w:w="3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3"/>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152,235</w:t>
            </w:r>
          </w:p>
        </w:tc>
        <w:tc>
          <w:tcPr>
            <w:tcW w:w="180" w:type="dxa"/>
            <w:vAlign w:val="bottom"/>
          </w:tcPr>
          <w:p>
            <w:pPr>
              <w:spacing w:after="0"/>
              <w:rPr>
                <w:sz w:val="14"/>
                <w:szCs w:val="14"/>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152,235</w:t>
            </w:r>
          </w:p>
        </w:tc>
        <w:tc>
          <w:tcPr>
            <w:tcW w:w="180" w:type="dxa"/>
            <w:vAlign w:val="bottom"/>
          </w:tcPr>
          <w:p>
            <w:pPr>
              <w:spacing w:after="0"/>
              <w:rPr>
                <w:sz w:val="14"/>
                <w:szCs w:val="14"/>
                <w:color w:val="auto"/>
              </w:rPr>
            </w:pP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(152,235)</w:t>
            </w: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78"/>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4"/>
                <w:szCs w:val="24"/>
                <w:color w:val="auto"/>
              </w:rPr>
            </w:pPr>
          </w:p>
        </w:tc>
        <w:tc>
          <w:tcPr>
            <w:tcW w:w="4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(19,063)</w:t>
            </w:r>
          </w:p>
        </w:tc>
        <w:tc>
          <w:tcPr>
            <w:tcW w:w="180" w:type="dxa"/>
            <w:vAlign w:val="bottom"/>
          </w:tcPr>
          <w:p>
            <w:pPr>
              <w:spacing w:after="0"/>
              <w:rPr>
                <w:sz w:val="24"/>
                <w:szCs w:val="24"/>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4"/>
                <w:szCs w:val="24"/>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(19,063)</w:t>
            </w:r>
          </w:p>
        </w:tc>
        <w:tc>
          <w:tcPr>
            <w:tcW w:w="180" w:type="dxa"/>
            <w:vAlign w:val="bottom"/>
          </w:tcPr>
          <w:p>
            <w:pPr>
              <w:spacing w:after="0"/>
              <w:rPr>
                <w:sz w:val="24"/>
                <w:szCs w:val="24"/>
                <w:color w:val="auto"/>
              </w:rPr>
            </w:pP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(19,063)</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4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4"/>
                <w:szCs w:val="14"/>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(105)</w:t>
            </w:r>
          </w:p>
        </w:tc>
        <w:tc>
          <w:tcPr>
            <w:tcW w:w="26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(105)</w:t>
            </w:r>
          </w:p>
        </w:tc>
        <w:tc>
          <w:tcPr>
            <w:tcW w:w="180" w:type="dxa"/>
            <w:vAlign w:val="bottom"/>
          </w:tcPr>
          <w:p>
            <w:pPr>
              <w:spacing w:after="0"/>
              <w:rPr>
                <w:sz w:val="14"/>
                <w:szCs w:val="14"/>
                <w:color w:val="auto"/>
              </w:rPr>
            </w:pP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(277)</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0" w:type="dxa"/>
            <w:vAlign w:val="bottom"/>
          </w:tcPr>
          <w:p>
            <w:pPr>
              <w:spacing w:after="0"/>
              <w:rPr>
                <w:sz w:val="1"/>
                <w:szCs w:val="1"/>
                <w:color w:val="auto"/>
              </w:rPr>
            </w:pPr>
          </w:p>
        </w:tc>
      </w:tr>
      <w:tr>
        <w:trPr>
          <w:trHeight w:val="270"/>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3"/>
                <w:szCs w:val="23"/>
                <w:color w:val="auto"/>
              </w:rPr>
            </w:pPr>
          </w:p>
        </w:tc>
        <w:tc>
          <w:tcPr>
            <w:tcW w:w="4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23"/>
                <w:szCs w:val="23"/>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3"/>
                <w:szCs w:val="23"/>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3"/>
                <w:szCs w:val="23"/>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3"/>
                <w:szCs w:val="2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260" w:type="dxa"/>
            <w:vAlign w:val="bottom"/>
          </w:tcPr>
          <w:p>
            <w:pPr>
              <w:spacing w:after="0"/>
              <w:rPr>
                <w:sz w:val="23"/>
                <w:szCs w:val="23"/>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w:t>
            </w:r>
          </w:p>
        </w:tc>
        <w:tc>
          <w:tcPr>
            <w:tcW w:w="180" w:type="dxa"/>
            <w:vAlign w:val="bottom"/>
          </w:tcPr>
          <w:p>
            <w:pPr>
              <w:spacing w:after="0"/>
              <w:rPr>
                <w:sz w:val="23"/>
                <w:szCs w:val="23"/>
                <w:color w:val="auto"/>
              </w:rPr>
            </w:pP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w:t>
            </w: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4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(3,897)</w:t>
            </w:r>
          </w:p>
        </w:tc>
        <w:tc>
          <w:tcPr>
            <w:tcW w:w="120" w:type="dxa"/>
            <w:vAlign w:val="bottom"/>
          </w:tcPr>
          <w:p>
            <w:pPr>
              <w:spacing w:after="0"/>
              <w:rPr>
                <w:sz w:val="14"/>
                <w:szCs w:val="14"/>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(3,897)</w:t>
            </w:r>
          </w:p>
        </w:tc>
        <w:tc>
          <w:tcPr>
            <w:tcW w:w="180" w:type="dxa"/>
            <w:vAlign w:val="bottom"/>
          </w:tcPr>
          <w:p>
            <w:pPr>
              <w:spacing w:after="0"/>
              <w:rPr>
                <w:sz w:val="14"/>
                <w:szCs w:val="14"/>
                <w:color w:val="auto"/>
              </w:rPr>
            </w:pP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(23,744)</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(27,641)</w:t>
            </w:r>
          </w:p>
        </w:tc>
        <w:tc>
          <w:tcPr>
            <w:tcW w:w="0" w:type="dxa"/>
            <w:vAlign w:val="bottom"/>
          </w:tcPr>
          <w:p>
            <w:pPr>
              <w:spacing w:after="0"/>
              <w:rPr>
                <w:sz w:val="1"/>
                <w:szCs w:val="1"/>
                <w:color w:val="auto"/>
              </w:rPr>
            </w:pPr>
          </w:p>
        </w:tc>
      </w:tr>
      <w:tr>
        <w:trPr>
          <w:trHeight w:val="22"/>
        </w:trPr>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75,343,724</w:t>
            </w:r>
          </w:p>
        </w:tc>
        <w:tc>
          <w:tcPr>
            <w:tcW w:w="2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8</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188,438,938</w:t>
            </w:r>
          </w:p>
        </w:tc>
        <w:tc>
          <w:tcPr>
            <w:tcW w:w="3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Pr>
          <w:p>
            <w:pPr>
              <w:spacing w:after="0"/>
              <w:rPr>
                <w:sz w:val="11"/>
                <w:szCs w:val="1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718,560</w:t>
            </w:r>
          </w:p>
        </w:tc>
        <w:tc>
          <w:tcPr>
            <w:tcW w:w="1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(109,367)</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(123)</w:t>
            </w:r>
          </w:p>
        </w:tc>
        <w:tc>
          <w:tcPr>
            <w:tcW w:w="2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609,097</w:t>
            </w:r>
          </w:p>
        </w:tc>
        <w:tc>
          <w:tcPr>
            <w:tcW w:w="1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1,615,570</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2,224,667</w:t>
            </w:r>
          </w:p>
        </w:tc>
        <w:tc>
          <w:tcPr>
            <w:tcW w:w="0" w:type="dxa"/>
            <w:vAlign w:val="bottom"/>
          </w:tcPr>
          <w:p>
            <w:pPr>
              <w:spacing w:after="0"/>
              <w:rPr>
                <w:sz w:val="1"/>
                <w:szCs w:val="1"/>
                <w:color w:val="auto"/>
              </w:rPr>
            </w:pPr>
          </w:p>
        </w:tc>
      </w:tr>
      <w:tr>
        <w:trPr>
          <w:trHeight w:val="22"/>
        </w:trPr>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-2545080</wp:posOffset>
            </wp:positionV>
            <wp:extent cx="7132320" cy="1111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-2331085</wp:posOffset>
            </wp:positionV>
            <wp:extent cx="7132320"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-2056765</wp:posOffset>
            </wp:positionV>
            <wp:extent cx="7132320"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-1851025</wp:posOffset>
            </wp:positionV>
            <wp:extent cx="7132320"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-1619885</wp:posOffset>
            </wp:positionV>
            <wp:extent cx="7132320"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-1414145</wp:posOffset>
            </wp:positionV>
            <wp:extent cx="7132320" cy="102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-1139825</wp:posOffset>
            </wp:positionV>
            <wp:extent cx="7132320"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-864870</wp:posOffset>
            </wp:positionV>
            <wp:extent cx="7132320" cy="102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-521970</wp:posOffset>
            </wp:positionV>
            <wp:extent cx="7132320"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-248285</wp:posOffset>
            </wp:positionV>
            <wp:extent cx="7132320" cy="102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60"/>
            <w:col w:w="9020"/>
          </w:cols>
          <w:pgMar w:left="320" w:top="108" w:right="339" w:bottom="1440" w:gutter="0" w:footer="0" w:header="0"/>
        </w:sect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231F20"/>
        </w:rPr>
        <w:t>Bakkt Holdings, Inc.</w:t>
      </w:r>
    </w:p>
    <w:p>
      <w:pPr>
        <w:spacing w:after="0" w:line="5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231F20"/>
        </w:rPr>
        <w:t>Consolidated Statements of Changes in Members’ Equity and Mezzanine Equity (Predecessor)</w:t>
      </w:r>
    </w:p>
    <w:p>
      <w:pPr>
        <w:spacing w:after="0" w:line="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(in thousands, except unit data)</w:t>
      </w:r>
    </w:p>
    <w:p>
      <w:pPr>
        <w:spacing w:after="0" w:line="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(Unaudited)</w:t>
      </w:r>
    </w:p>
    <w:p>
      <w:pPr>
        <w:spacing w:after="0" w:line="200" w:lineRule="exact"/>
        <w:rPr>
          <w:sz w:val="20"/>
          <w:szCs w:val="20"/>
          <w:color w:val="auto"/>
        </w:rPr>
      </w:pPr>
    </w:p>
    <w:p>
      <w:pPr>
        <w:spacing w:after="0" w:line="324" w:lineRule="exact"/>
        <w:rPr>
          <w:sz w:val="20"/>
          <w:szCs w:val="20"/>
          <w:color w:val="auto"/>
        </w:rPr>
      </w:pPr>
    </w:p>
    <w:tbl>
      <w:tblPr>
        <w:tblLayout w:type="fixed"/>
        <w:tblInd w:w="60" w:type="dxa"/>
        <w:tblCellMar>
          <w:top w:w="0" w:type="dxa"/>
          <w:left w:w="0" w:type="dxa"/>
          <w:bottom w:w="0" w:type="dxa"/>
          <w:right w:w="0" w:type="dxa"/>
        </w:tblCellMar>
      </w:tblPr>
      <w:tr>
        <w:trPr>
          <w:trHeight w:val="103"/>
        </w:trPr>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jc w:val="center"/>
              <w:ind w:right="75"/>
              <w:spacing w:after="0"/>
              <w:rPr>
                <w:sz w:val="20"/>
                <w:szCs w:val="20"/>
                <w:color w:val="auto"/>
              </w:rPr>
            </w:pPr>
            <w:r>
              <w:rPr>
                <w:rFonts w:ascii="Times New Roman" w:cs="Times New Roman" w:eastAsia="Times New Roman" w:hAnsi="Times New Roman"/>
                <w:sz w:val="9"/>
                <w:szCs w:val="9"/>
                <w:b w:val="1"/>
                <w:bCs w:val="1"/>
                <w:color w:val="auto"/>
              </w:rPr>
              <w:t>Accumulated</w:t>
            </w: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jc w:val="center"/>
              <w:ind w:right="95"/>
              <w:spacing w:after="0" w:line="92" w:lineRule="exact"/>
              <w:rPr>
                <w:sz w:val="20"/>
                <w:szCs w:val="20"/>
                <w:color w:val="auto"/>
              </w:rPr>
            </w:pPr>
            <w:r>
              <w:rPr>
                <w:rFonts w:ascii="Times New Roman" w:cs="Times New Roman" w:eastAsia="Times New Roman" w:hAnsi="Times New Roman"/>
                <w:sz w:val="9"/>
                <w:szCs w:val="9"/>
                <w:b w:val="1"/>
                <w:bCs w:val="1"/>
                <w:color w:val="auto"/>
                <w:w w:val="95"/>
              </w:rPr>
              <w:t>Other</w:t>
            </w:r>
          </w:p>
        </w:tc>
        <w:tc>
          <w:tcPr>
            <w:tcW w:w="120" w:type="dxa"/>
            <w:vAlign w:val="bottom"/>
          </w:tcPr>
          <w:p>
            <w:pPr>
              <w:spacing w:after="0"/>
              <w:rPr>
                <w:sz w:val="8"/>
                <w:szCs w:val="8"/>
                <w:color w:val="auto"/>
              </w:rPr>
            </w:pPr>
          </w:p>
        </w:tc>
        <w:tc>
          <w:tcPr>
            <w:tcW w:w="620" w:type="dxa"/>
            <w:vAlign w:val="bottom"/>
          </w:tcPr>
          <w:p>
            <w:pPr>
              <w:jc w:val="center"/>
              <w:ind w:right="135"/>
              <w:spacing w:after="0" w:line="92" w:lineRule="exact"/>
              <w:rPr>
                <w:sz w:val="20"/>
                <w:szCs w:val="20"/>
                <w:color w:val="auto"/>
              </w:rPr>
            </w:pPr>
            <w:r>
              <w:rPr>
                <w:rFonts w:ascii="Times New Roman" w:cs="Times New Roman" w:eastAsia="Times New Roman" w:hAnsi="Times New Roman"/>
                <w:sz w:val="9"/>
                <w:szCs w:val="9"/>
                <w:b w:val="1"/>
                <w:bCs w:val="1"/>
                <w:color w:val="auto"/>
                <w:w w:val="97"/>
              </w:rPr>
              <w:t>Total</w:t>
            </w: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jc w:val="right"/>
              <w:ind w:right="135"/>
              <w:spacing w:after="0" w:line="95"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120" w:type="dxa"/>
            <w:vAlign w:val="bottom"/>
          </w:tcPr>
          <w:p>
            <w:pPr>
              <w:spacing w:after="0"/>
              <w:rPr>
                <w:sz w:val="8"/>
                <w:szCs w:val="8"/>
                <w:color w:val="auto"/>
              </w:rPr>
            </w:pPr>
          </w:p>
        </w:tc>
        <w:tc>
          <w:tcPr>
            <w:tcW w:w="760" w:type="dxa"/>
            <w:vAlign w:val="bottom"/>
          </w:tcPr>
          <w:p>
            <w:pPr>
              <w:jc w:val="center"/>
              <w:ind w:right="75"/>
              <w:spacing w:after="0" w:line="95" w:lineRule="exact"/>
              <w:rPr>
                <w:sz w:val="20"/>
                <w:szCs w:val="20"/>
                <w:color w:val="auto"/>
              </w:rPr>
            </w:pPr>
            <w:r>
              <w:rPr>
                <w:rFonts w:ascii="Times New Roman" w:cs="Times New Roman" w:eastAsia="Times New Roman" w:hAnsi="Times New Roman"/>
                <w:sz w:val="9"/>
                <w:szCs w:val="9"/>
                <w:b w:val="1"/>
                <w:bCs w:val="1"/>
                <w:color w:val="auto"/>
                <w:w w:val="99"/>
              </w:rPr>
              <w:t>Comprehensive</w:t>
            </w:r>
          </w:p>
        </w:tc>
        <w:tc>
          <w:tcPr>
            <w:tcW w:w="120" w:type="dxa"/>
            <w:vAlign w:val="bottom"/>
          </w:tcPr>
          <w:p>
            <w:pPr>
              <w:spacing w:after="0"/>
              <w:rPr>
                <w:sz w:val="8"/>
                <w:szCs w:val="8"/>
                <w:color w:val="auto"/>
              </w:rPr>
            </w:pPr>
          </w:p>
        </w:tc>
        <w:tc>
          <w:tcPr>
            <w:tcW w:w="620" w:type="dxa"/>
            <w:vAlign w:val="bottom"/>
          </w:tcPr>
          <w:p>
            <w:pPr>
              <w:jc w:val="center"/>
              <w:ind w:right="155"/>
              <w:spacing w:after="0" w:line="95" w:lineRule="exact"/>
              <w:rPr>
                <w:sz w:val="20"/>
                <w:szCs w:val="20"/>
                <w:color w:val="auto"/>
              </w:rPr>
            </w:pPr>
            <w:r>
              <w:rPr>
                <w:rFonts w:ascii="Times New Roman" w:cs="Times New Roman" w:eastAsia="Times New Roman" w:hAnsi="Times New Roman"/>
                <w:sz w:val="9"/>
                <w:szCs w:val="9"/>
                <w:b w:val="1"/>
                <w:bCs w:val="1"/>
                <w:color w:val="auto"/>
                <w:w w:val="97"/>
              </w:rPr>
              <w:t>Member's</w:t>
            </w: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gridSpan w:val="2"/>
          </w:tcPr>
          <w:p>
            <w:pPr>
              <w:ind w:left="80"/>
              <w:spacing w:after="0" w:line="95" w:lineRule="exact"/>
              <w:rPr>
                <w:sz w:val="20"/>
                <w:szCs w:val="20"/>
                <w:color w:val="auto"/>
              </w:rPr>
            </w:pPr>
            <w:r>
              <w:rPr>
                <w:rFonts w:ascii="Times New Roman" w:cs="Times New Roman" w:eastAsia="Times New Roman" w:hAnsi="Times New Roman"/>
                <w:sz w:val="9"/>
                <w:szCs w:val="9"/>
                <w:b w:val="1"/>
                <w:bCs w:val="1"/>
                <w:color w:val="auto"/>
                <w:w w:val="99"/>
              </w:rPr>
              <w:t>Total Mezzanine</w:t>
            </w:r>
          </w:p>
        </w:tc>
        <w:tc>
          <w:tcPr>
            <w:tcW w:w="0" w:type="dxa"/>
            <w:vAlign w:val="bottom"/>
          </w:tcPr>
          <w:p>
            <w:pPr>
              <w:spacing w:after="0"/>
              <w:rPr>
                <w:sz w:val="1"/>
                <w:szCs w:val="1"/>
                <w:color w:val="auto"/>
              </w:rPr>
            </w:pPr>
          </w:p>
        </w:tc>
      </w:tr>
      <w:tr>
        <w:trPr>
          <w:trHeight w:val="129"/>
        </w:trPr>
        <w:tc>
          <w:tcPr>
            <w:tcW w:w="1180" w:type="dxa"/>
            <w:vAlign w:val="bottom"/>
          </w:tcPr>
          <w:p>
            <w:pPr>
              <w:spacing w:after="0"/>
              <w:rPr>
                <w:sz w:val="11"/>
                <w:szCs w:val="11"/>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Class A Voting Units</w:t>
            </w:r>
          </w:p>
        </w:tc>
        <w:tc>
          <w:tcPr>
            <w:tcW w:w="3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jc w:val="right"/>
              <w:ind w:right="295"/>
              <w:spacing w:after="0"/>
              <w:rPr>
                <w:sz w:val="20"/>
                <w:szCs w:val="20"/>
                <w:color w:val="auto"/>
              </w:rPr>
            </w:pPr>
            <w:r>
              <w:rPr>
                <w:rFonts w:ascii="Times New Roman" w:cs="Times New Roman" w:eastAsia="Times New Roman" w:hAnsi="Times New Roman"/>
                <w:sz w:val="9"/>
                <w:szCs w:val="9"/>
                <w:b w:val="1"/>
                <w:bCs w:val="1"/>
                <w:color w:val="auto"/>
              </w:rPr>
              <w:t>Class B Voting Units</w:t>
            </w:r>
          </w:p>
        </w:tc>
        <w:tc>
          <w:tcPr>
            <w:tcW w:w="13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9"/>
                <w:szCs w:val="9"/>
                <w:b w:val="1"/>
                <w:bCs w:val="1"/>
                <w:color w:val="auto"/>
              </w:rPr>
              <w:t>Class B Warrant</w:t>
            </w:r>
          </w:p>
        </w:tc>
        <w:tc>
          <w:tcPr>
            <w:tcW w:w="1320" w:type="dxa"/>
            <w:vAlign w:val="bottom"/>
            <w:tcBorders>
              <w:bottom w:val="single" w:sz="8" w:color="auto"/>
            </w:tcBorders>
            <w:gridSpan w:val="3"/>
          </w:tcPr>
          <w:p>
            <w:pPr>
              <w:jc w:val="right"/>
              <w:ind w:right="255"/>
              <w:spacing w:after="0"/>
              <w:rPr>
                <w:sz w:val="20"/>
                <w:szCs w:val="20"/>
                <w:color w:val="auto"/>
              </w:rPr>
            </w:pPr>
            <w:r>
              <w:rPr>
                <w:rFonts w:ascii="Times New Roman" w:cs="Times New Roman" w:eastAsia="Times New Roman" w:hAnsi="Times New Roman"/>
                <w:sz w:val="9"/>
                <w:szCs w:val="9"/>
                <w:b w:val="1"/>
                <w:bCs w:val="1"/>
                <w:color w:val="auto"/>
              </w:rPr>
              <w:t>Class C Voting Units</w:t>
            </w: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9"/>
                <w:szCs w:val="9"/>
                <w:b w:val="1"/>
                <w:bCs w:val="1"/>
                <w:color w:val="auto"/>
              </w:rPr>
              <w:t>Deficit</w:t>
            </w: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9"/>
                <w:szCs w:val="9"/>
                <w:b w:val="1"/>
                <w:bCs w:val="1"/>
                <w:color w:val="auto"/>
                <w:w w:val="98"/>
              </w:rPr>
              <w:t>Income</w:t>
            </w: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9"/>
                <w:szCs w:val="9"/>
                <w:b w:val="1"/>
                <w:bCs w:val="1"/>
                <w:color w:val="auto"/>
                <w:w w:val="99"/>
              </w:rPr>
              <w:t>Equity</w:t>
            </w:r>
          </w:p>
        </w:tc>
        <w:tc>
          <w:tcPr>
            <w:tcW w:w="8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9"/>
                <w:szCs w:val="9"/>
                <w:b w:val="1"/>
                <w:bCs w:val="1"/>
                <w:color w:val="auto"/>
                <w:w w:val="96"/>
              </w:rPr>
              <w:t>Incentive Units</w:t>
            </w:r>
          </w:p>
        </w:tc>
        <w:tc>
          <w:tcPr>
            <w:tcW w:w="3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9"/>
                <w:szCs w:val="9"/>
                <w:b w:val="1"/>
                <w:bCs w:val="1"/>
                <w:color w:val="auto"/>
              </w:rPr>
              <w:t>Equity</w:t>
            </w:r>
          </w:p>
        </w:tc>
        <w:tc>
          <w:tcPr>
            <w:tcW w:w="0" w:type="dxa"/>
            <w:vAlign w:val="bottom"/>
          </w:tcPr>
          <w:p>
            <w:pPr>
              <w:spacing w:after="0"/>
              <w:rPr>
                <w:sz w:val="1"/>
                <w:szCs w:val="1"/>
                <w:color w:val="auto"/>
              </w:rPr>
            </w:pPr>
          </w:p>
        </w:tc>
      </w:tr>
      <w:tr>
        <w:trPr>
          <w:trHeight w:val="120"/>
        </w:trPr>
        <w:tc>
          <w:tcPr>
            <w:tcW w:w="1180" w:type="dxa"/>
            <w:vAlign w:val="bottom"/>
          </w:tcPr>
          <w:p>
            <w:pPr>
              <w:spacing w:after="0"/>
              <w:rPr>
                <w:sz w:val="10"/>
                <w:szCs w:val="10"/>
                <w:color w:val="auto"/>
              </w:rPr>
            </w:pPr>
          </w:p>
        </w:tc>
        <w:tc>
          <w:tcPr>
            <w:tcW w:w="760" w:type="dxa"/>
            <w:vAlign w:val="bottom"/>
          </w:tcPr>
          <w:p>
            <w:pPr>
              <w:jc w:val="right"/>
              <w:ind w:right="255"/>
              <w:spacing w:after="0"/>
              <w:rPr>
                <w:sz w:val="20"/>
                <w:szCs w:val="20"/>
                <w:color w:val="auto"/>
              </w:rPr>
            </w:pPr>
            <w:r>
              <w:rPr>
                <w:rFonts w:ascii="Times New Roman" w:cs="Times New Roman" w:eastAsia="Times New Roman" w:hAnsi="Times New Roman"/>
                <w:sz w:val="9"/>
                <w:szCs w:val="9"/>
                <w:b w:val="1"/>
                <w:bCs w:val="1"/>
                <w:color w:val="auto"/>
              </w:rPr>
              <w:t>Units</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9"/>
                <w:szCs w:val="9"/>
                <w:b w:val="1"/>
                <w:bCs w:val="1"/>
                <w:color w:val="auto"/>
              </w:rPr>
              <w:t>$</w:t>
            </w:r>
          </w:p>
        </w:tc>
        <w:tc>
          <w:tcPr>
            <w:tcW w:w="380" w:type="dxa"/>
            <w:vAlign w:val="bottom"/>
          </w:tcPr>
          <w:p>
            <w:pPr>
              <w:spacing w:after="0"/>
              <w:rPr>
                <w:sz w:val="10"/>
                <w:szCs w:val="10"/>
                <w:color w:val="auto"/>
              </w:rPr>
            </w:pPr>
          </w:p>
        </w:tc>
        <w:tc>
          <w:tcPr>
            <w:tcW w:w="680" w:type="dxa"/>
            <w:vAlign w:val="bottom"/>
          </w:tcPr>
          <w:p>
            <w:pPr>
              <w:jc w:val="right"/>
              <w:ind w:right="215"/>
              <w:spacing w:after="0"/>
              <w:rPr>
                <w:sz w:val="20"/>
                <w:szCs w:val="20"/>
                <w:color w:val="auto"/>
              </w:rPr>
            </w:pPr>
            <w:r>
              <w:rPr>
                <w:rFonts w:ascii="Times New Roman" w:cs="Times New Roman" w:eastAsia="Times New Roman" w:hAnsi="Times New Roman"/>
                <w:sz w:val="9"/>
                <w:szCs w:val="9"/>
                <w:b w:val="1"/>
                <w:bCs w:val="1"/>
                <w:color w:val="auto"/>
              </w:rPr>
              <w:t>Units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9"/>
                <w:szCs w:val="9"/>
                <w:b w:val="1"/>
                <w:bCs w:val="1"/>
                <w:color w:val="auto"/>
              </w:rPr>
              <w:t>$</w:t>
            </w:r>
          </w:p>
        </w:tc>
        <w:tc>
          <w:tcPr>
            <w:tcW w:w="480" w:type="dxa"/>
            <w:vAlign w:val="bottom"/>
          </w:tcPr>
          <w:p>
            <w:pPr>
              <w:spacing w:after="0"/>
              <w:rPr>
                <w:sz w:val="10"/>
                <w:szCs w:val="10"/>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9"/>
                <w:szCs w:val="9"/>
                <w:b w:val="1"/>
                <w:bCs w:val="1"/>
                <w:color w:val="auto"/>
              </w:rPr>
              <w:t>Warrants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9"/>
                <w:szCs w:val="9"/>
                <w:b w:val="1"/>
                <w:bCs w:val="1"/>
                <w:color w:val="auto"/>
              </w:rPr>
              <w:t>$</w:t>
            </w:r>
          </w:p>
        </w:tc>
        <w:tc>
          <w:tcPr>
            <w:tcW w:w="520" w:type="dxa"/>
            <w:vAlign w:val="bottom"/>
          </w:tcPr>
          <w:p>
            <w:pPr>
              <w:spacing w:after="0"/>
              <w:rPr>
                <w:sz w:val="10"/>
                <w:szCs w:val="10"/>
                <w:color w:val="auto"/>
              </w:rPr>
            </w:pPr>
          </w:p>
        </w:tc>
        <w:tc>
          <w:tcPr>
            <w:tcW w:w="680" w:type="dxa"/>
            <w:vAlign w:val="bottom"/>
          </w:tcPr>
          <w:p>
            <w:pPr>
              <w:jc w:val="right"/>
              <w:ind w:right="235"/>
              <w:spacing w:after="0"/>
              <w:rPr>
                <w:sz w:val="20"/>
                <w:szCs w:val="20"/>
                <w:color w:val="auto"/>
              </w:rPr>
            </w:pPr>
            <w:r>
              <w:rPr>
                <w:rFonts w:ascii="Times New Roman" w:cs="Times New Roman" w:eastAsia="Times New Roman" w:hAnsi="Times New Roman"/>
                <w:sz w:val="9"/>
                <w:szCs w:val="9"/>
                <w:b w:val="1"/>
                <w:bCs w:val="1"/>
                <w:color w:val="auto"/>
              </w:rPr>
              <w:t>Units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9"/>
                <w:szCs w:val="9"/>
                <w:b w:val="1"/>
                <w:bCs w:val="1"/>
                <w:color w:val="auto"/>
              </w:rPr>
              <w:t>$</w:t>
            </w: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ind w:left="140"/>
              <w:spacing w:after="0"/>
              <w:rPr>
                <w:sz w:val="20"/>
                <w:szCs w:val="20"/>
                <w:color w:val="auto"/>
              </w:rPr>
            </w:pPr>
            <w:r>
              <w:rPr>
                <w:rFonts w:ascii="Times New Roman" w:cs="Times New Roman" w:eastAsia="Times New Roman" w:hAnsi="Times New Roman"/>
                <w:sz w:val="9"/>
                <w:szCs w:val="9"/>
                <w:b w:val="1"/>
                <w:bCs w:val="1"/>
                <w:color w:val="auto"/>
              </w:rPr>
              <w:t>Units</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9"/>
                <w:szCs w:val="9"/>
                <w:b w:val="1"/>
                <w:bCs w:val="1"/>
                <w:color w:val="auto"/>
              </w:rPr>
              <w:t>$</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11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180" w:type="dxa"/>
            <w:vAlign w:val="bottom"/>
            <w:shd w:val="clear" w:color="auto" w:fill="CCEEFF"/>
          </w:tcPr>
          <w:p>
            <w:pPr>
              <w:ind w:left="120"/>
              <w:spacing w:after="0" w:line="79" w:lineRule="exact"/>
              <w:rPr>
                <w:sz w:val="20"/>
                <w:szCs w:val="20"/>
                <w:color w:val="auto"/>
              </w:rPr>
            </w:pPr>
            <w:r>
              <w:rPr>
                <w:rFonts w:ascii="Times New Roman" w:cs="Times New Roman" w:eastAsia="Times New Roman" w:hAnsi="Times New Roman"/>
                <w:sz w:val="9"/>
                <w:szCs w:val="9"/>
                <w:color w:val="auto"/>
              </w:rPr>
              <w:t>Balance as of December 31,</w:t>
            </w:r>
          </w:p>
        </w:tc>
        <w:tc>
          <w:tcPr>
            <w:tcW w:w="76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400,000,000</w:t>
            </w:r>
          </w:p>
        </w:tc>
        <w:tc>
          <w:tcPr>
            <w:tcW w:w="320" w:type="dxa"/>
            <w:vAlign w:val="bottom"/>
            <w:vMerge w:val="restart"/>
            <w:shd w:val="clear" w:color="auto" w:fill="CCEEFF"/>
          </w:tcPr>
          <w:p>
            <w:pPr>
              <w:jc w:val="right"/>
              <w:ind w:right="155"/>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9"/>
                <w:szCs w:val="9"/>
                <w:color w:val="auto"/>
                <w:w w:val="98"/>
              </w:rPr>
              <w:t>2,613</w:t>
            </w:r>
          </w:p>
        </w:tc>
        <w:tc>
          <w:tcPr>
            <w:tcW w:w="68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182,500,000</w:t>
            </w:r>
          </w:p>
        </w:tc>
        <w:tc>
          <w:tcPr>
            <w:tcW w:w="20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vMerge w:val="restart"/>
            <w:shd w:val="clear" w:color="auto" w:fill="CCEEFF"/>
          </w:tcPr>
          <w:p>
            <w:pPr>
              <w:jc w:val="right"/>
              <w:ind w:right="75"/>
              <w:spacing w:after="0"/>
              <w:rPr>
                <w:sz w:val="20"/>
                <w:szCs w:val="20"/>
                <w:color w:val="auto"/>
              </w:rPr>
            </w:pPr>
            <w:r>
              <w:rPr>
                <w:rFonts w:ascii="Times New Roman" w:cs="Times New Roman" w:eastAsia="Times New Roman" w:hAnsi="Times New Roman"/>
                <w:sz w:val="9"/>
                <w:szCs w:val="9"/>
                <w:color w:val="auto"/>
              </w:rPr>
              <w:t>182,500</w:t>
            </w:r>
          </w:p>
        </w:tc>
        <w:tc>
          <w:tcPr>
            <w:tcW w:w="62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vMerge w:val="restart"/>
            <w:shd w:val="clear" w:color="auto" w:fill="CCEEFF"/>
          </w:tcPr>
          <w:p>
            <w:pPr>
              <w:jc w:val="right"/>
              <w:ind w:right="135"/>
              <w:spacing w:after="0"/>
              <w:rPr>
                <w:sz w:val="20"/>
                <w:szCs w:val="20"/>
                <w:color w:val="auto"/>
              </w:rPr>
            </w:pPr>
            <w:r>
              <w:rPr>
                <w:rFonts w:ascii="Times New Roman" w:cs="Times New Roman" w:eastAsia="Times New Roman" w:hAnsi="Times New Roman"/>
                <w:sz w:val="9"/>
                <w:szCs w:val="9"/>
                <w:color w:val="auto"/>
              </w:rPr>
              <w:t>5,426</w:t>
            </w:r>
          </w:p>
        </w:tc>
        <w:tc>
          <w:tcPr>
            <w:tcW w:w="68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270,270,270</w:t>
            </w:r>
          </w:p>
        </w:tc>
        <w:tc>
          <w:tcPr>
            <w:tcW w:w="20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310,104</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(112,504)</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6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9"/>
                <w:szCs w:val="9"/>
                <w:color w:val="auto"/>
              </w:rPr>
              <w:t>191</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9"/>
                <w:szCs w:val="9"/>
                <w:color w:val="auto"/>
              </w:rPr>
              <w:t>388,330</w:t>
            </w:r>
          </w:p>
        </w:tc>
        <w:tc>
          <w:tcPr>
            <w:tcW w:w="54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vMerge w:val="restart"/>
            <w:shd w:val="clear" w:color="auto" w:fill="CCEEFF"/>
          </w:tcPr>
          <w:p>
            <w:pPr>
              <w:jc w:val="right"/>
              <w:ind w:right="135"/>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w w:val="96"/>
              </w:rPr>
              <w:t>21,452</w:t>
            </w:r>
          </w:p>
        </w:tc>
        <w:tc>
          <w:tcPr>
            <w:tcW w:w="2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21,452</w:t>
            </w:r>
          </w:p>
        </w:tc>
        <w:tc>
          <w:tcPr>
            <w:tcW w:w="0" w:type="dxa"/>
            <w:vAlign w:val="bottom"/>
          </w:tcPr>
          <w:p>
            <w:pPr>
              <w:spacing w:after="0"/>
              <w:rPr>
                <w:sz w:val="1"/>
                <w:szCs w:val="1"/>
                <w:color w:val="auto"/>
              </w:rPr>
            </w:pPr>
          </w:p>
        </w:tc>
      </w:tr>
      <w:tr>
        <w:trPr>
          <w:trHeight w:val="131"/>
        </w:trPr>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color w:val="auto"/>
              </w:rPr>
              <w:t>2020</w:t>
            </w:r>
          </w:p>
        </w:tc>
        <w:tc>
          <w:tcPr>
            <w:tcW w:w="760" w:type="dxa"/>
            <w:vAlign w:val="bottom"/>
            <w:vMerge w:val="continue"/>
            <w:shd w:val="clear" w:color="auto" w:fill="CCEEFF"/>
          </w:tcPr>
          <w:p>
            <w:pPr>
              <w:spacing w:after="0"/>
              <w:rPr>
                <w:sz w:val="11"/>
                <w:szCs w:val="11"/>
                <w:color w:val="auto"/>
              </w:rPr>
            </w:pPr>
          </w:p>
        </w:tc>
        <w:tc>
          <w:tcPr>
            <w:tcW w:w="320" w:type="dxa"/>
            <w:vAlign w:val="bottom"/>
            <w:vMerge w:val="continue"/>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320" w:type="dxa"/>
            <w:vAlign w:val="bottom"/>
            <w:vMerge w:val="continue"/>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180" w:type="dxa"/>
            <w:vAlign w:val="bottom"/>
          </w:tcPr>
          <w:p>
            <w:pPr>
              <w:ind w:left="120"/>
              <w:spacing w:after="0" w:line="99" w:lineRule="exact"/>
              <w:rPr>
                <w:sz w:val="20"/>
                <w:szCs w:val="20"/>
                <w:color w:val="auto"/>
              </w:rPr>
            </w:pPr>
            <w:r>
              <w:rPr>
                <w:rFonts w:ascii="Times New Roman" w:cs="Times New Roman" w:eastAsia="Times New Roman" w:hAnsi="Times New Roman"/>
                <w:sz w:val="9"/>
                <w:szCs w:val="9"/>
                <w:color w:val="auto"/>
              </w:rPr>
              <w:t>Issuance of Class A voting</w:t>
            </w:r>
          </w:p>
        </w:tc>
        <w:tc>
          <w:tcPr>
            <w:tcW w:w="760" w:type="dxa"/>
            <w:vAlign w:val="bottom"/>
            <w:vMerge w:val="restart"/>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spacing w:after="0"/>
              <w:rPr>
                <w:sz w:val="8"/>
                <w:szCs w:val="8"/>
                <w:color w:val="auto"/>
              </w:rPr>
            </w:pPr>
          </w:p>
        </w:tc>
        <w:tc>
          <w:tcPr>
            <w:tcW w:w="380" w:type="dxa"/>
            <w:vAlign w:val="bottom"/>
            <w:vMerge w:val="restart"/>
          </w:tcPr>
          <w:p>
            <w:pPr>
              <w:jc w:val="right"/>
              <w:ind w:right="115"/>
              <w:spacing w:after="0"/>
              <w:rPr>
                <w:sz w:val="20"/>
                <w:szCs w:val="20"/>
                <w:color w:val="auto"/>
              </w:rPr>
            </w:pPr>
            <w:r>
              <w:rPr>
                <w:rFonts w:ascii="Times New Roman" w:cs="Times New Roman" w:eastAsia="Times New Roman" w:hAnsi="Times New Roman"/>
                <w:sz w:val="9"/>
                <w:szCs w:val="9"/>
                <w:color w:val="auto"/>
              </w:rPr>
              <w:t>110</w:t>
            </w:r>
          </w:p>
        </w:tc>
        <w:tc>
          <w:tcPr>
            <w:tcW w:w="680" w:type="dxa"/>
            <w:vAlign w:val="bottom"/>
            <w:vMerge w:val="restart"/>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480" w:type="dxa"/>
            <w:vAlign w:val="bottom"/>
            <w:vMerge w:val="restart"/>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vMerge w:val="restart"/>
          </w:tcPr>
          <w:p>
            <w:pPr>
              <w:ind w:left="440"/>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520" w:type="dxa"/>
            <w:vAlign w:val="bottom"/>
            <w:vMerge w:val="restart"/>
          </w:tcPr>
          <w:p>
            <w:pPr>
              <w:jc w:val="right"/>
              <w:ind w:right="135"/>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vMerge w:val="restart"/>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440" w:type="dxa"/>
            <w:vAlign w:val="bottom"/>
            <w:vMerge w:val="restart"/>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8"/>
                <w:szCs w:val="8"/>
                <w:color w:val="auto"/>
              </w:rPr>
            </w:pPr>
          </w:p>
        </w:tc>
        <w:tc>
          <w:tcPr>
            <w:tcW w:w="740" w:type="dxa"/>
            <w:vAlign w:val="bottom"/>
            <w:vMerge w:val="restart"/>
          </w:tcPr>
          <w:p>
            <w:pPr>
              <w:jc w:val="right"/>
              <w:ind w:right="5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760" w:type="dxa"/>
            <w:vAlign w:val="bottom"/>
            <w:vMerge w:val="restart"/>
          </w:tcPr>
          <w:p>
            <w:pPr>
              <w:jc w:val="right"/>
              <w:ind w:right="5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620" w:type="dxa"/>
            <w:vAlign w:val="bottom"/>
            <w:vMerge w:val="restart"/>
          </w:tcPr>
          <w:p>
            <w:pPr>
              <w:jc w:val="right"/>
              <w:ind w:right="115"/>
              <w:spacing w:after="0"/>
              <w:rPr>
                <w:sz w:val="20"/>
                <w:szCs w:val="20"/>
                <w:color w:val="auto"/>
              </w:rPr>
            </w:pPr>
            <w:r>
              <w:rPr>
                <w:rFonts w:ascii="Times New Roman" w:cs="Times New Roman" w:eastAsia="Times New Roman" w:hAnsi="Times New Roman"/>
                <w:sz w:val="9"/>
                <w:szCs w:val="9"/>
                <w:color w:val="auto"/>
              </w:rPr>
              <w:t>110</w:t>
            </w: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spacing w:after="0"/>
              <w:rPr>
                <w:sz w:val="8"/>
                <w:szCs w:val="8"/>
                <w:color w:val="auto"/>
              </w:rPr>
            </w:pPr>
          </w:p>
        </w:tc>
        <w:tc>
          <w:tcPr>
            <w:tcW w:w="340" w:type="dxa"/>
            <w:vAlign w:val="bottom"/>
            <w:vMerge w:val="restart"/>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3"/>
        </w:trPr>
        <w:tc>
          <w:tcPr>
            <w:tcW w:w="1180" w:type="dxa"/>
            <w:vAlign w:val="bottom"/>
          </w:tcPr>
          <w:p>
            <w:pPr>
              <w:ind w:left="120"/>
              <w:spacing w:after="0"/>
              <w:rPr>
                <w:sz w:val="20"/>
                <w:szCs w:val="20"/>
                <w:color w:val="auto"/>
              </w:rPr>
            </w:pPr>
            <w:r>
              <w:rPr>
                <w:rFonts w:ascii="Times New Roman" w:cs="Times New Roman" w:eastAsia="Times New Roman" w:hAnsi="Times New Roman"/>
                <w:sz w:val="9"/>
                <w:szCs w:val="9"/>
                <w:color w:val="auto"/>
              </w:rPr>
              <w:t>units (Note 9)</w:t>
            </w:r>
          </w:p>
        </w:tc>
        <w:tc>
          <w:tcPr>
            <w:tcW w:w="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color w:val="auto"/>
              </w:rPr>
              <w:t>Unit-based incentive</w:t>
            </w:r>
          </w:p>
        </w:tc>
        <w:tc>
          <w:tcPr>
            <w:tcW w:w="76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135"/>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870</w:t>
            </w:r>
          </w:p>
        </w:tc>
        <w:tc>
          <w:tcPr>
            <w:tcW w:w="20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870</w:t>
            </w:r>
          </w:p>
        </w:tc>
        <w:tc>
          <w:tcPr>
            <w:tcW w:w="0" w:type="dxa"/>
            <w:vAlign w:val="bottom"/>
          </w:tcPr>
          <w:p>
            <w:pPr>
              <w:spacing w:after="0"/>
              <w:rPr>
                <w:sz w:val="1"/>
                <w:szCs w:val="1"/>
                <w:color w:val="auto"/>
              </w:rPr>
            </w:pPr>
          </w:p>
        </w:tc>
      </w:tr>
      <w:tr>
        <w:trPr>
          <w:trHeight w:val="131"/>
        </w:trPr>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color w:val="auto"/>
              </w:rPr>
              <w:t>compensation (Note 10)</w:t>
            </w:r>
          </w:p>
        </w:tc>
        <w:tc>
          <w:tcPr>
            <w:tcW w:w="760" w:type="dxa"/>
            <w:vAlign w:val="bottom"/>
            <w:vMerge w:val="continue"/>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180" w:type="dxa"/>
            <w:vAlign w:val="bottom"/>
          </w:tcPr>
          <w:p>
            <w:pPr>
              <w:ind w:left="120"/>
              <w:spacing w:after="0" w:line="99" w:lineRule="exact"/>
              <w:rPr>
                <w:sz w:val="20"/>
                <w:szCs w:val="20"/>
                <w:color w:val="auto"/>
              </w:rPr>
            </w:pPr>
            <w:r>
              <w:rPr>
                <w:rFonts w:ascii="Times New Roman" w:cs="Times New Roman" w:eastAsia="Times New Roman" w:hAnsi="Times New Roman"/>
                <w:sz w:val="9"/>
                <w:szCs w:val="9"/>
                <w:color w:val="auto"/>
              </w:rPr>
              <w:t>Currency translation</w:t>
            </w:r>
          </w:p>
        </w:tc>
        <w:tc>
          <w:tcPr>
            <w:tcW w:w="760" w:type="dxa"/>
            <w:vAlign w:val="bottom"/>
            <w:vMerge w:val="restart"/>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spacing w:after="0"/>
              <w:rPr>
                <w:sz w:val="8"/>
                <w:szCs w:val="8"/>
                <w:color w:val="auto"/>
              </w:rPr>
            </w:pPr>
          </w:p>
        </w:tc>
        <w:tc>
          <w:tcPr>
            <w:tcW w:w="380" w:type="dxa"/>
            <w:vAlign w:val="bottom"/>
            <w:vMerge w:val="restart"/>
          </w:tcPr>
          <w:p>
            <w:pPr>
              <w:jc w:val="right"/>
              <w:ind w:right="115"/>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vMerge w:val="restart"/>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480" w:type="dxa"/>
            <w:vAlign w:val="bottom"/>
            <w:vMerge w:val="restart"/>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vMerge w:val="restart"/>
          </w:tcPr>
          <w:p>
            <w:pPr>
              <w:ind w:left="440"/>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520" w:type="dxa"/>
            <w:vAlign w:val="bottom"/>
            <w:vMerge w:val="restart"/>
          </w:tcPr>
          <w:p>
            <w:pPr>
              <w:jc w:val="right"/>
              <w:ind w:right="135"/>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vMerge w:val="restart"/>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440" w:type="dxa"/>
            <w:vAlign w:val="bottom"/>
            <w:vMerge w:val="restart"/>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8"/>
                <w:szCs w:val="8"/>
                <w:color w:val="auto"/>
              </w:rPr>
            </w:pPr>
          </w:p>
        </w:tc>
        <w:tc>
          <w:tcPr>
            <w:tcW w:w="740" w:type="dxa"/>
            <w:vAlign w:val="bottom"/>
            <w:vMerge w:val="restart"/>
          </w:tcPr>
          <w:p>
            <w:pPr>
              <w:jc w:val="right"/>
              <w:ind w:right="5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760" w:type="dxa"/>
            <w:vAlign w:val="bottom"/>
            <w:vMerge w:val="restart"/>
          </w:tcPr>
          <w:p>
            <w:pPr>
              <w:jc w:val="right"/>
              <w:ind w:right="55"/>
              <w:spacing w:after="0"/>
              <w:rPr>
                <w:sz w:val="20"/>
                <w:szCs w:val="20"/>
                <w:color w:val="auto"/>
              </w:rPr>
            </w:pPr>
            <w:r>
              <w:rPr>
                <w:rFonts w:ascii="Times New Roman" w:cs="Times New Roman" w:eastAsia="Times New Roman" w:hAnsi="Times New Roman"/>
                <w:sz w:val="9"/>
                <w:szCs w:val="9"/>
                <w:color w:val="auto"/>
              </w:rPr>
              <w:t>79</w:t>
            </w:r>
          </w:p>
        </w:tc>
        <w:tc>
          <w:tcPr>
            <w:tcW w:w="120" w:type="dxa"/>
            <w:vAlign w:val="bottom"/>
          </w:tcPr>
          <w:p>
            <w:pPr>
              <w:spacing w:after="0"/>
              <w:rPr>
                <w:sz w:val="8"/>
                <w:szCs w:val="8"/>
                <w:color w:val="auto"/>
              </w:rPr>
            </w:pPr>
          </w:p>
        </w:tc>
        <w:tc>
          <w:tcPr>
            <w:tcW w:w="620" w:type="dxa"/>
            <w:vAlign w:val="bottom"/>
            <w:vMerge w:val="restart"/>
          </w:tcPr>
          <w:p>
            <w:pPr>
              <w:jc w:val="right"/>
              <w:ind w:right="115"/>
              <w:spacing w:after="0"/>
              <w:rPr>
                <w:sz w:val="20"/>
                <w:szCs w:val="20"/>
                <w:color w:val="auto"/>
              </w:rPr>
            </w:pPr>
            <w:r>
              <w:rPr>
                <w:rFonts w:ascii="Times New Roman" w:cs="Times New Roman" w:eastAsia="Times New Roman" w:hAnsi="Times New Roman"/>
                <w:sz w:val="9"/>
                <w:szCs w:val="9"/>
                <w:color w:val="auto"/>
              </w:rPr>
              <w:t>79</w:t>
            </w: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spacing w:after="0"/>
              <w:rPr>
                <w:sz w:val="8"/>
                <w:szCs w:val="8"/>
                <w:color w:val="auto"/>
              </w:rPr>
            </w:pPr>
          </w:p>
        </w:tc>
        <w:tc>
          <w:tcPr>
            <w:tcW w:w="340" w:type="dxa"/>
            <w:vAlign w:val="bottom"/>
            <w:vMerge w:val="restart"/>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3"/>
        </w:trPr>
        <w:tc>
          <w:tcPr>
            <w:tcW w:w="1180" w:type="dxa"/>
            <w:vAlign w:val="bottom"/>
          </w:tcPr>
          <w:p>
            <w:pPr>
              <w:ind w:left="120"/>
              <w:spacing w:after="0"/>
              <w:rPr>
                <w:sz w:val="20"/>
                <w:szCs w:val="20"/>
                <w:color w:val="auto"/>
              </w:rPr>
            </w:pPr>
            <w:r>
              <w:rPr>
                <w:rFonts w:ascii="Times New Roman" w:cs="Times New Roman" w:eastAsia="Times New Roman" w:hAnsi="Times New Roman"/>
                <w:sz w:val="9"/>
                <w:szCs w:val="9"/>
                <w:color w:val="auto"/>
              </w:rPr>
              <w:t>adjustment, net of tax</w:t>
            </w:r>
          </w:p>
        </w:tc>
        <w:tc>
          <w:tcPr>
            <w:tcW w:w="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9"/>
                <w:szCs w:val="9"/>
                <w:color w:val="auto"/>
              </w:rPr>
              <w:t>Net loss</w:t>
            </w: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(28,820)</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9"/>
                <w:szCs w:val="9"/>
                <w:color w:val="auto"/>
              </w:rPr>
              <w:t>(28,820)</w:t>
            </w:r>
          </w:p>
        </w:tc>
        <w:tc>
          <w:tcPr>
            <w:tcW w:w="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79"/>
        </w:trPr>
        <w:tc>
          <w:tcPr>
            <w:tcW w:w="1180" w:type="dxa"/>
            <w:vAlign w:val="bottom"/>
          </w:tcPr>
          <w:p>
            <w:pPr>
              <w:ind w:left="120"/>
              <w:spacing w:after="0" w:line="79" w:lineRule="exact"/>
              <w:rPr>
                <w:sz w:val="20"/>
                <w:szCs w:val="20"/>
                <w:color w:val="auto"/>
              </w:rPr>
            </w:pPr>
            <w:r>
              <w:rPr>
                <w:rFonts w:ascii="Times New Roman" w:cs="Times New Roman" w:eastAsia="Times New Roman" w:hAnsi="Times New Roman"/>
                <w:sz w:val="9"/>
                <w:szCs w:val="9"/>
                <w:color w:val="auto"/>
              </w:rPr>
              <w:t>Balance as of March 31,</w:t>
            </w:r>
          </w:p>
        </w:tc>
        <w:tc>
          <w:tcPr>
            <w:tcW w:w="760" w:type="dxa"/>
            <w:vAlign w:val="bottom"/>
            <w:tcBorders>
              <w:top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9"/>
                <w:szCs w:val="9"/>
                <w:color w:val="auto"/>
              </w:rPr>
              <w:t>400,000,000</w:t>
            </w:r>
          </w:p>
        </w:tc>
        <w:tc>
          <w:tcPr>
            <w:tcW w:w="320" w:type="dxa"/>
            <w:vAlign w:val="bottom"/>
            <w:tcBorders>
              <w:top w:val="single" w:sz="8" w:color="auto"/>
            </w:tcBorders>
            <w:vMerge w:val="restart"/>
          </w:tcPr>
          <w:p>
            <w:pPr>
              <w:jc w:val="right"/>
              <w:ind w:right="155"/>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Borders>
              <w:top w:val="single" w:sz="8" w:color="auto"/>
            </w:tcBorders>
            <w:vMerge w:val="restart"/>
          </w:tcPr>
          <w:p>
            <w:pPr>
              <w:jc w:val="right"/>
              <w:ind w:right="115"/>
              <w:spacing w:after="0"/>
              <w:rPr>
                <w:sz w:val="20"/>
                <w:szCs w:val="20"/>
                <w:color w:val="auto"/>
              </w:rPr>
            </w:pPr>
            <w:r>
              <w:rPr>
                <w:rFonts w:ascii="Times New Roman" w:cs="Times New Roman" w:eastAsia="Times New Roman" w:hAnsi="Times New Roman"/>
                <w:sz w:val="9"/>
                <w:szCs w:val="9"/>
                <w:color w:val="auto"/>
                <w:w w:val="98"/>
              </w:rPr>
              <w:t>2,723</w:t>
            </w:r>
          </w:p>
        </w:tc>
        <w:tc>
          <w:tcPr>
            <w:tcW w:w="680" w:type="dxa"/>
            <w:vAlign w:val="bottom"/>
            <w:tcBorders>
              <w:top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9"/>
                <w:szCs w:val="9"/>
                <w:color w:val="auto"/>
              </w:rPr>
              <w:t>182,500,000</w:t>
            </w:r>
          </w:p>
        </w:tc>
        <w:tc>
          <w:tcPr>
            <w:tcW w:w="200" w:type="dxa"/>
            <w:vAlign w:val="bottom"/>
            <w:tcBorders>
              <w:top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Borders>
              <w:top w:val="single" w:sz="8" w:color="auto"/>
            </w:tcBorders>
            <w:vMerge w:val="restart"/>
          </w:tcPr>
          <w:p>
            <w:pPr>
              <w:jc w:val="right"/>
              <w:ind w:right="75"/>
              <w:spacing w:after="0"/>
              <w:rPr>
                <w:sz w:val="20"/>
                <w:szCs w:val="20"/>
                <w:color w:val="auto"/>
              </w:rPr>
            </w:pPr>
            <w:r>
              <w:rPr>
                <w:rFonts w:ascii="Times New Roman" w:cs="Times New Roman" w:eastAsia="Times New Roman" w:hAnsi="Times New Roman"/>
                <w:sz w:val="9"/>
                <w:szCs w:val="9"/>
                <w:color w:val="auto"/>
              </w:rPr>
              <w:t>182,500</w:t>
            </w:r>
          </w:p>
        </w:tc>
        <w:tc>
          <w:tcPr>
            <w:tcW w:w="620" w:type="dxa"/>
            <w:vAlign w:val="bottom"/>
            <w:tcBorders>
              <w:top w:val="single" w:sz="8" w:color="auto"/>
            </w:tcBorders>
            <w:vMerge w:val="restart"/>
          </w:tcPr>
          <w:p>
            <w:pPr>
              <w:ind w:left="440"/>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Borders>
              <w:top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Borders>
              <w:top w:val="single" w:sz="8" w:color="auto"/>
            </w:tcBorders>
            <w:vMerge w:val="restart"/>
          </w:tcPr>
          <w:p>
            <w:pPr>
              <w:jc w:val="right"/>
              <w:ind w:right="135"/>
              <w:spacing w:after="0"/>
              <w:rPr>
                <w:sz w:val="20"/>
                <w:szCs w:val="20"/>
                <w:color w:val="auto"/>
              </w:rPr>
            </w:pPr>
            <w:r>
              <w:rPr>
                <w:rFonts w:ascii="Times New Roman" w:cs="Times New Roman" w:eastAsia="Times New Roman" w:hAnsi="Times New Roman"/>
                <w:sz w:val="9"/>
                <w:szCs w:val="9"/>
                <w:color w:val="auto"/>
              </w:rPr>
              <w:t>5,426</w:t>
            </w:r>
          </w:p>
        </w:tc>
        <w:tc>
          <w:tcPr>
            <w:tcW w:w="680" w:type="dxa"/>
            <w:vAlign w:val="bottom"/>
            <w:tcBorders>
              <w:top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9"/>
                <w:szCs w:val="9"/>
                <w:color w:val="auto"/>
              </w:rPr>
              <w:t>270,270,270</w:t>
            </w:r>
          </w:p>
        </w:tc>
        <w:tc>
          <w:tcPr>
            <w:tcW w:w="200" w:type="dxa"/>
            <w:vAlign w:val="bottom"/>
            <w:tcBorders>
              <w:top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Borders>
              <w:top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9"/>
                <w:szCs w:val="9"/>
                <w:color w:val="auto"/>
              </w:rPr>
              <w:t>310,104</w:t>
            </w: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tcBorders>
              <w:top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9"/>
                <w:szCs w:val="9"/>
                <w:color w:val="auto"/>
              </w:rPr>
              <w:t>(141,324)</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60" w:type="dxa"/>
            <w:vAlign w:val="bottom"/>
            <w:tcBorders>
              <w:top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9"/>
                <w:szCs w:val="9"/>
                <w:color w:val="auto"/>
              </w:rPr>
              <w:t>270</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Borders>
              <w:top w:val="single" w:sz="8" w:color="auto"/>
            </w:tcBorders>
            <w:vMerge w:val="restart"/>
          </w:tcPr>
          <w:p>
            <w:pPr>
              <w:jc w:val="right"/>
              <w:ind w:right="115"/>
              <w:spacing w:after="0"/>
              <w:rPr>
                <w:sz w:val="20"/>
                <w:szCs w:val="20"/>
                <w:color w:val="auto"/>
              </w:rPr>
            </w:pPr>
            <w:r>
              <w:rPr>
                <w:rFonts w:ascii="Times New Roman" w:cs="Times New Roman" w:eastAsia="Times New Roman" w:hAnsi="Times New Roman"/>
                <w:sz w:val="9"/>
                <w:szCs w:val="9"/>
                <w:color w:val="auto"/>
              </w:rPr>
              <w:t>359,699</w:t>
            </w:r>
          </w:p>
        </w:tc>
        <w:tc>
          <w:tcPr>
            <w:tcW w:w="540" w:type="dxa"/>
            <w:vAlign w:val="bottom"/>
            <w:tcBorders>
              <w:top w:val="single" w:sz="8" w:color="auto"/>
            </w:tcBorders>
            <w:vMerge w:val="restart"/>
          </w:tcPr>
          <w:p>
            <w:pPr>
              <w:ind w:left="38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Borders>
              <w:top w:val="single" w:sz="8" w:color="auto"/>
            </w:tcBorders>
            <w:vMerge w:val="restart"/>
          </w:tcPr>
          <w:p>
            <w:pPr>
              <w:jc w:val="right"/>
              <w:ind w:right="135"/>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Borders>
              <w:top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9"/>
                <w:szCs w:val="9"/>
                <w:color w:val="auto"/>
                <w:w w:val="96"/>
              </w:rPr>
              <w:t>22,322</w:t>
            </w:r>
          </w:p>
        </w:tc>
        <w:tc>
          <w:tcPr>
            <w:tcW w:w="200" w:type="dxa"/>
            <w:vAlign w:val="bottom"/>
            <w:tcBorders>
              <w:top w:val="single" w:sz="8" w:color="auto"/>
            </w:tcBorders>
            <w:vMerge w:val="restart"/>
          </w:tcPr>
          <w:p>
            <w:pPr>
              <w:ind w:left="8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9"/>
                <w:szCs w:val="9"/>
                <w:color w:val="auto"/>
              </w:rPr>
              <w:t>22,322</w:t>
            </w:r>
          </w:p>
        </w:tc>
        <w:tc>
          <w:tcPr>
            <w:tcW w:w="0" w:type="dxa"/>
            <w:vAlign w:val="bottom"/>
          </w:tcPr>
          <w:p>
            <w:pPr>
              <w:spacing w:after="0"/>
              <w:rPr>
                <w:sz w:val="1"/>
                <w:szCs w:val="1"/>
                <w:color w:val="auto"/>
              </w:rPr>
            </w:pPr>
          </w:p>
        </w:tc>
      </w:tr>
      <w:tr>
        <w:trPr>
          <w:trHeight w:val="76"/>
        </w:trPr>
        <w:tc>
          <w:tcPr>
            <w:tcW w:w="1180" w:type="dxa"/>
            <w:vAlign w:val="bottom"/>
            <w:vMerge w:val="restart"/>
          </w:tcPr>
          <w:p>
            <w:pPr>
              <w:ind w:left="120"/>
              <w:spacing w:after="0"/>
              <w:rPr>
                <w:sz w:val="20"/>
                <w:szCs w:val="20"/>
                <w:color w:val="auto"/>
              </w:rPr>
            </w:pPr>
            <w:r>
              <w:rPr>
                <w:rFonts w:ascii="Times New Roman" w:cs="Times New Roman" w:eastAsia="Times New Roman" w:hAnsi="Times New Roman"/>
                <w:sz w:val="9"/>
                <w:szCs w:val="9"/>
                <w:color w:val="auto"/>
              </w:rPr>
              <w:t>2021</w:t>
            </w:r>
          </w:p>
        </w:tc>
        <w:tc>
          <w:tcPr>
            <w:tcW w:w="76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1180" w:type="dxa"/>
            <w:vAlign w:val="bottom"/>
            <w:vMerge w:val="continue"/>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180" w:type="dxa"/>
            <w:vAlign w:val="bottom"/>
          </w:tcPr>
          <w:p>
            <w:pPr>
              <w:ind w:left="120"/>
              <w:spacing w:after="0" w:line="99" w:lineRule="exact"/>
              <w:rPr>
                <w:sz w:val="20"/>
                <w:szCs w:val="20"/>
                <w:color w:val="auto"/>
              </w:rPr>
            </w:pPr>
            <w:r>
              <w:rPr>
                <w:rFonts w:ascii="Times New Roman" w:cs="Times New Roman" w:eastAsia="Times New Roman" w:hAnsi="Times New Roman"/>
                <w:sz w:val="9"/>
                <w:szCs w:val="9"/>
                <w:color w:val="auto"/>
              </w:rPr>
              <w:t>Issuance of Class A voting</w:t>
            </w:r>
          </w:p>
        </w:tc>
        <w:tc>
          <w:tcPr>
            <w:tcW w:w="760" w:type="dxa"/>
            <w:vAlign w:val="bottom"/>
            <w:vMerge w:val="restart"/>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spacing w:after="0"/>
              <w:rPr>
                <w:sz w:val="8"/>
                <w:szCs w:val="8"/>
                <w:color w:val="auto"/>
              </w:rPr>
            </w:pPr>
          </w:p>
        </w:tc>
        <w:tc>
          <w:tcPr>
            <w:tcW w:w="380" w:type="dxa"/>
            <w:vAlign w:val="bottom"/>
            <w:vMerge w:val="restart"/>
          </w:tcPr>
          <w:p>
            <w:pPr>
              <w:jc w:val="right"/>
              <w:ind w:right="115"/>
              <w:spacing w:after="0"/>
              <w:rPr>
                <w:sz w:val="20"/>
                <w:szCs w:val="20"/>
                <w:color w:val="auto"/>
              </w:rPr>
            </w:pPr>
            <w:r>
              <w:rPr>
                <w:rFonts w:ascii="Times New Roman" w:cs="Times New Roman" w:eastAsia="Times New Roman" w:hAnsi="Times New Roman"/>
                <w:sz w:val="9"/>
                <w:szCs w:val="9"/>
                <w:color w:val="auto"/>
              </w:rPr>
              <w:t>174</w:t>
            </w:r>
          </w:p>
        </w:tc>
        <w:tc>
          <w:tcPr>
            <w:tcW w:w="680" w:type="dxa"/>
            <w:vAlign w:val="bottom"/>
            <w:vMerge w:val="restart"/>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480" w:type="dxa"/>
            <w:vAlign w:val="bottom"/>
            <w:vMerge w:val="restart"/>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vMerge w:val="restart"/>
          </w:tcPr>
          <w:p>
            <w:pPr>
              <w:ind w:left="440"/>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520" w:type="dxa"/>
            <w:vAlign w:val="bottom"/>
            <w:vMerge w:val="restart"/>
          </w:tcPr>
          <w:p>
            <w:pPr>
              <w:jc w:val="right"/>
              <w:ind w:right="135"/>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vMerge w:val="restart"/>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440" w:type="dxa"/>
            <w:vAlign w:val="bottom"/>
            <w:vMerge w:val="restart"/>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8"/>
                <w:szCs w:val="8"/>
                <w:color w:val="auto"/>
              </w:rPr>
            </w:pPr>
          </w:p>
        </w:tc>
        <w:tc>
          <w:tcPr>
            <w:tcW w:w="740" w:type="dxa"/>
            <w:vAlign w:val="bottom"/>
            <w:vMerge w:val="restart"/>
          </w:tcPr>
          <w:p>
            <w:pPr>
              <w:jc w:val="right"/>
              <w:ind w:right="5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760" w:type="dxa"/>
            <w:vAlign w:val="bottom"/>
            <w:vMerge w:val="restart"/>
          </w:tcPr>
          <w:p>
            <w:pPr>
              <w:jc w:val="right"/>
              <w:ind w:right="5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620" w:type="dxa"/>
            <w:vAlign w:val="bottom"/>
            <w:vMerge w:val="restart"/>
          </w:tcPr>
          <w:p>
            <w:pPr>
              <w:jc w:val="right"/>
              <w:ind w:right="115"/>
              <w:spacing w:after="0"/>
              <w:rPr>
                <w:sz w:val="20"/>
                <w:szCs w:val="20"/>
                <w:color w:val="auto"/>
              </w:rPr>
            </w:pPr>
            <w:r>
              <w:rPr>
                <w:rFonts w:ascii="Times New Roman" w:cs="Times New Roman" w:eastAsia="Times New Roman" w:hAnsi="Times New Roman"/>
                <w:sz w:val="9"/>
                <w:szCs w:val="9"/>
                <w:color w:val="auto"/>
              </w:rPr>
              <w:t>174</w:t>
            </w: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spacing w:after="0"/>
              <w:rPr>
                <w:sz w:val="8"/>
                <w:szCs w:val="8"/>
                <w:color w:val="auto"/>
              </w:rPr>
            </w:pPr>
          </w:p>
        </w:tc>
        <w:tc>
          <w:tcPr>
            <w:tcW w:w="340" w:type="dxa"/>
            <w:vAlign w:val="bottom"/>
            <w:vMerge w:val="restart"/>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3"/>
        </w:trPr>
        <w:tc>
          <w:tcPr>
            <w:tcW w:w="1180" w:type="dxa"/>
            <w:vAlign w:val="bottom"/>
          </w:tcPr>
          <w:p>
            <w:pPr>
              <w:ind w:left="120"/>
              <w:spacing w:after="0"/>
              <w:rPr>
                <w:sz w:val="20"/>
                <w:szCs w:val="20"/>
                <w:color w:val="auto"/>
              </w:rPr>
            </w:pPr>
            <w:r>
              <w:rPr>
                <w:rFonts w:ascii="Times New Roman" w:cs="Times New Roman" w:eastAsia="Times New Roman" w:hAnsi="Times New Roman"/>
                <w:sz w:val="9"/>
                <w:szCs w:val="9"/>
                <w:color w:val="auto"/>
              </w:rPr>
              <w:t>units (Note 9)</w:t>
            </w:r>
          </w:p>
        </w:tc>
        <w:tc>
          <w:tcPr>
            <w:tcW w:w="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color w:val="auto"/>
              </w:rPr>
              <w:t>Unit-based incentive</w:t>
            </w:r>
          </w:p>
        </w:tc>
        <w:tc>
          <w:tcPr>
            <w:tcW w:w="76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135"/>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870</w:t>
            </w:r>
          </w:p>
        </w:tc>
        <w:tc>
          <w:tcPr>
            <w:tcW w:w="20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870</w:t>
            </w:r>
          </w:p>
        </w:tc>
        <w:tc>
          <w:tcPr>
            <w:tcW w:w="0" w:type="dxa"/>
            <w:vAlign w:val="bottom"/>
          </w:tcPr>
          <w:p>
            <w:pPr>
              <w:spacing w:after="0"/>
              <w:rPr>
                <w:sz w:val="1"/>
                <w:szCs w:val="1"/>
                <w:color w:val="auto"/>
              </w:rPr>
            </w:pPr>
          </w:p>
        </w:tc>
      </w:tr>
      <w:tr>
        <w:trPr>
          <w:trHeight w:val="131"/>
        </w:trPr>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color w:val="auto"/>
              </w:rPr>
              <w:t>compensation (Note 10)</w:t>
            </w:r>
          </w:p>
        </w:tc>
        <w:tc>
          <w:tcPr>
            <w:tcW w:w="760" w:type="dxa"/>
            <w:vAlign w:val="bottom"/>
            <w:vMerge w:val="continue"/>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180" w:type="dxa"/>
            <w:vAlign w:val="bottom"/>
          </w:tcPr>
          <w:p>
            <w:pPr>
              <w:ind w:left="120"/>
              <w:spacing w:after="0" w:line="99" w:lineRule="exact"/>
              <w:rPr>
                <w:sz w:val="20"/>
                <w:szCs w:val="20"/>
                <w:color w:val="auto"/>
              </w:rPr>
            </w:pPr>
            <w:r>
              <w:rPr>
                <w:rFonts w:ascii="Times New Roman" w:cs="Times New Roman" w:eastAsia="Times New Roman" w:hAnsi="Times New Roman"/>
                <w:sz w:val="9"/>
                <w:szCs w:val="9"/>
                <w:color w:val="auto"/>
              </w:rPr>
              <w:t>Exercise of Class B Warrant</w:t>
            </w:r>
          </w:p>
        </w:tc>
        <w:tc>
          <w:tcPr>
            <w:tcW w:w="760" w:type="dxa"/>
            <w:vAlign w:val="bottom"/>
            <w:vMerge w:val="restart"/>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spacing w:after="0"/>
              <w:rPr>
                <w:sz w:val="8"/>
                <w:szCs w:val="8"/>
                <w:color w:val="auto"/>
              </w:rPr>
            </w:pPr>
          </w:p>
        </w:tc>
        <w:tc>
          <w:tcPr>
            <w:tcW w:w="380" w:type="dxa"/>
            <w:vAlign w:val="bottom"/>
            <w:vMerge w:val="restart"/>
          </w:tcPr>
          <w:p>
            <w:pPr>
              <w:jc w:val="right"/>
              <w:ind w:right="115"/>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vMerge w:val="restart"/>
          </w:tcPr>
          <w:p>
            <w:pPr>
              <w:jc w:val="right"/>
              <w:ind w:right="35"/>
              <w:spacing w:after="0"/>
              <w:rPr>
                <w:sz w:val="20"/>
                <w:szCs w:val="20"/>
                <w:color w:val="auto"/>
              </w:rPr>
            </w:pPr>
            <w:r>
              <w:rPr>
                <w:rFonts w:ascii="Times New Roman" w:cs="Times New Roman" w:eastAsia="Times New Roman" w:hAnsi="Times New Roman"/>
                <w:sz w:val="9"/>
                <w:szCs w:val="9"/>
                <w:color w:val="auto"/>
              </w:rPr>
              <w:t>9,953,454</w:t>
            </w:r>
          </w:p>
        </w:tc>
        <w:tc>
          <w:tcPr>
            <w:tcW w:w="200" w:type="dxa"/>
            <w:vAlign w:val="bottom"/>
          </w:tcPr>
          <w:p>
            <w:pPr>
              <w:spacing w:after="0"/>
              <w:rPr>
                <w:sz w:val="8"/>
                <w:szCs w:val="8"/>
                <w:color w:val="auto"/>
              </w:rPr>
            </w:pPr>
          </w:p>
        </w:tc>
        <w:tc>
          <w:tcPr>
            <w:tcW w:w="480" w:type="dxa"/>
            <w:vAlign w:val="bottom"/>
            <w:vMerge w:val="restart"/>
          </w:tcPr>
          <w:p>
            <w:pPr>
              <w:jc w:val="right"/>
              <w:ind w:right="75"/>
              <w:spacing w:after="0"/>
              <w:rPr>
                <w:sz w:val="20"/>
                <w:szCs w:val="20"/>
                <w:color w:val="auto"/>
              </w:rPr>
            </w:pPr>
            <w:r>
              <w:rPr>
                <w:rFonts w:ascii="Times New Roman" w:cs="Times New Roman" w:eastAsia="Times New Roman" w:hAnsi="Times New Roman"/>
                <w:sz w:val="9"/>
                <w:szCs w:val="9"/>
                <w:color w:val="auto"/>
              </w:rPr>
              <w:t>5,426</w:t>
            </w:r>
          </w:p>
        </w:tc>
        <w:tc>
          <w:tcPr>
            <w:tcW w:w="620" w:type="dxa"/>
            <w:vAlign w:val="bottom"/>
            <w:vMerge w:val="restart"/>
          </w:tcPr>
          <w:p>
            <w:pPr>
              <w:ind w:left="440"/>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520" w:type="dxa"/>
            <w:vAlign w:val="bottom"/>
            <w:vMerge w:val="restart"/>
          </w:tcPr>
          <w:p>
            <w:pPr>
              <w:jc w:val="right"/>
              <w:ind w:right="115"/>
              <w:spacing w:after="0"/>
              <w:rPr>
                <w:sz w:val="20"/>
                <w:szCs w:val="20"/>
                <w:color w:val="auto"/>
              </w:rPr>
            </w:pPr>
            <w:r>
              <w:rPr>
                <w:rFonts w:ascii="Times New Roman" w:cs="Times New Roman" w:eastAsia="Times New Roman" w:hAnsi="Times New Roman"/>
                <w:sz w:val="9"/>
                <w:szCs w:val="9"/>
                <w:color w:val="auto"/>
              </w:rPr>
              <w:t>(5,426)</w:t>
            </w:r>
          </w:p>
        </w:tc>
        <w:tc>
          <w:tcPr>
            <w:tcW w:w="680" w:type="dxa"/>
            <w:vAlign w:val="bottom"/>
            <w:vMerge w:val="restart"/>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440" w:type="dxa"/>
            <w:vAlign w:val="bottom"/>
            <w:vMerge w:val="restart"/>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8"/>
                <w:szCs w:val="8"/>
                <w:color w:val="auto"/>
              </w:rPr>
            </w:pPr>
          </w:p>
        </w:tc>
        <w:tc>
          <w:tcPr>
            <w:tcW w:w="740" w:type="dxa"/>
            <w:vAlign w:val="bottom"/>
            <w:vMerge w:val="restart"/>
          </w:tcPr>
          <w:p>
            <w:pPr>
              <w:jc w:val="right"/>
              <w:ind w:right="5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760" w:type="dxa"/>
            <w:vAlign w:val="bottom"/>
            <w:vMerge w:val="restart"/>
          </w:tcPr>
          <w:p>
            <w:pPr>
              <w:jc w:val="right"/>
              <w:ind w:right="5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620" w:type="dxa"/>
            <w:vAlign w:val="bottom"/>
            <w:vMerge w:val="restart"/>
          </w:tcPr>
          <w:p>
            <w:pPr>
              <w:jc w:val="right"/>
              <w:ind w:right="115"/>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spacing w:after="0"/>
              <w:rPr>
                <w:sz w:val="8"/>
                <w:szCs w:val="8"/>
                <w:color w:val="auto"/>
              </w:rPr>
            </w:pPr>
          </w:p>
        </w:tc>
        <w:tc>
          <w:tcPr>
            <w:tcW w:w="340" w:type="dxa"/>
            <w:vAlign w:val="bottom"/>
            <w:vMerge w:val="restart"/>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3"/>
        </w:trPr>
        <w:tc>
          <w:tcPr>
            <w:tcW w:w="1180" w:type="dxa"/>
            <w:vAlign w:val="bottom"/>
          </w:tcPr>
          <w:p>
            <w:pPr>
              <w:ind w:left="120"/>
              <w:spacing w:after="0"/>
              <w:rPr>
                <w:sz w:val="20"/>
                <w:szCs w:val="20"/>
                <w:color w:val="auto"/>
              </w:rPr>
            </w:pPr>
            <w:r>
              <w:rPr>
                <w:rFonts w:ascii="Times New Roman" w:cs="Times New Roman" w:eastAsia="Times New Roman" w:hAnsi="Times New Roman"/>
                <w:sz w:val="9"/>
                <w:szCs w:val="9"/>
                <w:color w:val="auto"/>
              </w:rPr>
              <w:t>for Class B Voting Units</w:t>
            </w:r>
          </w:p>
        </w:tc>
        <w:tc>
          <w:tcPr>
            <w:tcW w:w="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color w:val="auto"/>
              </w:rPr>
              <w:t>Currency translation</w:t>
            </w:r>
          </w:p>
        </w:tc>
        <w:tc>
          <w:tcPr>
            <w:tcW w:w="76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135"/>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9"/>
                <w:szCs w:val="9"/>
                <w:color w:val="auto"/>
              </w:rPr>
              <w:t>94</w:t>
            </w:r>
          </w:p>
        </w:tc>
        <w:tc>
          <w:tcPr>
            <w:tcW w:w="12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9"/>
                <w:szCs w:val="9"/>
                <w:color w:val="auto"/>
              </w:rPr>
              <w:t>94</w:t>
            </w:r>
          </w:p>
        </w:tc>
        <w:tc>
          <w:tcPr>
            <w:tcW w:w="54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31"/>
        </w:trPr>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color w:val="auto"/>
              </w:rPr>
              <w:t>adjustment, net of tax</w:t>
            </w:r>
          </w:p>
        </w:tc>
        <w:tc>
          <w:tcPr>
            <w:tcW w:w="760" w:type="dxa"/>
            <w:vAlign w:val="bottom"/>
            <w:vMerge w:val="continue"/>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180" w:type="dxa"/>
            <w:vAlign w:val="bottom"/>
          </w:tcPr>
          <w:p>
            <w:pPr>
              <w:ind w:left="120"/>
              <w:spacing w:after="0"/>
              <w:rPr>
                <w:sz w:val="20"/>
                <w:szCs w:val="20"/>
                <w:color w:val="auto"/>
              </w:rPr>
            </w:pPr>
            <w:r>
              <w:rPr>
                <w:rFonts w:ascii="Times New Roman" w:cs="Times New Roman" w:eastAsia="Times New Roman" w:hAnsi="Times New Roman"/>
                <w:sz w:val="9"/>
                <w:szCs w:val="9"/>
                <w:color w:val="auto"/>
              </w:rPr>
              <w:t>Net loss</w:t>
            </w: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spacing w:after="0"/>
              <w:rPr>
                <w:sz w:val="10"/>
                <w:szCs w:val="10"/>
                <w:color w:val="auto"/>
              </w:rPr>
            </w:pPr>
          </w:p>
        </w:tc>
        <w:tc>
          <w:tcPr>
            <w:tcW w:w="380" w:type="dxa"/>
            <w:vAlign w:val="bottom"/>
          </w:tcPr>
          <w:p>
            <w:pPr>
              <w:jc w:val="right"/>
              <w:ind w:right="115"/>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ind w:left="440"/>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520" w:type="dxa"/>
            <w:vAlign w:val="bottom"/>
          </w:tcPr>
          <w:p>
            <w:pPr>
              <w:jc w:val="right"/>
              <w:ind w:right="135"/>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44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10"/>
                <w:szCs w:val="10"/>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(31,891)</w:t>
            </w:r>
          </w:p>
        </w:tc>
        <w:tc>
          <w:tcPr>
            <w:tcW w:w="120" w:type="dxa"/>
            <w:vAlign w:val="bottom"/>
          </w:tcPr>
          <w:p>
            <w:pPr>
              <w:spacing w:after="0"/>
              <w:rPr>
                <w:sz w:val="10"/>
                <w:szCs w:val="10"/>
                <w:color w:val="auto"/>
              </w:rPr>
            </w:pPr>
          </w:p>
        </w:tc>
        <w:tc>
          <w:tcPr>
            <w:tcW w:w="76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62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(31,891)</w:t>
            </w:r>
          </w:p>
        </w:tc>
        <w:tc>
          <w:tcPr>
            <w:tcW w:w="540" w:type="dxa"/>
            <w:vAlign w:val="bottom"/>
          </w:tcPr>
          <w:p>
            <w:pPr>
              <w:ind w:left="38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spacing w:after="0"/>
              <w:rPr>
                <w:sz w:val="10"/>
                <w:szCs w:val="10"/>
                <w:color w:val="auto"/>
              </w:rPr>
            </w:pPr>
          </w:p>
        </w:tc>
        <w:tc>
          <w:tcPr>
            <w:tcW w:w="34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28"/>
        </w:trPr>
        <w:tc>
          <w:tcPr>
            <w:tcW w:w="11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9"/>
                <w:szCs w:val="9"/>
                <w:color w:val="auto"/>
              </w:rPr>
              <w:t>Balance as of June 30, 2021</w:t>
            </w:r>
          </w:p>
        </w:tc>
        <w:tc>
          <w:tcPr>
            <w:tcW w:w="7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400,000,000</w:t>
            </w: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9"/>
                <w:szCs w:val="9"/>
                <w:color w:val="auto"/>
                <w:w w:val="98"/>
              </w:rPr>
              <w:t>2,897</w:t>
            </w:r>
          </w:p>
        </w:tc>
        <w:tc>
          <w:tcPr>
            <w:tcW w:w="6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192,453,454</w:t>
            </w: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9"/>
                <w:szCs w:val="9"/>
                <w:color w:val="auto"/>
              </w:rPr>
              <w:t>187,926</w:t>
            </w:r>
          </w:p>
        </w:tc>
        <w:tc>
          <w:tcPr>
            <w:tcW w:w="6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270,270,270</w:t>
            </w: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310,104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(173,215)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9"/>
                <w:szCs w:val="9"/>
                <w:color w:val="auto"/>
              </w:rPr>
              <w:t>364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9"/>
                <w:szCs w:val="9"/>
                <w:color w:val="auto"/>
              </w:rPr>
              <w:t>328,076</w:t>
            </w:r>
          </w:p>
        </w:tc>
        <w:tc>
          <w:tcPr>
            <w:tcW w:w="5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w w:val="96"/>
              </w:rPr>
              <w:t>23,192</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23,192</w:t>
            </w: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231F20"/>
        </w:rPr>
        <w:t>Bakkt Holdings, Inc.</w:t>
      </w:r>
    </w:p>
    <w:p>
      <w:pPr>
        <w:spacing w:after="0" w:line="5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231F20"/>
        </w:rPr>
        <w:t>Consolidated Statements of Cash Flows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(Unaudited)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Successor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6"/>
              </w:rPr>
              <w:t>Predecessor</w:t>
            </w:r>
          </w:p>
        </w:tc>
        <w:tc>
          <w:tcPr>
            <w:tcW w:w="0" w:type="dxa"/>
            <w:vAlign w:val="bottom"/>
          </w:tcPr>
          <w:p>
            <w:pPr>
              <w:spacing w:after="0"/>
              <w:rPr>
                <w:sz w:val="1"/>
                <w:szCs w:val="1"/>
                <w:color w:val="auto"/>
              </w:rPr>
            </w:pPr>
          </w:p>
        </w:tc>
      </w:tr>
      <w:tr>
        <w:trPr>
          <w:trHeight w:val="115"/>
        </w:trPr>
        <w:tc>
          <w:tcPr>
            <w:tcW w:w="80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center"/>
              <w:ind w:right="97"/>
              <w:spacing w:after="0" w:line="115" w:lineRule="exact"/>
              <w:rPr>
                <w:sz w:val="20"/>
                <w:szCs w:val="20"/>
                <w:color w:val="auto"/>
              </w:rPr>
            </w:pPr>
            <w:r>
              <w:rPr>
                <w:rFonts w:ascii="Times New Roman" w:cs="Times New Roman" w:eastAsia="Times New Roman" w:hAnsi="Times New Roman"/>
                <w:sz w:val="13"/>
                <w:szCs w:val="13"/>
                <w:b w:val="1"/>
                <w:bCs w:val="1"/>
                <w:color w:val="auto"/>
                <w:w w:val="97"/>
              </w:rPr>
              <w:t>Six Months Ended</w:t>
            </w:r>
          </w:p>
        </w:tc>
        <w:tc>
          <w:tcPr>
            <w:tcW w:w="120" w:type="dxa"/>
            <w:vAlign w:val="bottom"/>
            <w:tcBorders>
              <w:right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center"/>
              <w:ind w:right="97"/>
              <w:spacing w:after="0" w:line="115" w:lineRule="exact"/>
              <w:rPr>
                <w:sz w:val="20"/>
                <w:szCs w:val="20"/>
                <w:color w:val="auto"/>
              </w:rPr>
            </w:pPr>
            <w:r>
              <w:rPr>
                <w:rFonts w:ascii="Times New Roman" w:cs="Times New Roman" w:eastAsia="Times New Roman" w:hAnsi="Times New Roman"/>
                <w:sz w:val="13"/>
                <w:szCs w:val="13"/>
                <w:b w:val="1"/>
                <w:bCs w:val="1"/>
                <w:color w:val="auto"/>
                <w:w w:val="97"/>
              </w:rPr>
              <w:t>Six Months Ended</w:t>
            </w:r>
          </w:p>
        </w:tc>
        <w:tc>
          <w:tcPr>
            <w:tcW w:w="0" w:type="dxa"/>
            <w:vAlign w:val="bottom"/>
          </w:tcPr>
          <w:p>
            <w:pPr>
              <w:spacing w:after="0"/>
              <w:rPr>
                <w:sz w:val="1"/>
                <w:szCs w:val="1"/>
                <w:color w:val="auto"/>
              </w:rPr>
            </w:pPr>
          </w:p>
        </w:tc>
      </w:tr>
      <w:tr>
        <w:trPr>
          <w:trHeight w:val="166"/>
        </w:trPr>
        <w:tc>
          <w:tcPr>
            <w:tcW w:w="8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June 30, 2022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5"/>
              </w:rPr>
              <w:t>June 30, 2021</w:t>
            </w:r>
          </w:p>
        </w:tc>
        <w:tc>
          <w:tcPr>
            <w:tcW w:w="0" w:type="dxa"/>
            <w:vAlign w:val="bottom"/>
          </w:tcPr>
          <w:p>
            <w:pPr>
              <w:spacing w:after="0"/>
              <w:rPr>
                <w:sz w:val="1"/>
                <w:szCs w:val="1"/>
                <w:color w:val="auto"/>
              </w:rPr>
            </w:pPr>
          </w:p>
        </w:tc>
      </w:tr>
      <w:tr>
        <w:trPr>
          <w:trHeight w:val="23"/>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80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(70,962)</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(60,711)</w:t>
            </w:r>
          </w:p>
        </w:tc>
        <w:tc>
          <w:tcPr>
            <w:tcW w:w="0" w:type="dxa"/>
            <w:vAlign w:val="bottom"/>
          </w:tcPr>
          <w:p>
            <w:pPr>
              <w:spacing w:after="0"/>
              <w:rPr>
                <w:sz w:val="1"/>
                <w:szCs w:val="1"/>
                <w:color w:val="auto"/>
              </w:rPr>
            </w:pPr>
          </w:p>
        </w:tc>
      </w:tr>
      <w:tr>
        <w:trPr>
          <w:trHeight w:val="170"/>
        </w:trPr>
        <w:tc>
          <w:tcPr>
            <w:tcW w:w="8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11,949</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5,759</w:t>
            </w:r>
          </w:p>
        </w:tc>
        <w:tc>
          <w:tcPr>
            <w:tcW w:w="0" w:type="dxa"/>
            <w:vAlign w:val="bottom"/>
          </w:tcPr>
          <w:p>
            <w:pPr>
              <w:spacing w:after="0"/>
              <w:rPr>
                <w:sz w:val="1"/>
                <w:szCs w:val="1"/>
                <w:color w:val="auto"/>
              </w:rPr>
            </w:pPr>
          </w:p>
        </w:tc>
      </w:tr>
      <w:tr>
        <w:trPr>
          <w:trHeight w:val="170"/>
        </w:trPr>
        <w:tc>
          <w:tcPr>
            <w:tcW w:w="8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Non-cash lease expense</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1,091</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w:t>
            </w:r>
          </w:p>
        </w:tc>
        <w:tc>
          <w:tcPr>
            <w:tcW w:w="0" w:type="dxa"/>
            <w:vAlign w:val="bottom"/>
          </w:tcPr>
          <w:p>
            <w:pPr>
              <w:spacing w:after="0"/>
              <w:rPr>
                <w:sz w:val="1"/>
                <w:szCs w:val="1"/>
                <w:color w:val="auto"/>
              </w:rPr>
            </w:pPr>
          </w:p>
        </w:tc>
      </w:tr>
      <w:tr>
        <w:trPr>
          <w:trHeight w:val="181"/>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21,206</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8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Unit-based compensation expense</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2,512</w:t>
            </w:r>
          </w:p>
        </w:tc>
        <w:tc>
          <w:tcPr>
            <w:tcW w:w="0" w:type="dxa"/>
            <w:vAlign w:val="bottom"/>
          </w:tcPr>
          <w:p>
            <w:pPr>
              <w:spacing w:after="0"/>
              <w:rPr>
                <w:sz w:val="1"/>
                <w:szCs w:val="1"/>
                <w:color w:val="auto"/>
              </w:rPr>
            </w:pPr>
          </w:p>
        </w:tc>
      </w:tr>
      <w:tr>
        <w:trPr>
          <w:trHeight w:val="181"/>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Recognition of affiliate capital contribution</w:t>
            </w:r>
          </w:p>
        </w:tc>
        <w:tc>
          <w:tcPr>
            <w:tcW w:w="160" w:type="dxa"/>
            <w:vAlign w:val="bottom"/>
            <w:shd w:val="clear" w:color="auto" w:fill="CCEEFF"/>
          </w:tcPr>
          <w:p>
            <w:pPr>
              <w:spacing w:after="0"/>
              <w:rPr>
                <w:sz w:val="15"/>
                <w:szCs w:val="15"/>
                <w:color w:val="auto"/>
              </w:rPr>
            </w:pPr>
          </w:p>
        </w:tc>
        <w:tc>
          <w:tcPr>
            <w:tcW w:w="14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0" w:type="dxa"/>
            <w:vAlign w:val="bottom"/>
          </w:tcPr>
          <w:p>
            <w:pPr>
              <w:spacing w:after="0"/>
              <w:rPr>
                <w:sz w:val="1"/>
                <w:szCs w:val="1"/>
                <w:color w:val="auto"/>
              </w:rPr>
            </w:pPr>
          </w:p>
        </w:tc>
      </w:tr>
      <w:tr>
        <w:trPr>
          <w:trHeight w:val="170"/>
        </w:trPr>
        <w:tc>
          <w:tcPr>
            <w:tcW w:w="8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Amortization of customer consideration asset</w:t>
            </w:r>
          </w:p>
        </w:tc>
        <w:tc>
          <w:tcPr>
            <w:tcW w:w="160" w:type="dxa"/>
            <w:vAlign w:val="bottom"/>
          </w:tcPr>
          <w:p>
            <w:pPr>
              <w:spacing w:after="0"/>
              <w:rPr>
                <w:sz w:val="14"/>
                <w:szCs w:val="14"/>
                <w:color w:val="auto"/>
              </w:rPr>
            </w:pPr>
          </w:p>
        </w:tc>
        <w:tc>
          <w:tcPr>
            <w:tcW w:w="14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w:t>
            </w:r>
          </w:p>
        </w:tc>
        <w:tc>
          <w:tcPr>
            <w:tcW w:w="0" w:type="dxa"/>
            <w:vAlign w:val="bottom"/>
          </w:tcPr>
          <w:p>
            <w:pPr>
              <w:spacing w:after="0"/>
              <w:rPr>
                <w:sz w:val="1"/>
                <w:szCs w:val="1"/>
                <w:color w:val="auto"/>
              </w:rPr>
            </w:pPr>
          </w:p>
        </w:tc>
      </w:tr>
      <w:tr>
        <w:trPr>
          <w:trHeight w:val="181"/>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Deferred income tax benefit</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(8,248)</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8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Unrealized gain on investment in shares of affiliate stock</w:t>
            </w:r>
          </w:p>
        </w:tc>
        <w:tc>
          <w:tcPr>
            <w:tcW w:w="160" w:type="dxa"/>
            <w:vAlign w:val="bottom"/>
          </w:tcPr>
          <w:p>
            <w:pPr>
              <w:spacing w:after="0"/>
              <w:rPr>
                <w:sz w:val="14"/>
                <w:szCs w:val="14"/>
                <w:color w:val="auto"/>
              </w:rPr>
            </w:pPr>
          </w:p>
        </w:tc>
        <w:tc>
          <w:tcPr>
            <w:tcW w:w="14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181"/>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 on sale of shares of affiliate stock</w:t>
            </w:r>
          </w:p>
        </w:tc>
        <w:tc>
          <w:tcPr>
            <w:tcW w:w="160" w:type="dxa"/>
            <w:vAlign w:val="bottom"/>
            <w:shd w:val="clear" w:color="auto" w:fill="CCEEFF"/>
          </w:tcPr>
          <w:p>
            <w:pPr>
              <w:spacing w:after="0"/>
              <w:rPr>
                <w:sz w:val="15"/>
                <w:szCs w:val="15"/>
                <w:color w:val="auto"/>
              </w:rPr>
            </w:pPr>
          </w:p>
        </w:tc>
        <w:tc>
          <w:tcPr>
            <w:tcW w:w="14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0"/>
        </w:trPr>
        <w:tc>
          <w:tcPr>
            <w:tcW w:w="8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Gain from change in fair value of warrant liability</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(12,711)</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Forfeiture and cancellation of common units</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8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65"/>
        </w:trPr>
        <w:tc>
          <w:tcPr>
            <w:tcW w:w="8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0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Accounts receivable</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(3,287)</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(1,464)</w:t>
            </w:r>
          </w:p>
        </w:tc>
        <w:tc>
          <w:tcPr>
            <w:tcW w:w="0" w:type="dxa"/>
            <w:vAlign w:val="bottom"/>
          </w:tcPr>
          <w:p>
            <w:pPr>
              <w:spacing w:after="0"/>
              <w:rPr>
                <w:sz w:val="1"/>
                <w:szCs w:val="1"/>
                <w:color w:val="auto"/>
              </w:rPr>
            </w:pPr>
          </w:p>
        </w:tc>
      </w:tr>
      <w:tr>
        <w:trPr>
          <w:trHeight w:val="181"/>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Prepaid insurance</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8,633</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w:t>
            </w:r>
          </w:p>
        </w:tc>
        <w:tc>
          <w:tcPr>
            <w:tcW w:w="0" w:type="dxa"/>
            <w:vAlign w:val="bottom"/>
          </w:tcPr>
          <w:p>
            <w:pPr>
              <w:spacing w:after="0"/>
              <w:rPr>
                <w:sz w:val="1"/>
                <w:szCs w:val="1"/>
                <w:color w:val="auto"/>
              </w:rPr>
            </w:pPr>
          </w:p>
        </w:tc>
      </w:tr>
      <w:tr>
        <w:trPr>
          <w:trHeight w:val="170"/>
        </w:trPr>
        <w:tc>
          <w:tcPr>
            <w:tcW w:w="80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Deposits with clearinghouse affiliate</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20,199</w:t>
            </w:r>
          </w:p>
        </w:tc>
        <w:tc>
          <w:tcPr>
            <w:tcW w:w="0" w:type="dxa"/>
            <w:vAlign w:val="bottom"/>
          </w:tcPr>
          <w:p>
            <w:pPr>
              <w:spacing w:after="0"/>
              <w:rPr>
                <w:sz w:val="1"/>
                <w:szCs w:val="1"/>
                <w:color w:val="auto"/>
              </w:rPr>
            </w:pPr>
          </w:p>
        </w:tc>
      </w:tr>
      <w:tr>
        <w:trPr>
          <w:trHeight w:val="181"/>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(2,642)</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14,519</w:t>
            </w:r>
          </w:p>
        </w:tc>
        <w:tc>
          <w:tcPr>
            <w:tcW w:w="0" w:type="dxa"/>
            <w:vAlign w:val="bottom"/>
          </w:tcPr>
          <w:p>
            <w:pPr>
              <w:spacing w:after="0"/>
              <w:rPr>
                <w:sz w:val="1"/>
                <w:szCs w:val="1"/>
                <w:color w:val="auto"/>
              </w:rPr>
            </w:pPr>
          </w:p>
        </w:tc>
      </w:tr>
      <w:tr>
        <w:trPr>
          <w:trHeight w:val="176"/>
        </w:trPr>
        <w:tc>
          <w:tcPr>
            <w:tcW w:w="8080" w:type="dxa"/>
            <w:vAlign w:val="bottom"/>
          </w:tcPr>
          <w:p>
            <w:pPr>
              <w:ind w:left="360"/>
              <w:spacing w:after="0" w:line="175" w:lineRule="exact"/>
              <w:rPr>
                <w:sz w:val="20"/>
                <w:szCs w:val="20"/>
                <w:color w:val="auto"/>
              </w:rPr>
            </w:pPr>
            <w:r>
              <w:rPr>
                <w:rFonts w:ascii="Times New Roman" w:cs="Times New Roman" w:eastAsia="Times New Roman" w:hAnsi="Times New Roman"/>
                <w:sz w:val="13"/>
                <w:szCs w:val="13"/>
                <w:color w:val="auto"/>
              </w:rPr>
              <w:t xml:space="preserve">Due to related party (affiliate in Predecessor period) </w:t>
            </w:r>
            <w:r>
              <w:rPr>
                <w:rFonts w:ascii="Times New Roman" w:cs="Times New Roman" w:eastAsia="Times New Roman" w:hAnsi="Times New Roman"/>
                <w:sz w:val="16"/>
                <w:szCs w:val="16"/>
                <w:color w:val="auto"/>
                <w:vertAlign w:val="superscript"/>
              </w:rPr>
              <w:t>(1)</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(1,259)</w:t>
            </w:r>
          </w:p>
        </w:tc>
        <w:tc>
          <w:tcPr>
            <w:tcW w:w="0" w:type="dxa"/>
            <w:vAlign w:val="bottom"/>
          </w:tcPr>
          <w:p>
            <w:pPr>
              <w:spacing w:after="0"/>
              <w:rPr>
                <w:sz w:val="1"/>
                <w:szCs w:val="1"/>
                <w:color w:val="auto"/>
              </w:rPr>
            </w:pPr>
          </w:p>
        </w:tc>
      </w:tr>
      <w:tr>
        <w:trPr>
          <w:trHeight w:val="176"/>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Deferred revenues</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(1,516)</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w:t>
            </w:r>
          </w:p>
        </w:tc>
        <w:tc>
          <w:tcPr>
            <w:tcW w:w="0" w:type="dxa"/>
            <w:vAlign w:val="bottom"/>
          </w:tcPr>
          <w:p>
            <w:pPr>
              <w:spacing w:after="0"/>
              <w:rPr>
                <w:sz w:val="1"/>
                <w:szCs w:val="1"/>
                <w:color w:val="auto"/>
              </w:rPr>
            </w:pPr>
          </w:p>
        </w:tc>
      </w:tr>
      <w:tr>
        <w:trPr>
          <w:trHeight w:val="170"/>
        </w:trPr>
        <w:tc>
          <w:tcPr>
            <w:tcW w:w="80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w:t>
            </w:r>
          </w:p>
        </w:tc>
        <w:tc>
          <w:tcPr>
            <w:tcW w:w="0" w:type="dxa"/>
            <w:vAlign w:val="bottom"/>
          </w:tcPr>
          <w:p>
            <w:pPr>
              <w:spacing w:after="0"/>
              <w:rPr>
                <w:sz w:val="1"/>
                <w:szCs w:val="1"/>
                <w:color w:val="auto"/>
              </w:rPr>
            </w:pPr>
          </w:p>
        </w:tc>
      </w:tr>
      <w:tr>
        <w:trPr>
          <w:trHeight w:val="181"/>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Customer funds payable</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0" w:type="dxa"/>
            <w:vAlign w:val="bottom"/>
          </w:tcPr>
          <w:p>
            <w:pPr>
              <w:spacing w:after="0"/>
              <w:rPr>
                <w:sz w:val="1"/>
                <w:szCs w:val="1"/>
                <w:color w:val="auto"/>
              </w:rPr>
            </w:pPr>
          </w:p>
        </w:tc>
      </w:tr>
      <w:tr>
        <w:trPr>
          <w:trHeight w:val="170"/>
        </w:trPr>
        <w:tc>
          <w:tcPr>
            <w:tcW w:w="8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Other assets and liabilities</w:t>
            </w: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(4,002)</w:t>
            </w:r>
          </w:p>
        </w:tc>
        <w:tc>
          <w:tcPr>
            <w:tcW w:w="12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1,958</w:t>
            </w:r>
          </w:p>
        </w:tc>
        <w:tc>
          <w:tcPr>
            <w:tcW w:w="0" w:type="dxa"/>
            <w:vAlign w:val="bottom"/>
          </w:tcPr>
          <w:p>
            <w:pPr>
              <w:spacing w:after="0"/>
              <w:rPr>
                <w:sz w:val="1"/>
                <w:szCs w:val="1"/>
                <w:color w:val="auto"/>
              </w:rPr>
            </w:pPr>
          </w:p>
        </w:tc>
      </w:tr>
      <w:tr>
        <w:trPr>
          <w:trHeight w:val="17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1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(60,430)</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(18,662)</w:t>
            </w:r>
          </w:p>
        </w:tc>
        <w:tc>
          <w:tcPr>
            <w:tcW w:w="0" w:type="dxa"/>
            <w:vAlign w:val="bottom"/>
          </w:tcPr>
          <w:p>
            <w:pPr>
              <w:spacing w:after="0"/>
              <w:rPr>
                <w:sz w:val="1"/>
                <w:szCs w:val="1"/>
                <w:color w:val="auto"/>
              </w:rPr>
            </w:pPr>
          </w:p>
        </w:tc>
      </w:tr>
      <w:tr>
        <w:trPr>
          <w:trHeight w:val="151"/>
        </w:trPr>
        <w:tc>
          <w:tcPr>
            <w:tcW w:w="80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Capitalized internal-use software development costs and other capital expenditures</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(14,763)</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(8,249)</w:t>
            </w:r>
          </w:p>
        </w:tc>
        <w:tc>
          <w:tcPr>
            <w:tcW w:w="0" w:type="dxa"/>
            <w:vAlign w:val="bottom"/>
          </w:tcPr>
          <w:p>
            <w:pPr>
              <w:spacing w:after="0"/>
              <w:rPr>
                <w:sz w:val="1"/>
                <w:szCs w:val="1"/>
                <w:color w:val="auto"/>
              </w:rPr>
            </w:pPr>
          </w:p>
        </w:tc>
      </w:tr>
      <w:tr>
        <w:trPr>
          <w:trHeight w:val="170"/>
        </w:trPr>
        <w:tc>
          <w:tcPr>
            <w:tcW w:w="8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Purchase of available-for-sale securities</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(189,174)</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sale of shares of affiliate stock</w:t>
            </w:r>
          </w:p>
        </w:tc>
        <w:tc>
          <w:tcPr>
            <w:tcW w:w="160" w:type="dxa"/>
            <w:vAlign w:val="bottom"/>
            <w:shd w:val="clear" w:color="auto" w:fill="CCEEFF"/>
          </w:tcPr>
          <w:p>
            <w:pPr>
              <w:spacing w:after="0"/>
              <w:rPr>
                <w:sz w:val="15"/>
                <w:szCs w:val="15"/>
                <w:color w:val="auto"/>
              </w:rPr>
            </w:pPr>
          </w:p>
        </w:tc>
        <w:tc>
          <w:tcPr>
            <w:tcW w:w="14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1,759</w:t>
            </w:r>
          </w:p>
        </w:tc>
        <w:tc>
          <w:tcPr>
            <w:tcW w:w="0" w:type="dxa"/>
            <w:vAlign w:val="bottom"/>
          </w:tcPr>
          <w:p>
            <w:pPr>
              <w:spacing w:after="0"/>
              <w:rPr>
                <w:sz w:val="1"/>
                <w:szCs w:val="1"/>
                <w:color w:val="auto"/>
              </w:rPr>
            </w:pPr>
          </w:p>
        </w:tc>
      </w:tr>
      <w:tr>
        <w:trPr>
          <w:trHeight w:val="170"/>
        </w:trPr>
        <w:tc>
          <w:tcPr>
            <w:tcW w:w="8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Proceeds from sale of equipment</w:t>
            </w:r>
          </w:p>
        </w:tc>
        <w:tc>
          <w:tcPr>
            <w:tcW w:w="160" w:type="dxa"/>
            <w:vAlign w:val="bottom"/>
          </w:tcPr>
          <w:p>
            <w:pPr>
              <w:spacing w:after="0"/>
              <w:rPr>
                <w:sz w:val="14"/>
                <w:szCs w:val="14"/>
                <w:color w:val="auto"/>
              </w:rPr>
            </w:pPr>
          </w:p>
        </w:tc>
        <w:tc>
          <w:tcPr>
            <w:tcW w:w="14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75"/>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(203,937)</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(6,482)</w:t>
            </w:r>
          </w:p>
        </w:tc>
        <w:tc>
          <w:tcPr>
            <w:tcW w:w="0" w:type="dxa"/>
            <w:vAlign w:val="bottom"/>
          </w:tcPr>
          <w:p>
            <w:pPr>
              <w:spacing w:after="0"/>
              <w:rPr>
                <w:sz w:val="1"/>
                <w:szCs w:val="1"/>
                <w:color w:val="auto"/>
              </w:rPr>
            </w:pPr>
          </w:p>
        </w:tc>
      </w:tr>
      <w:tr>
        <w:trPr>
          <w:trHeight w:val="201"/>
        </w:trPr>
        <w:tc>
          <w:tcPr>
            <w:tcW w:w="8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Payment of finance lease liability</w:t>
            </w:r>
          </w:p>
        </w:tc>
        <w:tc>
          <w:tcPr>
            <w:tcW w:w="160" w:type="dxa"/>
            <w:vAlign w:val="bottom"/>
            <w:shd w:val="clear" w:color="auto" w:fill="CCEEFF"/>
          </w:tcPr>
          <w:p>
            <w:pPr>
              <w:spacing w:after="0"/>
              <w:rPr>
                <w:sz w:val="15"/>
                <w:szCs w:val="15"/>
                <w:color w:val="auto"/>
              </w:rPr>
            </w:pPr>
          </w:p>
        </w:tc>
        <w:tc>
          <w:tcPr>
            <w:tcW w:w="14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0" w:type="dxa"/>
            <w:vAlign w:val="bottom"/>
          </w:tcPr>
          <w:p>
            <w:pPr>
              <w:spacing w:after="0"/>
              <w:rPr>
                <w:sz w:val="1"/>
                <w:szCs w:val="1"/>
                <w:color w:val="auto"/>
              </w:rPr>
            </w:pPr>
          </w:p>
        </w:tc>
      </w:tr>
      <w:tr>
        <w:trPr>
          <w:trHeight w:val="170"/>
        </w:trPr>
        <w:tc>
          <w:tcPr>
            <w:tcW w:w="8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Proceeds from the exercise of warrants</w:t>
            </w: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1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0" w:type="dxa"/>
            <w:vAlign w:val="bottom"/>
          </w:tcPr>
          <w:p>
            <w:pPr>
              <w:spacing w:after="0"/>
              <w:rPr>
                <w:sz w:val="1"/>
                <w:szCs w:val="1"/>
                <w:color w:val="auto"/>
              </w:rPr>
            </w:pPr>
          </w:p>
        </w:tc>
      </w:tr>
      <w:tr>
        <w:trPr>
          <w:trHeight w:val="163"/>
        </w:trPr>
        <w:tc>
          <w:tcPr>
            <w:tcW w:w="8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Effect of exchange rate changes</w:t>
            </w: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12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0" w:type="dxa"/>
            <w:vAlign w:val="bottom"/>
          </w:tcPr>
          <w:p>
            <w:pPr>
              <w:spacing w:after="0"/>
              <w:rPr>
                <w:sz w:val="1"/>
                <w:szCs w:val="1"/>
                <w:color w:val="auto"/>
              </w:rPr>
            </w:pPr>
          </w:p>
        </w:tc>
      </w:tr>
      <w:tr>
        <w:trPr>
          <w:trHeight w:val="175"/>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decrease in cash, cash equivalents, restricted cash and customer funds</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(264,558)</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(25,035)</w:t>
            </w:r>
          </w:p>
        </w:tc>
        <w:tc>
          <w:tcPr>
            <w:tcW w:w="0" w:type="dxa"/>
            <w:vAlign w:val="bottom"/>
          </w:tcPr>
          <w:p>
            <w:pPr>
              <w:spacing w:after="0"/>
              <w:rPr>
                <w:sz w:val="1"/>
                <w:szCs w:val="1"/>
                <w:color w:val="auto"/>
              </w:rPr>
            </w:pPr>
          </w:p>
        </w:tc>
      </w:tr>
      <w:tr>
        <w:trPr>
          <w:trHeight w:val="17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cash equivalents, restricted cash and customer funds at the beginning of the period</w:t>
            </w: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408,415</w:t>
            </w:r>
          </w:p>
        </w:tc>
        <w:tc>
          <w:tcPr>
            <w:tcW w:w="12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91,943</w:t>
            </w:r>
          </w:p>
        </w:tc>
        <w:tc>
          <w:tcPr>
            <w:tcW w:w="0" w:type="dxa"/>
            <w:vAlign w:val="bottom"/>
          </w:tcPr>
          <w:p>
            <w:pPr>
              <w:spacing w:after="0"/>
              <w:rPr>
                <w:sz w:val="1"/>
                <w:szCs w:val="1"/>
                <w:color w:val="auto"/>
              </w:rPr>
            </w:pPr>
          </w:p>
        </w:tc>
      </w:tr>
      <w:tr>
        <w:trPr>
          <w:trHeight w:val="20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restricted cash and customer funds at the end of the period</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143,857</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66,908</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Supplemental disclosure of cash flow information: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80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paid for income taxes</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8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Non-cash operating lease right-of-use asset acquired</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10,936</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Supplemental disclosure of non-cash investing and financing activity:</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Class A voting units in exchange of capital contribution</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0" w:type="dxa"/>
            <w:vAlign w:val="bottom"/>
          </w:tcPr>
          <w:p>
            <w:pPr>
              <w:spacing w:after="0"/>
              <w:rPr>
                <w:sz w:val="1"/>
                <w:szCs w:val="1"/>
                <w:color w:val="auto"/>
              </w:rPr>
            </w:pPr>
          </w:p>
        </w:tc>
      </w:tr>
      <w:tr>
        <w:trPr>
          <w:trHeight w:val="181"/>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Deferred tax effect resulting from exchanges of Opco common units</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19,063</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8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Capitalized internal-use software development costs and other capital expenditures included in accounts payable and accrued liabilities.</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1,534</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1,902</w:t>
            </w:r>
          </w:p>
        </w:tc>
        <w:tc>
          <w:tcPr>
            <w:tcW w:w="0" w:type="dxa"/>
            <w:vAlign w:val="bottom"/>
          </w:tcPr>
          <w:p>
            <w:pPr>
              <w:spacing w:after="0"/>
              <w:rPr>
                <w:sz w:val="1"/>
                <w:szCs w:val="1"/>
                <w:color w:val="auto"/>
              </w:rPr>
            </w:pPr>
          </w:p>
        </w:tc>
      </w:tr>
      <w:tr>
        <w:trPr>
          <w:trHeight w:val="181"/>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Reconciliation of cash, cash equivalents, restricted cash and customer funds to consolidated balance sheet:</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126,751</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50,114</w:t>
            </w:r>
          </w:p>
        </w:tc>
        <w:tc>
          <w:tcPr>
            <w:tcW w:w="0" w:type="dxa"/>
            <w:vAlign w:val="bottom"/>
          </w:tcPr>
          <w:p>
            <w:pPr>
              <w:spacing w:after="0"/>
              <w:rPr>
                <w:sz w:val="1"/>
                <w:szCs w:val="1"/>
                <w:color w:val="auto"/>
              </w:rPr>
            </w:pPr>
          </w:p>
        </w:tc>
      </w:tr>
      <w:tr>
        <w:trPr>
          <w:trHeight w:val="181"/>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Restricted cash</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16,500</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16,500</w:t>
            </w:r>
          </w:p>
        </w:tc>
        <w:tc>
          <w:tcPr>
            <w:tcW w:w="0" w:type="dxa"/>
            <w:vAlign w:val="bottom"/>
          </w:tcPr>
          <w:p>
            <w:pPr>
              <w:spacing w:after="0"/>
              <w:rPr>
                <w:sz w:val="1"/>
                <w:szCs w:val="1"/>
                <w:color w:val="auto"/>
              </w:rPr>
            </w:pPr>
          </w:p>
        </w:tc>
      </w:tr>
      <w:tr>
        <w:trPr>
          <w:trHeight w:val="170"/>
        </w:trPr>
        <w:tc>
          <w:tcPr>
            <w:tcW w:w="8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Customer funds</w:t>
            </w: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606</w:t>
            </w:r>
          </w:p>
        </w:tc>
        <w:tc>
          <w:tcPr>
            <w:tcW w:w="12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0" w:type="dxa"/>
            <w:vAlign w:val="bottom"/>
          </w:tcPr>
          <w:p>
            <w:pPr>
              <w:spacing w:after="0"/>
              <w:rPr>
                <w:sz w:val="1"/>
                <w:szCs w:val="1"/>
                <w:color w:val="auto"/>
              </w:rPr>
            </w:pPr>
          </w:p>
        </w:tc>
      </w:tr>
      <w:tr>
        <w:trPr>
          <w:trHeight w:val="20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cash, cash equivalents, restricted cash and customer funds</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143,857</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66,908</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the Business Combination, ICE and its affiliates are no longer our affiliates. Refer to Note 7 for our related party disclosures.</w:t>
      </w:r>
    </w:p>
    <w:p>
      <w:pPr>
        <w:spacing w:after="0" w:line="260" w:lineRule="exact"/>
        <w:rPr>
          <w:sz w:val="20"/>
          <w:szCs w:val="20"/>
          <w:color w:val="auto"/>
        </w:rPr>
      </w:pPr>
    </w:p>
    <w:p>
      <w:pPr>
        <w:jc w:val="right"/>
        <w:ind w:right="1339"/>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231F20"/>
        </w:rPr>
        <w:t>Bakkt Holdings, Inc.</w:t>
      </w:r>
    </w:p>
    <w:p>
      <w:pPr>
        <w:spacing w:after="0" w:line="5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(Unaudited)</w:t>
      </w:r>
    </w:p>
    <w:p>
      <w:pPr>
        <w:spacing w:after="0" w:line="266" w:lineRule="exact"/>
        <w:rPr>
          <w:sz w:val="20"/>
          <w:szCs w:val="20"/>
          <w:color w:val="auto"/>
        </w:rPr>
      </w:pPr>
    </w:p>
    <w:p>
      <w:pPr>
        <w:ind w:right="7720" w:firstLine="8"/>
        <w:spacing w:after="0" w:line="542" w:lineRule="auto"/>
        <w:tabs>
          <w:tab w:leader="none" w:pos="3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Business Organization</w:t>
      </w:r>
    </w:p>
    <w:p>
      <w:pPr>
        <w:spacing w:after="0" w:line="1"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VPC Impact Acquisition Holdings (“VIH”) was a blank check company incorporated as a Cayman Islands exempted company on July 31, 2020. VIH was incorporated for the purpose of effecting a merger, share exchange, asset acquisition, share purchase, reorganization or similar business combination with one or more businesses or entities. VIH’s sponsor was VPC Impact Acquisition Holdings Sponsor, LLC (the “Sponsor”).</w:t>
      </w:r>
    </w:p>
    <w:p>
      <w:pPr>
        <w:spacing w:after="0" w:line="169"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The registration statement for VIH’s Initial Public Offering was declared effective on September 22, 2020. On September 25, 2020, VIH consummated the Initial Public Offering of 20,000,000 units (the “Units”), generating gross proceeds of $200.0 million. Simultaneously with the closing of the Initial Public Offering, VIH consummated the sale of 6,000,000 warrants (the “private placement warrants”) at a price of $1.00 per Private Placement Warrant in a private placement to the Sponsor, generating gross proceeds of $6.0 million. On September 29, 2020, the underwriters notified VIH of their intention to partially exercise their over-allotment option on October 1, 2020. As such, on October 1, 2020, VIH consummated the sale of an additional 737,202 Units, at $10.00 per Unit, and the sale of an additional 147,440 private placement warrants, at $1.00 per Private Warrant, generating total gross proceeds of $7.5 million.</w:t>
      </w:r>
    </w:p>
    <w:p>
      <w:pPr>
        <w:spacing w:after="0" w:line="19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Following the closing of the Initial Public Offering on September 25, 2020 and the partial exercise of the underwriter’s over-allotment on October 1, 2020, an amount of approximately $207.4 million ($10.00 per Unit) from the proceeds of the sale of the Units in the Initial Public Offering and the sale of the private placement warrants, net of transaction costs, was placed in a trust account (the “Trust Account”).</w:t>
      </w:r>
    </w:p>
    <w:p>
      <w:pPr>
        <w:spacing w:after="0" w:line="18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October 15, 2021 (the “Closing Date”), VIH and Bakkt Opco Holdings, LLC (then known as Bakkt Holdings, LLC, "Opco") and its operating subsidiaries consummated a business combination (the “Business Combination”) contemplated by the Agreement and Plan of Merger entered into on January 11, 2021 (as amended, the “Merger Agreement”). In connection with the Business Combination, VIH changed its name to “Bakkt Holdings, Inc.” and changed its jurisdiction of incorporation from the Cayman Islands to the State of Delaware (the “Domestication”).</w:t>
      </w:r>
    </w:p>
    <w:p>
      <w:pPr>
        <w:spacing w:after="0" w:line="190" w:lineRule="exact"/>
        <w:rPr>
          <w:sz w:val="20"/>
          <w:szCs w:val="20"/>
          <w:color w:val="auto"/>
        </w:rPr>
      </w:pPr>
    </w:p>
    <w:p>
      <w:pPr>
        <w:jc w:val="both"/>
        <w:ind w:right="20" w:firstLine="648"/>
        <w:spacing w:after="0" w:line="313" w:lineRule="auto"/>
        <w:rPr>
          <w:sz w:val="20"/>
          <w:szCs w:val="20"/>
          <w:color w:val="auto"/>
        </w:rPr>
      </w:pPr>
      <w:r>
        <w:rPr>
          <w:rFonts w:ascii="Times New Roman" w:cs="Times New Roman" w:eastAsia="Times New Roman" w:hAnsi="Times New Roman"/>
          <w:sz w:val="18"/>
          <w:szCs w:val="18"/>
          <w:color w:val="auto"/>
        </w:rPr>
        <w:t>Unless the context otherwise provides, “we,” “us,” “our,” “Bakkt,” the “Company” and like terms refer (i) prior to the Closing Date, to Opco and its subsidiaries and (ii) after the Closing Date, to Bakkt Holdings, Inc. and its subsidiaries, including Opco.</w:t>
      </w:r>
    </w:p>
    <w:p>
      <w:pPr>
        <w:spacing w:after="0" w:line="17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Immediately following the Domestication, we became organized in an umbrella partnership corporation, or “up-C,” structure in which substantially all of our assets and business are held by Opco, and our only direct assets consist of common units in Opco (“Opco common units”), which are non-voting interests in Opco, and the managing member interest in Opco.</w:t>
      </w:r>
    </w:p>
    <w:p>
      <w:pPr>
        <w:spacing w:after="0" w:line="169"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connection with the Business Combination, a portion of VIH shares were exchanged for cash for shareholders who elected to execute their redemption right. The remaining VIH shares were exchanged for newly issued shares of our Class A common stock. Additionally, all outstanding membership interests and rights to acquire membership interests in Opco were exchanged for Opco common units and an equal number of newly issued shares of our Class V common stock. The existing owners of Opco other than Bakkt are considered noncontrolling interests in the accompanying consolidated financial statements (the “financial statements”). Refer to Note 4 to our consolidated financial statements included in our Annual Report on Form 10-K for the year ended December 31, 2021 filed with the U.S. Securities and Exchange Commission (the "SEC") on March 31, 2022 (the "Form 10-K") where the Business Combination is described in detail.</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648"/>
        <w:spacing w:after="0" w:line="329" w:lineRule="auto"/>
        <w:rPr>
          <w:sz w:val="20"/>
          <w:szCs w:val="20"/>
          <w:color w:val="auto"/>
        </w:rPr>
      </w:pPr>
      <w:r>
        <w:rPr>
          <w:rFonts w:ascii="Times New Roman" w:cs="Times New Roman" w:eastAsia="Times New Roman" w:hAnsi="Times New Roman"/>
          <w:sz w:val="18"/>
          <w:szCs w:val="18"/>
          <w:color w:val="auto"/>
        </w:rPr>
        <w:t>Our Class A common stock and warrants are listed on the New York Stock Exchange under the ticker symbols “BKKT” and “BKKT WS,”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provide, or are working to provide, products and services in four key areas:</w:t>
      </w:r>
    </w:p>
    <w:p>
      <w:pPr>
        <w:spacing w:after="0" w:line="252" w:lineRule="exact"/>
        <w:rPr>
          <w:sz w:val="20"/>
          <w:szCs w:val="20"/>
          <w:color w:val="auto"/>
        </w:rPr>
      </w:pPr>
    </w:p>
    <w:p>
      <w:pPr>
        <w:ind w:left="660" w:hanging="328"/>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Crypto Services. Our platform provides consumers, businesses and institutions easy access to crypto buy and sell capabilities.</w:t>
      </w:r>
    </w:p>
    <w:p>
      <w:pPr>
        <w:spacing w:after="0" w:line="265" w:lineRule="exact"/>
        <w:rPr>
          <w:rFonts w:ascii="Times New Roman" w:cs="Times New Roman" w:eastAsia="Times New Roman" w:hAnsi="Times New Roman"/>
          <w:sz w:val="18"/>
          <w:szCs w:val="18"/>
          <w:color w:val="auto"/>
        </w:rPr>
      </w:pPr>
    </w:p>
    <w:p>
      <w:pPr>
        <w:ind w:left="660" w:right="20" w:hanging="328"/>
        <w:spacing w:after="0" w:line="313" w:lineRule="auto"/>
        <w:tabs>
          <w:tab w:leader="none" w:pos="65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Fueling Crypto Rewards. We are in the process of enabling merchants of all sizes to offer loyalty and rewards to their customers in the form of crypto – either by earning crypto rewards, or by redeeming existing reward currencies, such as points or miles, into crypto.</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with Digital Assets. We enable consumers to make everyday purchases using their existing rewards points or new assets like crypto.</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Powering Loyalty. We offer a full spectrum of content that retailers and financial institutions can make available to their customers when</w:t>
      </w:r>
    </w:p>
    <w:p>
      <w:pPr>
        <w:spacing w:after="0" w:line="49" w:lineRule="exact"/>
        <w:rPr>
          <w:rFonts w:ascii="Times New Roman" w:cs="Times New Roman" w:eastAsia="Times New Roman" w:hAnsi="Times New Roman"/>
          <w:sz w:val="18"/>
          <w:szCs w:val="18"/>
          <w:color w:val="auto"/>
        </w:rPr>
      </w:pPr>
    </w:p>
    <w:p>
      <w:pPr>
        <w:jc w:val="both"/>
        <w:ind w:left="66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redeeming loyalty currencies. Our redemption solutions span a variety of rewards categories including merchandise (such as Apple products and services), gift cards, digital experiences and charitable giving. Our travel solution offers a retail e-commerce booking platform, as well as live-agent booking and servicing.</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accounting policies are as set forth in the notes of our Form 10-K.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70"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As a result of the Business Combination, we evaluated if VIH or Opco is the predecessor for accounting purposes. In considering the foregoing principles of predecessor determination in light of our specific facts and circumstances, we determined that Opco is the predecessor for accounting purposes. The financial statement presentation includes the financial statements of Opco as “Predecessor” for periods prior to the Closing Date and the financial statements of the Company as “Successor” for the period after the Closing Date, including the consolidation of Opco.</w:t>
      </w:r>
    </w:p>
    <w:p>
      <w:pPr>
        <w:spacing w:after="0" w:line="17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are prepared in accordance with United States generally accepted accounting principles (“U.S. GAAP”) for interim financial information and with the instructions to the Quarterly Report on Form 10-Q and Article 10 of Regulation S-X. Accordingly, they do not include all of the information and footnotes required by U.S. GAAP for complete financial statements. In the opinion of management, the unaudited interim consolidated financial statements include the accounts of the Company and our subsidiaries. All intercompany balances and transactions have been eliminated in consolidation. In addition, certain reclassifications of amounts previously reported have been made to the accompanying consolidated financial statements in order to conform to current presentation.</w:t>
      </w:r>
    </w:p>
    <w:p>
      <w:pPr>
        <w:spacing w:after="0" w:line="178"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In the opinion of management, all adjustments (consisting of normal recurring accruals), considered necessary for a fair presentation have been included. The interim results for the six months ended June 30, 2022 are not necessarily indicative of the results that may be expected for the year ending December 31, 2022, or for any other future annual or interim period. These consolidated financial statements should be read in conjunction with the Company’s audited financial statements and accompanying notes thereto included in the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16"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Except as described below, for the six months ended June 30, 2022, there were no significant changes to the recently adopted accounting pronouncements applicable to us from those disclosed in Note 2 of our Form 10-K.</w:t>
      </w:r>
    </w:p>
    <w:p>
      <w:pPr>
        <w:spacing w:after="0" w:line="148"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18"/>
          <w:szCs w:val="18"/>
          <w:color w:val="auto"/>
        </w:rPr>
        <w:t>On March 31, 2022, the SEC issued Staff Accounting Bulletin ("SAB") Number 121 ("SAB 121"), which provides the SEC staff’s view that it would be appropriate for an entity that has an obligation to safeguard cryptoassets held for platform users to record a liability and corresponding asset on its balance sheet at the fair value of the cryptoassets. SAB 121 also added Section FF to SAB Topic 5 to include interpretive guidance for entities to consider when they have obligations to safeguard cryptoassets held for their platform users. We adopted the guidance in SAB 121 during the quarter ended June 30, 2022 with retrospective application as of January 1, 2022. Refer to footnote 17 for additional information.</w:t>
      </w:r>
    </w:p>
    <w:p>
      <w:pPr>
        <w:spacing w:after="0" w:line="170"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disaggregate revenue by service type and by platform, respectively,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160" w:type="dxa"/>
            <w:vAlign w:val="bottom"/>
          </w:tcPr>
          <w:p>
            <w:pPr>
              <w:spacing w:after="0"/>
              <w:rPr>
                <w:sz w:val="19"/>
                <w:szCs w:val="19"/>
                <w:color w:val="auto"/>
              </w:rPr>
            </w:pPr>
          </w:p>
        </w:tc>
        <w:tc>
          <w:tcPr>
            <w:tcW w:w="166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center"/>
              <w:ind w:right="73"/>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0" w:type="dxa"/>
            <w:vAlign w:val="bottom"/>
          </w:tcPr>
          <w:p>
            <w:pPr>
              <w:spacing w:after="0"/>
              <w:rPr>
                <w:sz w:val="1"/>
                <w:szCs w:val="1"/>
                <w:color w:val="auto"/>
              </w:rPr>
            </w:pPr>
          </w:p>
        </w:tc>
      </w:tr>
      <w:tr>
        <w:trPr>
          <w:trHeight w:val="155"/>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Service Type</w:t>
            </w:r>
          </w:p>
        </w:tc>
        <w:tc>
          <w:tcPr>
            <w:tcW w:w="12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jc w:val="center"/>
              <w:ind w:right="33"/>
              <w:spacing w:after="0" w:line="155"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center"/>
              <w:ind w:right="33"/>
              <w:spacing w:after="0" w:line="155"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jc w:val="center"/>
              <w:ind w:right="93"/>
              <w:spacing w:after="0" w:line="155" w:lineRule="exact"/>
              <w:rPr>
                <w:sz w:val="20"/>
                <w:szCs w:val="20"/>
                <w:color w:val="auto"/>
              </w:rPr>
            </w:pPr>
            <w:r>
              <w:rPr>
                <w:rFonts w:ascii="Times New Roman" w:cs="Times New Roman" w:eastAsia="Times New Roman" w:hAnsi="Times New Roman"/>
                <w:sz w:val="16"/>
                <w:szCs w:val="16"/>
                <w:b w:val="1"/>
                <w:bCs w:val="1"/>
                <w:color w:val="auto"/>
              </w:rPr>
              <w:t>Six Months Ended</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center"/>
              <w:ind w:right="73"/>
              <w:spacing w:after="0" w:line="155" w:lineRule="exact"/>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3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60" w:type="dxa"/>
            <w:vAlign w:val="bottom"/>
          </w:tcPr>
          <w:p>
            <w:pPr>
              <w:spacing w:after="0"/>
              <w:rPr>
                <w:sz w:val="18"/>
                <w:szCs w:val="18"/>
                <w:color w:val="auto"/>
              </w:rPr>
            </w:pPr>
          </w:p>
        </w:tc>
        <w:tc>
          <w:tcPr>
            <w:tcW w:w="166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0" w:type="dxa"/>
            <w:vAlign w:val="bottom"/>
          </w:tcPr>
          <w:p>
            <w:pPr>
              <w:spacing w:after="0"/>
              <w:rPr>
                <w:sz w:val="1"/>
                <w:szCs w:val="1"/>
                <w:color w:val="auto"/>
              </w:rPr>
            </w:pPr>
          </w:p>
        </w:tc>
      </w:tr>
      <w:tr>
        <w:trPr>
          <w:trHeight w:val="223"/>
        </w:trPr>
        <w:tc>
          <w:tcPr>
            <w:tcW w:w="366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Transaction revenue, net</w:t>
            </w:r>
            <w:r>
              <w:rPr>
                <w:rFonts w:ascii="Times New Roman" w:cs="Times New Roman" w:eastAsia="Times New Roman" w:hAnsi="Times New Roman"/>
                <w:sz w:val="23"/>
                <w:szCs w:val="23"/>
                <w:color w:val="auto"/>
                <w:vertAlign w:val="superscript"/>
              </w:rPr>
              <w:t>(a)</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13,550</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Subscription and service revenue</w:t>
            </w: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6,540</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12,554</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9,794</w:t>
            </w:r>
          </w:p>
        </w:tc>
        <w:tc>
          <w:tcPr>
            <w:tcW w:w="0" w:type="dxa"/>
            <w:vAlign w:val="bottom"/>
          </w:tcPr>
          <w:p>
            <w:pPr>
              <w:spacing w:after="0"/>
              <w:rPr>
                <w:sz w:val="1"/>
                <w:szCs w:val="1"/>
                <w:color w:val="auto"/>
              </w:rPr>
            </w:pPr>
          </w:p>
        </w:tc>
      </w:tr>
      <w:tr>
        <w:trPr>
          <w:trHeight w:val="248"/>
        </w:trPr>
        <w:tc>
          <w:tcPr>
            <w:tcW w:w="37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16,631</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net of incentives, rebates and liquidity payments, reductions related to the contribution agreement entered into between Bakkt and ICE in</w:t>
      </w:r>
    </w:p>
    <w:p>
      <w:pPr>
        <w:spacing w:after="0" w:line="49" w:lineRule="exact"/>
        <w:rPr>
          <w:rFonts w:ascii="Times New Roman" w:cs="Times New Roman" w:eastAsia="Times New Roman" w:hAnsi="Times New Roman"/>
          <w:sz w:val="18"/>
          <w:szCs w:val="18"/>
          <w:color w:val="auto"/>
        </w:rPr>
      </w:pPr>
    </w:p>
    <w:p>
      <w:pPr>
        <w:jc w:val="both"/>
        <w:ind w:left="3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connection with ICE’s formation of Bakkt (“Contribution Agreement"), and consideration payable pursuant to an agreement with a strategic partner. These amounts consist of approximately $0.1 million and $0.4 million for the three and six months ended June 30, 2022, respectively. These amounts</w:t>
      </w:r>
    </w:p>
    <w:p>
      <w:pPr>
        <w:spacing w:after="0" w:line="1" w:lineRule="exact"/>
        <w:rPr>
          <w:rFonts w:ascii="Times New Roman" w:cs="Times New Roman" w:eastAsia="Times New Roman" w:hAnsi="Times New Roman"/>
          <w:sz w:val="18"/>
          <w:szCs w:val="18"/>
          <w:color w:val="auto"/>
        </w:rPr>
      </w:pPr>
    </w:p>
    <w:p>
      <w:pPr>
        <w:jc w:val="both"/>
        <w:ind w:left="34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 of approximately $0.7 million and $1.6 million for the three and six months ended June 30, 2021, respectively. Included in these amounts are amounts earned from related parties of less than $0.1 million for the three and six months ended June 30, 2022, and amounts earned from affiliates of less than $0.1 million for the three and six months ended June 30, 2021, respectively (Note 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center"/>
              <w:ind w:right="93"/>
              <w:spacing w:after="0" w:line="155" w:lineRule="exact"/>
              <w:rPr>
                <w:sz w:val="20"/>
                <w:szCs w:val="20"/>
                <w:color w:val="auto"/>
              </w:rPr>
            </w:pPr>
            <w:r>
              <w:rPr>
                <w:rFonts w:ascii="Times New Roman" w:cs="Times New Roman" w:eastAsia="Times New Roman" w:hAnsi="Times New Roman"/>
                <w:sz w:val="16"/>
                <w:szCs w:val="16"/>
                <w:b w:val="1"/>
                <w:bCs w:val="1"/>
                <w:color w:val="auto"/>
              </w:rPr>
              <w:t>Three Months</w:t>
            </w:r>
          </w:p>
        </w:tc>
        <w:tc>
          <w:tcPr>
            <w:tcW w:w="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3"/>
                <w:szCs w:val="13"/>
                <w:color w:val="auto"/>
              </w:rPr>
            </w:pPr>
          </w:p>
        </w:tc>
        <w:tc>
          <w:tcPr>
            <w:tcW w:w="1660" w:type="dxa"/>
            <w:vAlign w:val="bottom"/>
            <w:tcBorders>
              <w:right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162"/>
        </w:trPr>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180" w:type="dxa"/>
            <w:vAlign w:val="bottom"/>
          </w:tcPr>
          <w:p>
            <w:pPr>
              <w:spacing w:after="0"/>
              <w:rPr>
                <w:sz w:val="14"/>
                <w:szCs w:val="14"/>
                <w:color w:val="auto"/>
              </w:rPr>
            </w:pPr>
          </w:p>
        </w:tc>
        <w:tc>
          <w:tcPr>
            <w:tcW w:w="1400" w:type="dxa"/>
            <w:vAlign w:val="bottom"/>
            <w:tcBorders>
              <w:right w:val="single" w:sz="8" w:color="auto"/>
            </w:tcBorders>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60" w:type="dxa"/>
            <w:vAlign w:val="bottom"/>
          </w:tcPr>
          <w:p>
            <w:pPr>
              <w:spacing w:after="0"/>
              <w:rPr>
                <w:sz w:val="18"/>
                <w:szCs w:val="18"/>
                <w:color w:val="auto"/>
              </w:rPr>
            </w:pPr>
          </w:p>
        </w:tc>
        <w:tc>
          <w:tcPr>
            <w:tcW w:w="166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0" w:type="dxa"/>
            <w:vAlign w:val="bottom"/>
          </w:tcPr>
          <w:p>
            <w:pPr>
              <w:spacing w:after="0"/>
              <w:rPr>
                <w:sz w:val="1"/>
                <w:szCs w:val="1"/>
                <w:color w:val="auto"/>
              </w:rPr>
            </w:pPr>
          </w:p>
        </w:tc>
      </w:tr>
      <w:tr>
        <w:trPr>
          <w:trHeight w:val="223"/>
        </w:trPr>
        <w:tc>
          <w:tcPr>
            <w:tcW w:w="390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Digital asset marketplace</w:t>
            </w:r>
            <w:r>
              <w:rPr>
                <w:rFonts w:ascii="Times New Roman" w:cs="Times New Roman" w:eastAsia="Times New Roman" w:hAnsi="Times New Roman"/>
                <w:sz w:val="23"/>
                <w:szCs w:val="23"/>
                <w:color w:val="auto"/>
                <w:vertAlign w:val="superscript"/>
              </w:rPr>
              <w:t>(b)</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3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Loyalty redemption platform</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13,374</w:t>
            </w: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17,382</w:t>
            </w:r>
          </w:p>
        </w:tc>
        <w:tc>
          <w:tcPr>
            <w:tcW w:w="0" w:type="dxa"/>
            <w:vAlign w:val="bottom"/>
          </w:tcPr>
          <w:p>
            <w:pPr>
              <w:spacing w:after="0"/>
              <w:rPr>
                <w:sz w:val="1"/>
                <w:szCs w:val="1"/>
                <w:color w:val="auto"/>
              </w:rPr>
            </w:pPr>
          </w:p>
        </w:tc>
      </w:tr>
      <w:tr>
        <w:trPr>
          <w:trHeight w:val="229"/>
        </w:trPr>
        <w:tc>
          <w:tcPr>
            <w:tcW w:w="40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Alternative payment platform</w:t>
            </w:r>
            <w:r>
              <w:rPr>
                <w:rFonts w:ascii="Times New Roman" w:cs="Times New Roman" w:eastAsia="Times New Roman" w:hAnsi="Times New Roman"/>
                <w:sz w:val="23"/>
                <w:szCs w:val="23"/>
                <w:color w:val="auto"/>
                <w:vertAlign w:val="superscript"/>
              </w:rPr>
              <w:t>(c)</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63"/>
        </w:trPr>
        <w:tc>
          <w:tcPr>
            <w:tcW w:w="4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13,572</w:t>
            </w:r>
          </w:p>
        </w:tc>
        <w:tc>
          <w:tcPr>
            <w:tcW w:w="10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8,486</w:t>
            </w:r>
          </w:p>
        </w:tc>
        <w:tc>
          <w:tcPr>
            <w:tcW w:w="24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26,104</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16,631</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net of incentives, rebates and liquidity payments and reductions related to the Contribution Agreement of less than $0.1 million for the</w:t>
      </w:r>
    </w:p>
    <w:p>
      <w:pPr>
        <w:spacing w:after="0" w:line="49" w:lineRule="exact"/>
        <w:rPr>
          <w:rFonts w:ascii="Times New Roman" w:cs="Times New Roman" w:eastAsia="Times New Roman" w:hAnsi="Times New Roman"/>
          <w:sz w:val="18"/>
          <w:szCs w:val="18"/>
          <w:color w:val="auto"/>
        </w:rPr>
      </w:pPr>
    </w:p>
    <w:p>
      <w:pPr>
        <w:ind w:left="340"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and six months ended June 30, 2022, and approximately $0.1 million and $0.4 million for the three and six months ended June 30, 2021, respectively.</w:t>
      </w:r>
    </w:p>
    <w:p>
      <w:pPr>
        <w:spacing w:after="0" w:line="175" w:lineRule="exact"/>
        <w:rPr>
          <w:rFonts w:ascii="Times New Roman" w:cs="Times New Roman" w:eastAsia="Times New Roman" w:hAnsi="Times New Roman"/>
          <w:sz w:val="18"/>
          <w:szCs w:val="18"/>
          <w:color w:val="auto"/>
        </w:rPr>
      </w:pPr>
    </w:p>
    <w:p>
      <w:pPr>
        <w:jc w:val="both"/>
        <w:ind w:left="340" w:right="100" w:hanging="332"/>
        <w:spacing w:after="0" w:line="305" w:lineRule="auto"/>
        <w:tabs>
          <w:tab w:leader="none" w:pos="33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net of incentives and consideration payable pursuant to an agreement with a strategic partner of $0.1 million and $0.4 million for the three and six months ended June 30, 2022, respectively, and $0.6 million and $1.2 million for the three and six months ended June 30, 2021, respectively.</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one reportable segment to which our revenues relate.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Contract liabilities consist of deferred revenues for amounts invoiced prior to us meeting the criteria for revenue recognition. We invoice customers for service fees at the time the service is performed, and such fees are recognized as revenue over time as we satisfy its performance obligation. Contract liabilities are classified as “Deferred revenue, current” and “Deferred revenue, noncurrent” in our consolidated balance sheets. The activity in deferred revenue for the six months ended June 30, 2022 and 2021, respectively, was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center"/>
              <w:ind w:right="73"/>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r>
      <w:tr>
        <w:trPr>
          <w:trHeight w:val="155"/>
        </w:trPr>
        <w:tc>
          <w:tcPr>
            <w:tcW w:w="77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center"/>
              <w:ind w:right="73"/>
              <w:spacing w:after="0" w:line="155" w:lineRule="exact"/>
              <w:rPr>
                <w:sz w:val="20"/>
                <w:szCs w:val="20"/>
                <w:color w:val="auto"/>
              </w:rPr>
            </w:pPr>
            <w:r>
              <w:rPr>
                <w:rFonts w:ascii="Times New Roman" w:cs="Times New Roman" w:eastAsia="Times New Roman" w:hAnsi="Times New Roman"/>
                <w:sz w:val="16"/>
                <w:szCs w:val="16"/>
                <w:b w:val="1"/>
                <w:bCs w:val="1"/>
                <w:color w:val="auto"/>
              </w:rPr>
              <w:t>Six Months Ended</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center"/>
              <w:ind w:right="73"/>
              <w:spacing w:after="0" w:line="155" w:lineRule="exact"/>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7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June 30, 2021</w:t>
            </w:r>
          </w:p>
        </w:tc>
      </w:tr>
      <w:tr>
        <w:trPr>
          <w:trHeight w:val="225"/>
        </w:trPr>
        <w:tc>
          <w:tcPr>
            <w:tcW w:w="7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the period contract liability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center"/>
              <w:ind w:left="873"/>
              <w:spacing w:after="0"/>
              <w:rPr>
                <w:sz w:val="20"/>
                <w:szCs w:val="20"/>
                <w:color w:val="auto"/>
              </w:rPr>
            </w:pPr>
            <w:r>
              <w:rPr>
                <w:rFonts w:ascii="Times New Roman" w:cs="Times New Roman" w:eastAsia="Times New Roman" w:hAnsi="Times New Roman"/>
                <w:sz w:val="18"/>
                <w:szCs w:val="18"/>
                <w:color w:val="auto"/>
                <w:w w:val="98"/>
              </w:rPr>
              <w:t>9,448</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center"/>
              <w:ind w:left="873"/>
              <w:spacing w:after="0"/>
              <w:rPr>
                <w:sz w:val="20"/>
                <w:szCs w:val="20"/>
                <w:color w:val="auto"/>
              </w:rPr>
            </w:pPr>
            <w:r>
              <w:rPr>
                <w:rFonts w:ascii="Times New Roman" w:cs="Times New Roman" w:eastAsia="Times New Roman" w:hAnsi="Times New Roman"/>
                <w:sz w:val="18"/>
                <w:szCs w:val="18"/>
                <w:color w:val="auto"/>
                <w:w w:val="98"/>
              </w:rPr>
              <w:t>8,385</w:t>
            </w:r>
          </w:p>
        </w:tc>
      </w:tr>
      <w:tr>
        <w:trPr>
          <w:trHeight w:val="24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from contract liabilities included in the beginning balance</w:t>
            </w:r>
          </w:p>
        </w:tc>
        <w:tc>
          <w:tcPr>
            <w:tcW w:w="160" w:type="dxa"/>
            <w:vAlign w:val="bottom"/>
          </w:tcPr>
          <w:p>
            <w:pPr>
              <w:spacing w:after="0"/>
              <w:rPr>
                <w:sz w:val="21"/>
                <w:szCs w:val="21"/>
                <w:color w:val="auto"/>
              </w:rPr>
            </w:pPr>
          </w:p>
        </w:tc>
        <w:tc>
          <w:tcPr>
            <w:tcW w:w="152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rPr>
              <w:t>(2,542)</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rPr>
              <w:t>(2,342)</w:t>
            </w:r>
          </w:p>
        </w:tc>
      </w:tr>
      <w:tr>
        <w:trPr>
          <w:trHeight w:val="24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due to cash received, net of amounts recognized in revenue during the period</w:t>
            </w:r>
          </w:p>
        </w:tc>
        <w:tc>
          <w:tcPr>
            <w:tcW w:w="1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center"/>
              <w:ind w:left="873"/>
              <w:spacing w:after="0"/>
              <w:rPr>
                <w:sz w:val="20"/>
                <w:szCs w:val="20"/>
                <w:color w:val="auto"/>
              </w:rPr>
            </w:pPr>
            <w:r>
              <w:rPr>
                <w:rFonts w:ascii="Times New Roman" w:cs="Times New Roman" w:eastAsia="Times New Roman" w:hAnsi="Times New Roman"/>
                <w:sz w:val="18"/>
                <w:szCs w:val="18"/>
                <w:color w:val="auto"/>
                <w:w w:val="98"/>
              </w:rPr>
              <w:t>1,026</w:t>
            </w:r>
          </w:p>
        </w:tc>
        <w:tc>
          <w:tcPr>
            <w:tcW w:w="12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center"/>
              <w:ind w:left="873"/>
              <w:spacing w:after="0"/>
              <w:rPr>
                <w:sz w:val="20"/>
                <w:szCs w:val="20"/>
                <w:color w:val="auto"/>
              </w:rPr>
            </w:pPr>
            <w:r>
              <w:rPr>
                <w:rFonts w:ascii="Times New Roman" w:cs="Times New Roman" w:eastAsia="Times New Roman" w:hAnsi="Times New Roman"/>
                <w:sz w:val="18"/>
                <w:szCs w:val="18"/>
                <w:color w:val="auto"/>
                <w:w w:val="98"/>
              </w:rPr>
              <w:t>1,676</w:t>
            </w:r>
          </w:p>
        </w:tc>
      </w:tr>
      <w:tr>
        <w:trPr>
          <w:trHeight w:val="26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the period contract liability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center"/>
              <w:ind w:left="873"/>
              <w:spacing w:after="0"/>
              <w:rPr>
                <w:sz w:val="20"/>
                <w:szCs w:val="20"/>
                <w:color w:val="auto"/>
              </w:rPr>
            </w:pPr>
            <w:r>
              <w:rPr>
                <w:rFonts w:ascii="Times New Roman" w:cs="Times New Roman" w:eastAsia="Times New Roman" w:hAnsi="Times New Roman"/>
                <w:sz w:val="18"/>
                <w:szCs w:val="18"/>
                <w:color w:val="auto"/>
                <w:w w:val="98"/>
              </w:rPr>
              <w:t>7,932</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center"/>
              <w:ind w:left="873"/>
              <w:spacing w:after="0"/>
              <w:rPr>
                <w:sz w:val="20"/>
                <w:szCs w:val="20"/>
                <w:color w:val="auto"/>
              </w:rPr>
            </w:pPr>
            <w:r>
              <w:rPr>
                <w:rFonts w:ascii="Times New Roman" w:cs="Times New Roman" w:eastAsia="Times New Roman" w:hAnsi="Times New Roman"/>
                <w:sz w:val="18"/>
                <w:szCs w:val="18"/>
                <w:color w:val="auto"/>
                <w:w w:val="98"/>
              </w:rPr>
              <w:t>7,719</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7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As of June 30, 2022, the aggregate amount of the transaction price allocated to the remaining performance obligations related to partially completed contracts is $23.9 million, comprised of $16.0 million of subscription fees and $7.9 million of service fees that are deferred. We recognize our subscription fees as revenue over a weighted-average period of 41 months (ranges from 2 months – 51 months) and our service fees as revenue over approximately 2 years.</w:t>
      </w:r>
    </w:p>
    <w:p>
      <w:pPr>
        <w:spacing w:after="0" w:line="190"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As of June 30, 2021, the aggregate amount of the transaction price allocated to the remaining performance obligations related to partially completed contracts is $25.5 million, comprised of $17.8 million of subscription fees and $7.7 million of service fees that are deferred. We will recognize our subscription fees as revenue over a weighted-average period of 14 months (ranges from 6 months – 60 months) and our service fees as revenue over approximately 3 years.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270"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For the three and six months ended June 30, 2022, we incurred no incremental costs to obtain and/or fulfill contracts with customers. For the three and six months ended June 30, 2021, we incurred $0.3 million incremental costs to obtain and/or fulfill contracts with customers.</w:t>
      </w:r>
    </w:p>
    <w:p>
      <w:pPr>
        <w:spacing w:after="0" w:line="172"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goodwill consisted of the following (in thousands):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Successor</w:t>
            </w: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1,527,118</w:t>
            </w:r>
          </w:p>
        </w:tc>
      </w:tr>
      <w:tr>
        <w:trPr>
          <w:trHeight w:val="230"/>
        </w:trPr>
        <w:tc>
          <w:tcPr>
            <w:tcW w:w="9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1,527,118</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Predecessor</w:t>
            </w: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233,429</w:t>
            </w:r>
          </w:p>
        </w:tc>
      </w:tr>
      <w:tr>
        <w:trPr>
          <w:trHeight w:val="229"/>
        </w:trPr>
        <w:tc>
          <w:tcPr>
            <w:tcW w:w="9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233,391</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goodwill impairment charges have been recognized in the periods presented.</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3"/>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consisted of the following (in thousands):</w:t>
            </w: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2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3"/>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5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0" w:type="dxa"/>
            <w:vAlign w:val="bottom"/>
          </w:tcPr>
          <w:p>
            <w:pPr>
              <w:spacing w:after="0"/>
              <w:rPr>
                <w:sz w:val="14"/>
                <w:szCs w:val="14"/>
                <w:color w:val="auto"/>
              </w:rPr>
            </w:pPr>
          </w:p>
        </w:tc>
        <w:tc>
          <w:tcPr>
            <w:tcW w:w="13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240" w:type="dxa"/>
            <w:vAlign w:val="bottom"/>
          </w:tcPr>
          <w:p>
            <w:pPr>
              <w:spacing w:after="0"/>
              <w:rPr>
                <w:sz w:val="14"/>
                <w:szCs w:val="14"/>
                <w:color w:val="auto"/>
              </w:rPr>
            </w:pPr>
          </w:p>
        </w:tc>
        <w:tc>
          <w:tcPr>
            <w:tcW w:w="13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4"/>
                <w:szCs w:val="14"/>
                <w:color w:val="auto"/>
              </w:rPr>
            </w:pPr>
          </w:p>
        </w:tc>
        <w:tc>
          <w:tcPr>
            <w:tcW w:w="13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Useful Life (in</w:t>
            </w:r>
          </w:p>
        </w:tc>
        <w:tc>
          <w:tcPr>
            <w:tcW w:w="1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280" w:type="dxa"/>
            <w:vAlign w:val="bottom"/>
            <w:tcBorders>
              <w:bottom w:val="single" w:sz="8" w:color="CCEEFF"/>
            </w:tcBorders>
          </w:tcPr>
          <w:p>
            <w:pPr>
              <w:spacing w:after="0"/>
              <w:rPr>
                <w:sz w:val="20"/>
                <w:szCs w:val="20"/>
                <w:color w:val="auto"/>
              </w:rPr>
            </w:pPr>
          </w:p>
        </w:tc>
        <w:tc>
          <w:tcPr>
            <w:tcW w:w="374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5"/>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241,320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241,320</w:t>
            </w:r>
          </w:p>
        </w:tc>
        <w:tc>
          <w:tcPr>
            <w:tcW w:w="0" w:type="dxa"/>
            <w:vAlign w:val="bottom"/>
          </w:tcPr>
          <w:p>
            <w:pPr>
              <w:spacing w:after="0"/>
              <w:rPr>
                <w:sz w:val="1"/>
                <w:szCs w:val="1"/>
                <w:color w:val="auto"/>
              </w:rPr>
            </w:pPr>
          </w:p>
        </w:tc>
      </w:tr>
      <w:tr>
        <w:trPr>
          <w:trHeight w:val="23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Trademarks / trade names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14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39,470</w:t>
            </w:r>
          </w:p>
        </w:tc>
        <w:tc>
          <w:tcPr>
            <w:tcW w:w="24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39,470</w:t>
            </w: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67,310</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(11,444)</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55,866</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5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44,970</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40,997</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393,070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377,653</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960" w:type="dxa"/>
            <w:vAlign w:val="bottom"/>
            <w:tcBorders>
              <w:top w:val="single" w:sz="8" w:color="CCEEFF"/>
              <w:bottom w:val="single" w:sz="8" w:color="auto"/>
            </w:tcBorders>
            <w:gridSpan w:val="3"/>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12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2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0" w:type="dxa"/>
            <w:vAlign w:val="bottom"/>
          </w:tcPr>
          <w:p>
            <w:pPr>
              <w:spacing w:after="0"/>
              <w:rPr>
                <w:sz w:val="15"/>
                <w:szCs w:val="15"/>
                <w:color w:val="auto"/>
              </w:rPr>
            </w:pPr>
          </w:p>
        </w:tc>
        <w:tc>
          <w:tcPr>
            <w:tcW w:w="13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240" w:type="dxa"/>
            <w:vAlign w:val="bottom"/>
          </w:tcPr>
          <w:p>
            <w:pPr>
              <w:spacing w:after="0"/>
              <w:rPr>
                <w:sz w:val="15"/>
                <w:szCs w:val="15"/>
                <w:color w:val="auto"/>
              </w:rPr>
            </w:pPr>
          </w:p>
        </w:tc>
        <w:tc>
          <w:tcPr>
            <w:tcW w:w="13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5"/>
                <w:szCs w:val="15"/>
                <w:color w:val="auto"/>
              </w:rPr>
            </w:pPr>
          </w:p>
        </w:tc>
        <w:tc>
          <w:tcPr>
            <w:tcW w:w="13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5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Useful Life (in</w:t>
            </w:r>
          </w:p>
        </w:tc>
        <w:tc>
          <w:tcPr>
            <w:tcW w:w="1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280" w:type="dxa"/>
            <w:vAlign w:val="bottom"/>
            <w:tcBorders>
              <w:bottom w:val="single" w:sz="8" w:color="CCEEFF"/>
            </w:tcBorders>
          </w:tcPr>
          <w:p>
            <w:pPr>
              <w:spacing w:after="0"/>
              <w:rPr>
                <w:sz w:val="19"/>
                <w:szCs w:val="19"/>
                <w:color w:val="auto"/>
              </w:rPr>
            </w:pPr>
          </w:p>
        </w:tc>
        <w:tc>
          <w:tcPr>
            <w:tcW w:w="374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241,320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241,320</w:t>
            </w:r>
          </w:p>
        </w:tc>
        <w:tc>
          <w:tcPr>
            <w:tcW w:w="0" w:type="dxa"/>
            <w:vAlign w:val="bottom"/>
          </w:tcPr>
          <w:p>
            <w:pPr>
              <w:spacing w:after="0"/>
              <w:rPr>
                <w:sz w:val="1"/>
                <w:szCs w:val="1"/>
                <w:color w:val="auto"/>
              </w:rPr>
            </w:pPr>
          </w:p>
        </w:tc>
      </w:tr>
      <w:tr>
        <w:trPr>
          <w:trHeight w:val="229"/>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Trademarks / trade names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14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39,470</w:t>
            </w:r>
          </w:p>
        </w:tc>
        <w:tc>
          <w:tcPr>
            <w:tcW w:w="24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39,470</w:t>
            </w: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67,310</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63,895</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5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44,970</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43,784</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393,070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388,469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Amortization of intangible assets for the three and six ended June 30, 2022 was $5.4 million and $10.8 million, respectively, and is included in “Depreciation and amortization” in the statements of operations. Amortization of intangible assets for the three and six ended June 30, 2021 was $1.6 million and $3.2 million, respectively, and is included in “Depreciation and amortization” in the statements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amortization for definite-lived intangible assets as of June 30, 2022 is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5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0" w:type="dxa"/>
            <w:vAlign w:val="bottom"/>
          </w:tcPr>
          <w:p>
            <w:pPr>
              <w:spacing w:after="0"/>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5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57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10,995</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21,811</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21,871</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18,896</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7,628</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4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15,662</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96,863</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bottom w:val="single" w:sz="8" w:color="CCEEFF"/>
            </w:tcBorders>
            <w:vMerge w:val="restart"/>
          </w:tcPr>
          <w:p>
            <w:pPr>
              <w:jc w:val="right"/>
              <w:ind w:right="3370"/>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374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40" w:type="dxa"/>
            <w:vAlign w:val="bottom"/>
            <w:tcBorders>
              <w:bottom w:val="single" w:sz="8" w:color="9A9A9A"/>
            </w:tcBorders>
          </w:tcPr>
          <w:p>
            <w:pPr>
              <w:spacing w:after="0"/>
              <w:rPr>
                <w:sz w:val="8"/>
                <w:szCs w:val="8"/>
                <w:color w:val="auto"/>
              </w:rPr>
            </w:pPr>
          </w:p>
        </w:tc>
        <w:tc>
          <w:tcPr>
            <w:tcW w:w="54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3"/>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Consolidated Balance Sheet Components</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net consisted of the following (in thousands):</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2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300" w:type="dxa"/>
            <w:vAlign w:val="bottom"/>
          </w:tcPr>
          <w:p>
            <w:pPr>
              <w:spacing w:after="0"/>
              <w:rPr>
                <w:sz w:val="19"/>
                <w:szCs w:val="19"/>
                <w:color w:val="auto"/>
              </w:rPr>
            </w:pPr>
          </w:p>
        </w:tc>
        <w:tc>
          <w:tcPr>
            <w:tcW w:w="1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0" w:type="dxa"/>
            <w:vAlign w:val="bottom"/>
          </w:tcPr>
          <w:p>
            <w:pPr>
              <w:spacing w:after="0"/>
              <w:rPr>
                <w:sz w:val="1"/>
                <w:szCs w:val="1"/>
                <w:color w:val="auto"/>
              </w:rPr>
            </w:pPr>
          </w:p>
        </w:tc>
      </w:tr>
      <w:tr>
        <w:trPr>
          <w:trHeight w:val="223"/>
        </w:trPr>
        <w:tc>
          <w:tcPr>
            <w:tcW w:w="69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17,018</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11,404</w:t>
            </w:r>
          </w:p>
        </w:tc>
        <w:tc>
          <w:tcPr>
            <w:tcW w:w="0" w:type="dxa"/>
            <w:vAlign w:val="bottom"/>
          </w:tcPr>
          <w:p>
            <w:pPr>
              <w:spacing w:after="0"/>
              <w:rPr>
                <w:sz w:val="1"/>
                <w:szCs w:val="1"/>
                <w:color w:val="auto"/>
              </w:rPr>
            </w:pPr>
          </w:p>
        </w:tc>
      </w:tr>
      <w:tr>
        <w:trPr>
          <w:trHeight w:val="230"/>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5,448</w:t>
            </w: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23"/>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accounts receivable</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18,352</w:t>
            </w: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23"/>
        </w:trPr>
        <w:tc>
          <w:tcPr>
            <w:tcW w:w="6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21,844</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18,142</w:t>
            </w: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69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 consisted of the following (in thousands):</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2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300" w:type="dxa"/>
            <w:vAlign w:val="bottom"/>
          </w:tcPr>
          <w:p>
            <w:pPr>
              <w:spacing w:after="0"/>
              <w:rPr>
                <w:sz w:val="19"/>
                <w:szCs w:val="19"/>
                <w:color w:val="auto"/>
              </w:rPr>
            </w:pPr>
          </w:p>
        </w:tc>
        <w:tc>
          <w:tcPr>
            <w:tcW w:w="1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0" w:type="dxa"/>
            <w:vAlign w:val="bottom"/>
          </w:tcPr>
          <w:p>
            <w:pPr>
              <w:spacing w:after="0"/>
              <w:rPr>
                <w:sz w:val="1"/>
                <w:szCs w:val="1"/>
                <w:color w:val="auto"/>
              </w:rPr>
            </w:pPr>
          </w:p>
        </w:tc>
      </w:tr>
      <w:tr>
        <w:trPr>
          <w:trHeight w:val="223"/>
        </w:trPr>
        <w:tc>
          <w:tcPr>
            <w:tcW w:w="69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7,668</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0" w:type="dxa"/>
            <w:vAlign w:val="bottom"/>
          </w:tcPr>
          <w:p>
            <w:pPr>
              <w:spacing w:after="0"/>
              <w:rPr>
                <w:sz w:val="1"/>
                <w:szCs w:val="1"/>
                <w:color w:val="auto"/>
              </w:rPr>
            </w:pPr>
          </w:p>
        </w:tc>
      </w:tr>
      <w:tr>
        <w:trPr>
          <w:trHeight w:val="223"/>
        </w:trPr>
        <w:tc>
          <w:tcPr>
            <w:tcW w:w="6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7,668</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Software, Net</w:t>
            </w: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69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equipment and software, net consisted of the following (in thousands):</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2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300" w:type="dxa"/>
            <w:vAlign w:val="bottom"/>
          </w:tcPr>
          <w:p>
            <w:pPr>
              <w:spacing w:after="0"/>
              <w:rPr>
                <w:sz w:val="19"/>
                <w:szCs w:val="19"/>
                <w:color w:val="auto"/>
              </w:rPr>
            </w:pPr>
          </w:p>
        </w:tc>
        <w:tc>
          <w:tcPr>
            <w:tcW w:w="1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0" w:type="dxa"/>
            <w:vAlign w:val="bottom"/>
          </w:tcPr>
          <w:p>
            <w:pPr>
              <w:spacing w:after="0"/>
              <w:rPr>
                <w:sz w:val="1"/>
                <w:szCs w:val="1"/>
                <w:color w:val="auto"/>
              </w:rPr>
            </w:pPr>
          </w:p>
        </w:tc>
      </w:tr>
      <w:tr>
        <w:trPr>
          <w:trHeight w:val="223"/>
        </w:trPr>
        <w:tc>
          <w:tcPr>
            <w:tcW w:w="69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11,292</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0" w:type="dxa"/>
            <w:vAlign w:val="bottom"/>
          </w:tcPr>
          <w:p>
            <w:pPr>
              <w:spacing w:after="0"/>
              <w:rPr>
                <w:sz w:val="1"/>
                <w:szCs w:val="1"/>
                <w:color w:val="auto"/>
              </w:rPr>
            </w:pPr>
          </w:p>
        </w:tc>
      </w:tr>
      <w:tr>
        <w:trPr>
          <w:trHeight w:val="230"/>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computer and network equipment</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23"/>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gross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 and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23"/>
        </w:trPr>
        <w:tc>
          <w:tcPr>
            <w:tcW w:w="6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21,286</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For the three and six months ended June 30, 2022, depreciation and amortization expense related to property, equipment and software amounted to approximately $0.7 million and $1.1 million, respectively, of which $0.2 million and $0.3 million, respectively, related to amortization expense of capitalized internal-use software placed in service. For the three and six months ended June 30, 2021, depreciation and amortization expense related to property, equipment and software amounted to approximately $1.4 million and $2.5 million, respectively, of which $1.2 million and $2.1 million, respectively, related to amortization expense of capitalized internal-use software placed in service.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 with Clearinghouse</w:t>
      </w:r>
    </w:p>
    <w:p>
      <w:pPr>
        <w:spacing w:after="0" w:line="270"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Deposits with clearinghouse, noncurrent, consisted of the default resource contribution (Note 7). The default resource contribution amounted to approximately $15.2 million as of each of June 30, 2022 and December 31, 2021.</w:t>
      </w:r>
    </w:p>
    <w:p>
      <w:pPr>
        <w:spacing w:after="0" w:line="17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January 19, 2021, ICE Clear US, Inc. ("ICUS") self-certified a rule change with the CFTC, reducing Bakkt Trust Company LLC's ("Bakkt Trust") financial contribution to the ICUS guaranty fund to approximately $15.2 million from $35.4 million. Following the two-week self-certification period, in which no comments were received from the CFTC, ICUS proceeded with the reduction. On February 3, 2021, ICUS returned $20.2 million to Bakkt Trust. The default resource contribution includes less than $0.1 million of cash margins held with ICUS.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9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300" w:type="dxa"/>
            <w:vAlign w:val="bottom"/>
          </w:tcPr>
          <w:p>
            <w:pPr>
              <w:spacing w:after="0"/>
              <w:rPr>
                <w:sz w:val="19"/>
                <w:szCs w:val="19"/>
                <w:color w:val="auto"/>
              </w:rPr>
            </w:pPr>
          </w:p>
        </w:tc>
        <w:tc>
          <w:tcPr>
            <w:tcW w:w="1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0" w:type="dxa"/>
            <w:vAlign w:val="bottom"/>
          </w:tcPr>
          <w:p>
            <w:pPr>
              <w:spacing w:after="0"/>
              <w:rPr>
                <w:sz w:val="1"/>
                <w:szCs w:val="1"/>
                <w:color w:val="auto"/>
              </w:rPr>
            </w:pPr>
          </w:p>
        </w:tc>
      </w:tr>
      <w:tr>
        <w:trPr>
          <w:trHeight w:val="223"/>
        </w:trPr>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(Note 16)</w:t>
            </w:r>
          </w:p>
        </w:tc>
        <w:tc>
          <w:tcPr>
            <w:tcW w:w="30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21,231</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11,239</w:t>
            </w:r>
          </w:p>
        </w:tc>
        <w:tc>
          <w:tcPr>
            <w:tcW w:w="0" w:type="dxa"/>
            <w:vAlign w:val="bottom"/>
          </w:tcPr>
          <w:p>
            <w:pPr>
              <w:spacing w:after="0"/>
              <w:rPr>
                <w:sz w:val="1"/>
                <w:szCs w:val="1"/>
                <w:color w:val="auto"/>
              </w:rPr>
            </w:pPr>
          </w:p>
        </w:tc>
      </w:tr>
      <w:tr>
        <w:trPr>
          <w:trHeight w:val="229"/>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248"/>
        </w:trPr>
        <w:tc>
          <w:tcPr>
            <w:tcW w:w="6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24,145</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13,879</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and Accrued 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6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 consisted of the following (in thousands):</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69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300" w:type="dxa"/>
            <w:vAlign w:val="bottom"/>
          </w:tcPr>
          <w:p>
            <w:pPr>
              <w:spacing w:after="0"/>
              <w:rPr>
                <w:sz w:val="19"/>
                <w:szCs w:val="19"/>
                <w:color w:val="auto"/>
              </w:rPr>
            </w:pPr>
          </w:p>
        </w:tc>
        <w:tc>
          <w:tcPr>
            <w:tcW w:w="1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0" w:type="dxa"/>
            <w:vAlign w:val="bottom"/>
          </w:tcPr>
          <w:p>
            <w:pPr>
              <w:spacing w:after="0"/>
              <w:rPr>
                <w:sz w:val="1"/>
                <w:szCs w:val="1"/>
                <w:color w:val="auto"/>
              </w:rPr>
            </w:pPr>
          </w:p>
        </w:tc>
      </w:tr>
      <w:tr>
        <w:trPr>
          <w:trHeight w:val="223"/>
        </w:trPr>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13,592</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10,646</w:t>
            </w:r>
          </w:p>
        </w:tc>
        <w:tc>
          <w:tcPr>
            <w:tcW w:w="0" w:type="dxa"/>
            <w:vAlign w:val="bottom"/>
          </w:tcPr>
          <w:p>
            <w:pPr>
              <w:spacing w:after="0"/>
              <w:rPr>
                <w:sz w:val="1"/>
                <w:szCs w:val="1"/>
                <w:color w:val="auto"/>
              </w:rPr>
            </w:pP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20,130</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Purchasing card payable</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17,698</w:t>
            </w:r>
          </w:p>
        </w:tc>
        <w:tc>
          <w:tcPr>
            <w:tcW w:w="0" w:type="dxa"/>
            <w:vAlign w:val="bottom"/>
          </w:tcPr>
          <w:p>
            <w:pPr>
              <w:spacing w:after="0"/>
              <w:rPr>
                <w:sz w:val="1"/>
                <w:szCs w:val="1"/>
                <w:color w:val="auto"/>
              </w:rPr>
            </w:pP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Salaries and benefits payable</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13,349</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0" w:type="dxa"/>
            <w:vAlign w:val="bottom"/>
          </w:tcPr>
          <w:p>
            <w:pPr>
              <w:spacing w:after="0"/>
              <w:rPr>
                <w:sz w:val="1"/>
                <w:szCs w:val="1"/>
                <w:color w:val="auto"/>
              </w:rPr>
            </w:pPr>
          </w:p>
        </w:tc>
      </w:tr>
      <w:tr>
        <w:trPr>
          <w:trHeight w:val="223"/>
        </w:trPr>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65,573</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64,090</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 consisted of the following (in thousands):</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9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300" w:type="dxa"/>
            <w:vAlign w:val="bottom"/>
          </w:tcPr>
          <w:p>
            <w:pPr>
              <w:spacing w:after="0"/>
              <w:rPr>
                <w:sz w:val="19"/>
                <w:szCs w:val="19"/>
                <w:color w:val="auto"/>
              </w:rPr>
            </w:pPr>
          </w:p>
        </w:tc>
        <w:tc>
          <w:tcPr>
            <w:tcW w:w="1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0" w:type="dxa"/>
            <w:vAlign w:val="bottom"/>
          </w:tcPr>
          <w:p>
            <w:pPr>
              <w:spacing w:after="0"/>
              <w:rPr>
                <w:sz w:val="1"/>
                <w:szCs w:val="1"/>
                <w:color w:val="auto"/>
              </w:rPr>
            </w:pPr>
          </w:p>
        </w:tc>
      </w:tr>
      <w:tr>
        <w:trPr>
          <w:trHeight w:val="223"/>
        </w:trPr>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Participation units liability, current (Note 10)</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maturities of operating lease liability</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23"/>
        </w:trPr>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0" w:type="dxa"/>
            <w:vAlign w:val="bottom"/>
          </w:tcPr>
          <w:p>
            <w:pPr>
              <w:spacing w:after="0"/>
              <w:rPr>
                <w:sz w:val="1"/>
                <w:szCs w:val="1"/>
                <w:color w:val="auto"/>
              </w:rPr>
            </w:pPr>
          </w:p>
        </w:tc>
      </w:tr>
      <w:tr>
        <w:trPr>
          <w:trHeight w:val="20"/>
        </w:trPr>
        <w:tc>
          <w:tcPr>
            <w:tcW w:w="696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25"/>
        </w:trPr>
        <w:tc>
          <w:tcPr>
            <w:tcW w:w="6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9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Noncurrent Liabilities</w:t>
            </w: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73"/>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 consisted of the following (in thousands):</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86"/>
        </w:trPr>
        <w:tc>
          <w:tcPr>
            <w:tcW w:w="69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1760" w:type="dxa"/>
            <w:vAlign w:val="bottom"/>
            <w:tcBorders>
              <w:bottom w:val="single" w:sz="8" w:color="auto"/>
            </w:tcBorders>
          </w:tcPr>
          <w:p>
            <w:pPr>
              <w:spacing w:after="0"/>
              <w:rPr>
                <w:sz w:val="24"/>
                <w:szCs w:val="24"/>
                <w:color w:val="auto"/>
              </w:rPr>
            </w:pPr>
          </w:p>
        </w:tc>
      </w:tr>
      <w:tr>
        <w:trPr>
          <w:trHeight w:val="223"/>
        </w:trPr>
        <w:tc>
          <w:tcPr>
            <w:tcW w:w="6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300" w:type="dxa"/>
            <w:vAlign w:val="bottom"/>
          </w:tcPr>
          <w:p>
            <w:pPr>
              <w:spacing w:after="0"/>
              <w:rPr>
                <w:sz w:val="19"/>
                <w:szCs w:val="19"/>
                <w:color w:val="auto"/>
              </w:rPr>
            </w:pPr>
          </w:p>
        </w:tc>
        <w:tc>
          <w:tcPr>
            <w:tcW w:w="1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r>
      <w:tr>
        <w:trPr>
          <w:trHeight w:val="223"/>
        </w:trPr>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Participation units liability, non-current (Note 10)</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r>
      <w:tr>
        <w:trPr>
          <w:trHeight w:val="230"/>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liability, noncurrent (Note 16)</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21,850</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10,647</w:t>
            </w:r>
          </w:p>
        </w:tc>
      </w:tr>
      <w:tr>
        <w:trPr>
          <w:trHeight w:val="248"/>
        </w:trPr>
        <w:tc>
          <w:tcPr>
            <w:tcW w:w="6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22,390</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12,674</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Receivable Agreement</w:t>
      </w:r>
    </w:p>
    <w:p>
      <w:pPr>
        <w:spacing w:after="0" w:line="25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October 15, 2021, we entered into a Tax Receivable Agreement ("TRA") with certain Opco Equity Holders. Pursuant to the TRA, among other things, holders of Opco common units may, subject to certain conditions, from and after April 16, 2022, exchange such Paired Interests for Class A common stock on a one-for-one basis, subject to the terms of the Exchange Agreement, including our right to elect to deliver cash in lieu of Class A common stock and, in certain cases, adjustments as set forth therein. Opco will have in effect an election under Section 754 of the Internal Revenue Code for each taxable year in which an exchange of Opco common units for Class A common stock (or cash) occurs.</w:t>
      </w:r>
    </w:p>
    <w:p>
      <w:pPr>
        <w:spacing w:after="0" w:line="191" w:lineRule="exact"/>
        <w:rPr>
          <w:sz w:val="20"/>
          <w:szCs w:val="20"/>
          <w:color w:val="auto"/>
        </w:rPr>
      </w:pPr>
    </w:p>
    <w:p>
      <w:pPr>
        <w:jc w:val="both"/>
        <w:ind w:right="20" w:firstLine="648"/>
        <w:spacing w:after="0" w:line="305" w:lineRule="auto"/>
        <w:rPr>
          <w:sz w:val="20"/>
          <w:szCs w:val="20"/>
          <w:color w:val="auto"/>
        </w:rPr>
      </w:pPr>
      <w:r>
        <w:rPr>
          <w:rFonts w:ascii="Times New Roman" w:cs="Times New Roman" w:eastAsia="Times New Roman" w:hAnsi="Times New Roman"/>
          <w:sz w:val="18"/>
          <w:szCs w:val="18"/>
          <w:color w:val="auto"/>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83"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The TRA provides for the payment by us to exchanging holders of Opco common units of 85% of certain net income tax benefits, if any, that we realize (or in certain cases is deemed to realize) as a result of these increases in tax basis related to entering into the TRA, including tax benefits attributable to payments under the TRA. This payment obligation is an obligation of the Company and not of Opco. For purposes of the TRA, the cash tax savings in income tax will be computed by comparing our actual income tax liability (calculated with certain assumptions) to the amount of such taxes that we would have been required to pay had there been no increase to the tax basis of the assets of Opco as a result of Opco having an election in effect under Section 754 of the Code for each taxable year in which an exchange of Opco common units for Class A common stock occurs and had we not entered into the TRA. Such change will be calculated under the TRA without regard to any transfers of Opco common units or distributions with respect to such Opco common units before the exchange under the Exchange Agreement to which Section 743(b) or 734(b) of the Code applies. As of June 30, 2022, 17,554,639 Opco common units were exchanged for Class A common stock. Refer to Note 13 regarding the contingency related to the TRA.</w:t>
      </w:r>
    </w:p>
    <w:p>
      <w:pPr>
        <w:spacing w:after="0" w:line="179"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ICE Management and Technical Support</w:t>
      </w:r>
    </w:p>
    <w:p>
      <w:pPr>
        <w:spacing w:after="0" w:line="254"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December 2018, we entered into an intercompany services agreement with ICE to provide management and technical support services. For the three and six months ended June 30, 2021, expenses of $0.5 million and $0.9 million, respectively, have been recorded in connection with this agreement and are reflected as “Related party expenses (affiliate in Predecessor periods)” in the statements of operations. Prior to the Business Combination, ICE also made various payroll distributions and payments to vendors on behalf of Opco and made unitary state income taxes on behalf of DACC Technologies, Inc., and Digital Asset Custody Company, Inc. (collectively with DACC Technologies, Inc., “DACC”). We recorded no expense during the three and six months ended June 30, 2022 under this agreement.</w:t>
      </w:r>
    </w:p>
    <w:p>
      <w:pPr>
        <w:spacing w:after="0" w:line="191"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Upon consummation of the Business Combination, we entered into a Transition Services Agreement (“TSA”) with ICE, which superseded the intercompany services agreement pursuant to which ICE will provide insurance, digital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warehouse, data center, technical support, and other transition-related services in exchange for quarterly service fees to be paid by us. We recognized $0.3 million and $0.6 million of expense related to the TSA for the three and six months ended June 30, 2022, respectively, which is reflected as “Related party expenses (affiliate in Predecessor periods)” in the statements of operations and “Due to related party (affiliate in Predecessor period)” in the balance sheets.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Triparty Agreement</w:t>
      </w:r>
    </w:p>
    <w:p>
      <w:pPr>
        <w:spacing w:after="0" w:line="254"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The Triparty Agreement provides for ICE Futures U.S., Inc. ("IFUS") to list for trading one or more digital currency futures and/or options contracts, and for ICUS to serve as the clearing house to provide central counterparty and ancillary services for such contracts. The Triparty Agreement also governs our physically-delivered bitcoin futures and options contracts (“PDF Contracts”). Refer to Note 8 to our consolidated financial statements included in our Form 10-K for additional description of the Triparty Agreement. On July 21, 2022, we entered into an amendment to the Triparty Agreement, which specified certain marketing obligations of the Parties and revised the revenue allocation among the Parties to an equal rate as between Bakkt, on the one hand, and IFUS and ICUS, on the other hand. The Triparty Agreement does not currently have a material effect on the consolidated financial statements.</w:t>
      </w:r>
    </w:p>
    <w:p>
      <w:pPr>
        <w:spacing w:after="0" w:line="19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We recognized revenues related to the Triparty Agreement of less than $0.1 million for each of the three and six months ended June 30, 2022, net of rebates and incentive payments (contra-revenue) of less than $0.1 million for the three and six months ended June 30, 2022. We recognized revenues related to the Triparty Agreement of approximately $0.1 million and $0.4 million for the three and six months ended June 30, 2021, net of rebates and incentive payments (contra-revenue) of $0.1 million and $0.4 million for the three and six months ended June 30, 2021.</w:t>
      </w:r>
    </w:p>
    <w:p>
      <w:pPr>
        <w:spacing w:after="0" w:line="190"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The Triparty Agreement also required Bakkt Trust to make, and, subject to certain limits, to replenish as needed a $35.4 million default resource contribution to ICUS, to be used by ICUS in accordance with the ICUS rules. As described in Note 5, the contribution requirement was reduced to $15.0 million in 2021. The contribution is included in the “Deposits with clearinghouse” noncurrent balance. Interest earned on the contribution, net of certain fees and costs, is paid to Bakkt Trust from ICUS. We did not earn any interest for the three and six months ended June 30, 2022 and 2021.</w:t>
      </w:r>
    </w:p>
    <w:p>
      <w:pPr>
        <w:spacing w:after="0" w:line="173"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Prior to the Business Combination, we also recognized a capital contribution for the cost of the trading and clearing services provided by IFUS and ICUS pursuant to the Contribution Agreement, which reduced revenue attributable to the Triparty Agreement by $0.2 million and $0.3 million for the three and six months ended June 30, 2021 (Note 9), respectively. We did not recognize a material reduction in revenue related to this capital contribution for the three and six months ended June 30, 2022.</w:t>
      </w:r>
    </w:p>
    <w:p>
      <w:pPr>
        <w:spacing w:after="0" w:line="17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As of June 30, 2022 and December 31, 2021, we had approximately $0.6 million and approximately $0.6 million, respectively, reflected as “Due to related party” in the balance sheets related to the TSA and Triparty Agreement. As of June 30, 2022, we had no amount recorded within “Accounts receivable, net” in the balance sheets related to the Triparty Agreement, and as of December 31, 2021, we had less than $0.1 million recorded.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Contractual Relationships with ICE</w:t>
      </w:r>
    </w:p>
    <w:p>
      <w:pPr>
        <w:spacing w:after="0" w:line="254"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Prior to the withdrawal of Bakkt Clearing’s ICUS membership on May 20, 2020, Bakkt Clearing was required to hold shares of ICE stock for ICUS membership privileges. These shares were carried at cost basis and evaluated periodically for impairment. In connection with the withdrawal of Bakkt Clearing’s ICUS membership, these shares were remeasured at fair value, with unrealized gains and losses being reflected as “Other income (expense), net” in the statements of operations. In June 2021, we sold all of our shares of ICE stock. During the three and six months ended June 30, 2021, we recorded a realized loss on the sale of shares of affiliate stock of approximately $0.1 million which is included in “Other expense, net”. We did not recognize a loss on the sale of shares of affiliate stock during the three and six months ended June 30, 2022.</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7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As of June 30, 2022, there were 7,140,829 public warrants outstanding. Public warrants may only be exercised for a whole number of shares. No fractional shares will be issued upon exercise of the public warrant. Each warrant entitles its holders to purchase one share of Class A common stock at an exercise price of $11.50 per share. The public warrants became exercisable on November 15, 2021. The public warrants will expire on October 15, 2026, or earlier upon redemption or liquidation. We may redeem the outstanding warrants when various conditions are met, such as specific stock prices, as detailed in the specific warrant agreements. The warrants are recorded as a liability and reflected as “Warrant liability” in the balance sheets.</w:t>
      </w:r>
    </w:p>
    <w:p>
      <w:pPr>
        <w:spacing w:after="0" w:line="177"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During the three and six months ended June 30, 2022, we received less than $0.1 million in proceeds from the exercise of the public warrants. We recognized a gain from the change in fair value of the warrant liability during the three and six months ended June 30, 2022, of $10.3 million and $12.7 million, respectively.</w:t>
      </w:r>
    </w:p>
    <w:p>
      <w:pPr>
        <w:spacing w:after="0" w:line="179" w:lineRule="exact"/>
        <w:rPr>
          <w:sz w:val="20"/>
          <w:szCs w:val="20"/>
          <w:color w:val="auto"/>
        </w:rPr>
      </w:pPr>
    </w:p>
    <w:p>
      <w:pPr>
        <w:ind w:right="9280" w:firstLine="8"/>
        <w:spacing w:after="0" w:line="542" w:lineRule="auto"/>
        <w:tabs>
          <w:tab w:leader="none" w:pos="32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Preferred Stock</w:t>
      </w:r>
    </w:p>
    <w:p>
      <w:pPr>
        <w:spacing w:after="0" w:line="1"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We are authorized to issue 1,000,000 shares of preferred stock with a par value of $0.0001 per share. The holders of a series of preferred stock shall be entitled only to such voting rights as shall expressly be granted thereto by the Certificate of Incorporation (including any certificate of designation relating to such series of preferred stock). As of June 30, 2022, no shares of preferred stock have been issued.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7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We are authorized to issue 750,000,000 shares with a par value of $0.0001 per share. Each holder of Class A common stock is entitled to one vote for each share of Class A common stock held of record by such holder on all matters on which stockholders generally or holders of Class A common stock as a separate class are entitled to vote, including the election or removal of directors (whether voting separately as a class or together with one or more classes of our capital stock). As of June 30, 2022, there were 75,343,724 shares of Class A common stock issued and outstanding.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54"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our Board out of funds legally available therefor.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268" w:lineRule="exact"/>
        <w:rPr>
          <w:sz w:val="20"/>
          <w:szCs w:val="20"/>
          <w:color w:val="auto"/>
        </w:rPr>
      </w:pPr>
    </w:p>
    <w:p>
      <w:pPr>
        <w:jc w:val="both"/>
        <w:ind w:right="20" w:firstLine="648"/>
        <w:spacing w:after="0" w:line="305"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A common stock are entitled to share ratably in all assets remaining after payment of our debts and other liabilities, subject to prior distribution rights of preferred stock or any class or series of stock having a preference over the Class A common stock, then outstanding, if 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27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We are authorized to issue 250,000,000 shares with par value $0.0001 per share. These shares have no economic value but entitle the holder to one vote per share. Each Opco common unit, when coupled with one share of our Class V common stock is referred to as a “Paired Interest.” Paired Interests may be exchanged for one share of our Class A common stock or a cash amount in accordance with the Third Amended and Restated Limited Liability Company</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Agreement of Opco and the Amended and Restated Exchange Agreement. Holders of Paired Interests become eligible on April 16, 2022 under the Exchange Agreement, dated October 15, 2021, to exchange their Paired Interests for Class A common stock or, at our election, cash in lieu thereof. As of June 30, 2022, there were 188,438,938 shares of Class V common stock issued and outstanding.</w:t>
      </w:r>
    </w:p>
    <w:p>
      <w:pPr>
        <w:spacing w:after="0" w:line="183" w:lineRule="exact"/>
        <w:rPr>
          <w:sz w:val="20"/>
          <w:szCs w:val="20"/>
          <w:color w:val="auto"/>
        </w:rPr>
      </w:pPr>
    </w:p>
    <w:p>
      <w:pPr>
        <w:jc w:val="both"/>
        <w:ind w:right="20" w:firstLine="648"/>
        <w:spacing w:after="0" w:line="313" w:lineRule="auto"/>
        <w:rPr>
          <w:sz w:val="20"/>
          <w:szCs w:val="20"/>
          <w:color w:val="auto"/>
        </w:rPr>
      </w:pPr>
      <w:r>
        <w:rPr>
          <w:rFonts w:ascii="Times New Roman" w:cs="Times New Roman" w:eastAsia="Times New Roman" w:hAnsi="Times New Roman"/>
          <w:sz w:val="18"/>
          <w:szCs w:val="18"/>
          <w:color w:val="auto"/>
        </w:rPr>
        <w:t>Following the expiration of the six-month lock-up period on April 16, 2022, holders of Paired Interests exchanged an aggregate of 17.5 million Paired Interests for our Class A common stock, and the Company did not elect to settle any such exchanges in cash.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Dividends shall not be declared or paid on the Class V common stock.</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254"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shall not be entitled to receive any of our assets.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Restrictions</w:t>
      </w:r>
    </w:p>
    <w:p>
      <w:pPr>
        <w:spacing w:after="0" w:line="268"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a Opco common units, such share will automatically be transferred to us and cancelled for no consideration. We will not issue additional shares of Class V common stock after the effectiveness of the Certificate of Incorporation other than in connection with the valid issuance or transfer of Opco common units in accordance with Opco’s Third Amended and Restated Limited Liability Company Agreement (the “LLC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70" w:lineRule="exact"/>
        <w:rPr>
          <w:sz w:val="20"/>
          <w:szCs w:val="20"/>
          <w:color w:val="auto"/>
        </w:rPr>
      </w:pPr>
    </w:p>
    <w:p>
      <w:pPr>
        <w:jc w:val="both"/>
        <w:ind w:firstLine="324"/>
        <w:spacing w:after="0" w:line="293" w:lineRule="auto"/>
        <w:rPr>
          <w:sz w:val="20"/>
          <w:szCs w:val="20"/>
          <w:color w:val="auto"/>
        </w:rPr>
      </w:pPr>
      <w:r>
        <w:rPr>
          <w:rFonts w:ascii="Times New Roman" w:cs="Times New Roman" w:eastAsia="Times New Roman" w:hAnsi="Times New Roman"/>
          <w:sz w:val="18"/>
          <w:szCs w:val="18"/>
          <w:color w:val="auto"/>
        </w:rPr>
        <w:t>Bakkt Holdings, Inc. is the sole managing member of Opco and, as a result, consolidates the financial results of Opco. The Company reports a noncontrolling interest representing the economic interest in Opco held by the other members of Opco. Each Opco common unit, when coupled with one share of our Class V common stock is referred to as a “Paired Interest.” Paired Interests may be exchanged for one share of our Class A common stock or redeemed for a cash amount in accordance with the Third Amended and Restated Limited Liability Company Agreement of Opco and the Amended and Restated Exchange Agreement. In connection with any redemption or exchange, the Company will receive a corresponding number of Opco common units, increasing the Company's total ownership interest in Opco. Changes in our ownership interest in Opco while we retain a controlling interest in Opco will be accounted for as equity transactions. As such, future redemptions or direct exchanges of Opco common units by the noncontrolling members of Opco will result in a change in ownership and reduce the amount recorded as noncontrolling interest and increase additional paid-in capital.</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ownership interest in Bakkt Opco Holdings, LLC as of June 30,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197485</wp:posOffset>
            </wp:positionV>
            <wp:extent cx="42087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20878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right="40"/>
        <w:spacing w:after="0" w:line="245" w:lineRule="auto"/>
        <w:rPr>
          <w:sz w:val="20"/>
          <w:szCs w:val="20"/>
          <w:color w:val="auto"/>
        </w:rPr>
      </w:pPr>
      <w:r>
        <w:rPr>
          <w:rFonts w:ascii="Times New Roman" w:cs="Times New Roman" w:eastAsia="Times New Roman" w:hAnsi="Times New Roman"/>
          <w:sz w:val="18"/>
          <w:szCs w:val="18"/>
          <w:color w:val="auto"/>
        </w:rPr>
        <w:t>Opco common units held by Bakkt Holdings, Inc. (Class A Common Stock)</w:t>
      </w:r>
    </w:p>
    <w:p>
      <w:pPr>
        <w:spacing w:after="0" w:line="1" w:lineRule="exact"/>
        <w:rPr>
          <w:sz w:val="20"/>
          <w:szCs w:val="20"/>
          <w:color w:val="auto"/>
        </w:rPr>
      </w:pPr>
    </w:p>
    <w:p>
      <w:pPr>
        <w:ind w:left="20"/>
        <w:spacing w:after="0" w:line="245" w:lineRule="auto"/>
        <w:rPr>
          <w:sz w:val="20"/>
          <w:szCs w:val="20"/>
          <w:color w:val="auto"/>
        </w:rPr>
      </w:pPr>
      <w:r>
        <w:rPr>
          <w:rFonts w:ascii="Times New Roman" w:cs="Times New Roman" w:eastAsia="Times New Roman" w:hAnsi="Times New Roman"/>
          <w:sz w:val="18"/>
          <w:szCs w:val="18"/>
          <w:color w:val="auto"/>
        </w:rPr>
        <w:t>Opco common units held by noncontrolling interest holders (Class V Common Stock)</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Opco common units outstanding</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40" w:type="dxa"/>
            <w:vAlign w:val="bottom"/>
            <w:tcBorders>
              <w:top w:val="single" w:sz="8" w:color="auto"/>
            </w:tcBorders>
          </w:tcPr>
          <w:p>
            <w:pPr>
              <w:jc w:val="right"/>
              <w:ind w:right="650"/>
              <w:spacing w:after="0" w:line="174" w:lineRule="exact"/>
              <w:rPr>
                <w:sz w:val="20"/>
                <w:szCs w:val="20"/>
                <w:color w:val="auto"/>
              </w:rPr>
            </w:pPr>
            <w:r>
              <w:rPr>
                <w:rFonts w:ascii="Times New Roman" w:cs="Times New Roman" w:eastAsia="Times New Roman" w:hAnsi="Times New Roman"/>
                <w:sz w:val="18"/>
                <w:szCs w:val="18"/>
                <w:b w:val="1"/>
                <w:bCs w:val="1"/>
                <w:color w:val="auto"/>
              </w:rPr>
              <w:t>Opco</w:t>
            </w:r>
          </w:p>
        </w:tc>
        <w:tc>
          <w:tcPr>
            <w:tcW w:w="152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Ownership %</w:t>
            </w:r>
          </w:p>
        </w:tc>
        <w:tc>
          <w:tcPr>
            <w:tcW w:w="0" w:type="dxa"/>
            <w:vAlign w:val="bottom"/>
          </w:tcPr>
          <w:p>
            <w:pPr>
              <w:spacing w:after="0"/>
              <w:rPr>
                <w:sz w:val="1"/>
                <w:szCs w:val="1"/>
                <w:color w:val="auto"/>
              </w:rPr>
            </w:pPr>
          </w:p>
        </w:tc>
      </w:tr>
      <w:tr>
        <w:trPr>
          <w:trHeight w:val="238"/>
        </w:trPr>
        <w:tc>
          <w:tcPr>
            <w:tcW w:w="1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Common Units</w:t>
            </w:r>
          </w:p>
        </w:tc>
        <w:tc>
          <w:tcPr>
            <w:tcW w:w="1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75,343,724</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418"/>
        </w:trPr>
        <w:tc>
          <w:tcPr>
            <w:tcW w:w="1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188,438,938</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95"/>
        </w:trPr>
        <w:tc>
          <w:tcPr>
            <w:tcW w:w="17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7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263,782,662</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-719455</wp:posOffset>
            </wp:positionV>
            <wp:extent cx="7132320" cy="265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-187960</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60" w:type="dxa"/>
            <w:vAlign w:val="bottom"/>
            <w:tcBorders>
              <w:top w:val="single" w:sz="8" w:color="auto"/>
            </w:tcBorders>
          </w:tcPr>
          <w:p>
            <w:pPr>
              <w:jc w:val="right"/>
              <w:ind w:right="670"/>
              <w:spacing w:after="0" w:line="174" w:lineRule="exact"/>
              <w:rPr>
                <w:sz w:val="20"/>
                <w:szCs w:val="20"/>
                <w:color w:val="auto"/>
              </w:rPr>
            </w:pPr>
            <w:r>
              <w:rPr>
                <w:rFonts w:ascii="Times New Roman" w:cs="Times New Roman" w:eastAsia="Times New Roman" w:hAnsi="Times New Roman"/>
                <w:sz w:val="18"/>
                <w:szCs w:val="18"/>
                <w:b w:val="1"/>
                <w:bCs w:val="1"/>
                <w:color w:val="auto"/>
              </w:rPr>
              <w:t>Opco</w:t>
            </w:r>
          </w:p>
        </w:tc>
        <w:tc>
          <w:tcPr>
            <w:tcW w:w="150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Ownership %</w:t>
            </w:r>
          </w:p>
        </w:tc>
        <w:tc>
          <w:tcPr>
            <w:tcW w:w="0" w:type="dxa"/>
            <w:vAlign w:val="bottom"/>
          </w:tcPr>
          <w:p>
            <w:pPr>
              <w:spacing w:after="0"/>
              <w:rPr>
                <w:sz w:val="1"/>
                <w:szCs w:val="1"/>
                <w:color w:val="auto"/>
              </w:rPr>
            </w:pPr>
          </w:p>
        </w:tc>
      </w:tr>
      <w:tr>
        <w:trPr>
          <w:trHeight w:val="238"/>
        </w:trPr>
        <w:tc>
          <w:tcPr>
            <w:tcW w:w="1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Common Units</w:t>
            </w:r>
          </w:p>
        </w:tc>
        <w:tc>
          <w:tcPr>
            <w:tcW w:w="1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57,164,388</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418"/>
        </w:trPr>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206,271,792</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95"/>
        </w:trPr>
        <w:tc>
          <w:tcPr>
            <w:tcW w:w="17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263,436,180</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17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4320" w:space="300"/>
            <w:col w:w="3260" w:space="100"/>
            <w:col w:w="3260"/>
          </w:cols>
          <w:pgMar w:left="320" w:top="1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The weighted average ownership percentages for the applicable reporting periods are used to attribute net loss and other comprehensive loss to Bakkt Holdings, Inc. and the noncontrolling interest holders. The noncontrolling interest holders' weighted average ownership percentage for the three and six months ended June 30, 2022 was 72.5% and 75.2%, respectively.</w:t>
      </w:r>
    </w:p>
    <w:p>
      <w:pPr>
        <w:spacing w:after="0" w:line="183"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The following table summarizes the effects of changes in ownership of Bakkt Opco Holdings, LLC on the Company's equity during the three and six months ended June 30, 2022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1720" w:type="dxa"/>
            <w:vAlign w:val="bottom"/>
            <w:tcBorders>
              <w:bottom w:val="single" w:sz="8" w:color="auto"/>
            </w:tcBorders>
          </w:tcPr>
          <w:p>
            <w:pPr>
              <w:spacing w:after="0"/>
              <w:rPr>
                <w:sz w:val="20"/>
                <w:szCs w:val="20"/>
                <w:color w:val="auto"/>
              </w:rPr>
            </w:pPr>
          </w:p>
        </w:tc>
      </w:tr>
      <w:tr>
        <w:trPr>
          <w:trHeight w:val="169"/>
        </w:trPr>
        <w:tc>
          <w:tcPr>
            <w:tcW w:w="6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2"/>
          </w:tcPr>
          <w:p>
            <w:pPr>
              <w:jc w:val="center"/>
              <w:ind w:right="3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4"/>
                <w:szCs w:val="14"/>
                <w:color w:val="auto"/>
              </w:rPr>
            </w:pPr>
          </w:p>
        </w:tc>
        <w:tc>
          <w:tcPr>
            <w:tcW w:w="1720" w:type="dxa"/>
            <w:vAlign w:val="bottom"/>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6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220" w:type="dxa"/>
            <w:vAlign w:val="bottom"/>
          </w:tcPr>
          <w:p>
            <w:pPr>
              <w:spacing w:after="0"/>
              <w:rPr>
                <w:sz w:val="20"/>
                <w:szCs w:val="20"/>
                <w:color w:val="auto"/>
              </w:rPr>
            </w:pPr>
          </w:p>
        </w:tc>
        <w:tc>
          <w:tcPr>
            <w:tcW w:w="17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June 30, 2022</w:t>
            </w:r>
          </w:p>
        </w:tc>
      </w:tr>
      <w:tr>
        <w:trPr>
          <w:trHeight w:val="225"/>
        </w:trPr>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Bakkt Holdings, Inc.</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w:t>
            </w:r>
          </w:p>
        </w:tc>
      </w:tr>
      <w:tr>
        <w:trPr>
          <w:trHeight w:val="22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6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loss on foreign currency translation adjustment</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losses on available-for-sale securities</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7"/>
        </w:trPr>
        <w:tc>
          <w:tcPr>
            <w:tcW w:w="69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r>
      <w:tr>
        <w:trPr>
          <w:trHeight w:val="22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from noncontrolling interests:</w:t>
            </w: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6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Increase in additional paid-in capital as a result of the exchange of Opco common units</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152,235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152,235</w:t>
            </w:r>
          </w:p>
        </w:tc>
      </w:tr>
      <w:tr>
        <w:trPr>
          <w:trHeight w:val="257"/>
        </w:trPr>
        <w:tc>
          <w:tcPr>
            <w:tcW w:w="69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r>
      <w:tr>
        <w:trPr>
          <w:trHeight w:val="248"/>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effect of changes in ownership interest on equity attributable to Bakkt Holdings, Inc.</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148,229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141,141</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The following table summarizes redemptions of Opco common units activity during the three and six months ended June 30, 2022. There were no exchanges prior to the expiration of the six-month lock-up period on April 16, 2022.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p>
        </w:tc>
        <w:tc>
          <w:tcPr>
            <w:tcW w:w="2560" w:type="dxa"/>
            <w:vAlign w:val="bottom"/>
            <w:tcBorders>
              <w:bottom w:val="single" w:sz="8" w:color="auto"/>
            </w:tcBorders>
            <w:gridSpan w:val="3"/>
          </w:tcPr>
          <w:p>
            <w:pPr>
              <w:ind w:left="176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1720" w:type="dxa"/>
            <w:vAlign w:val="bottom"/>
            <w:tcBorders>
              <w:bottom w:val="single" w:sz="8" w:color="auto"/>
            </w:tcBorders>
          </w:tcPr>
          <w:p>
            <w:pPr>
              <w:spacing w:after="0"/>
              <w:rPr>
                <w:sz w:val="20"/>
                <w:szCs w:val="20"/>
                <w:color w:val="auto"/>
              </w:rPr>
            </w:pPr>
          </w:p>
        </w:tc>
      </w:tr>
      <w:tr>
        <w:trPr>
          <w:trHeight w:val="174"/>
        </w:trPr>
        <w:tc>
          <w:tcPr>
            <w:tcW w:w="6960" w:type="dxa"/>
            <w:vAlign w:val="bottom"/>
          </w:tcPr>
          <w:p>
            <w:pPr>
              <w:spacing w:after="0"/>
              <w:rPr>
                <w:sz w:val="15"/>
                <w:szCs w:val="15"/>
                <w:color w:val="auto"/>
              </w:rPr>
            </w:pPr>
          </w:p>
        </w:tc>
        <w:tc>
          <w:tcPr>
            <w:tcW w:w="2560" w:type="dxa"/>
            <w:vAlign w:val="bottom"/>
            <w:gridSpan w:val="3"/>
          </w:tcPr>
          <w:p>
            <w:pPr>
              <w:jc w:val="center"/>
              <w:ind w:right="360"/>
              <w:spacing w:after="0" w:line="174"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720" w:type="dxa"/>
            <w:vAlign w:val="bottom"/>
          </w:tcPr>
          <w:p>
            <w:pPr>
              <w:jc w:val="right"/>
              <w:ind w:right="170"/>
              <w:spacing w:after="0" w:line="174" w:lineRule="exact"/>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6960" w:type="dxa"/>
            <w:vAlign w:val="bottom"/>
          </w:tcPr>
          <w:p>
            <w:pPr>
              <w:spacing w:after="0"/>
              <w:rPr>
                <w:sz w:val="20"/>
                <w:szCs w:val="20"/>
                <w:color w:val="auto"/>
              </w:rPr>
            </w:pPr>
          </w:p>
        </w:tc>
        <w:tc>
          <w:tcPr>
            <w:tcW w:w="25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17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June 30, 2022</w:t>
            </w:r>
          </w:p>
        </w:tc>
      </w:tr>
      <w:tr>
        <w:trPr>
          <w:trHeight w:val="210"/>
        </w:trPr>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Exchanges of Opco common units:</w:t>
            </w:r>
          </w:p>
        </w:tc>
        <w:tc>
          <w:tcPr>
            <w:tcW w:w="2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Opco common units exchanged by noncontrolling interest holders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17,554,639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17,554,639</w:t>
            </w: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common units received by Bakkt Holdings, Inc.</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17,554,639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17,554,639</w:t>
            </w:r>
          </w:p>
        </w:tc>
      </w:tr>
      <w:tr>
        <w:trPr>
          <w:trHeight w:val="270"/>
        </w:trPr>
        <w:tc>
          <w:tcPr>
            <w:tcW w:w="69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Class A common stock:</w:t>
            </w:r>
          </w:p>
        </w:tc>
        <w:tc>
          <w:tcPr>
            <w:tcW w:w="2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of Class A common stock issued in connection with exchanges of Opco common units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17,554,639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17,554,639</w:t>
            </w:r>
          </w:p>
        </w:tc>
      </w:tr>
      <w:tr>
        <w:trPr>
          <w:trHeight w:val="270"/>
        </w:trPr>
        <w:tc>
          <w:tcPr>
            <w:tcW w:w="696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Cancellation of Class V common stock:</w:t>
            </w:r>
          </w:p>
        </w:tc>
        <w:tc>
          <w:tcPr>
            <w:tcW w:w="2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of Class V common stock surrendered and canceled</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17,554,639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17,554,639</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Members’ Equity</w:t>
      </w:r>
    </w:p>
    <w:p>
      <w:pPr>
        <w:spacing w:after="0" w:line="270"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Prior to the Business Combination, Opco had three classes of voting units – Class A, Class B and Class C voting units – and incentive units granted under the Opco Incentive Equity Plan (the “Opco Plan”) (Note 10).</w:t>
      </w:r>
    </w:p>
    <w:p>
      <w:pPr>
        <w:spacing w:after="0" w:line="20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In connection with the Business Combination, the Opco equity holders converted 400,000,000 Opco Class A voting units, 192,453,454 Opco Class B voting units, and 270,270,270 Opco Class C voting units to 189,933,286 shares of Class V common stock on a pro rata basis. Additionally, we issued 17,473,362 shares of Class V common stock related to the outstanding Opco incentive units.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Class B Warrant</w:t>
      </w:r>
    </w:p>
    <w:p>
      <w:pPr>
        <w:spacing w:after="0" w:line="243"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On February 19, 2020, Opco issued a warrant to a strategic partner to purchase 15,000,000 of Opco’s Class B voting units (“Class B Warrant”), at an exercise price of $1.00 per unit, exercisable upon issuance, that expires 3 years from issuance.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April 6, 2021, the strategic partner elected to net exercise its Class B Warrant in exchange for 9,953,454 of Class B voting units.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Class C Warrant</w:t>
      </w:r>
    </w:p>
    <w:p>
      <w:pPr>
        <w:spacing w:after="0" w:line="256" w:lineRule="exact"/>
        <w:rPr>
          <w:sz w:val="20"/>
          <w:szCs w:val="20"/>
          <w:color w:val="auto"/>
        </w:rPr>
      </w:pPr>
    </w:p>
    <w:p>
      <w:pPr>
        <w:jc w:val="both"/>
        <w:ind w:right="20" w:firstLine="648"/>
        <w:spacing w:after="0" w:line="313" w:lineRule="auto"/>
        <w:rPr>
          <w:sz w:val="20"/>
          <w:szCs w:val="20"/>
          <w:color w:val="auto"/>
        </w:rPr>
      </w:pPr>
      <w:r>
        <w:rPr>
          <w:rFonts w:ascii="Times New Roman" w:cs="Times New Roman" w:eastAsia="Times New Roman" w:hAnsi="Times New Roman"/>
          <w:sz w:val="18"/>
          <w:szCs w:val="18"/>
          <w:color w:val="auto"/>
        </w:rPr>
        <w:t>In May, 2020, Opco issued a warrant to a minority investor to purchase 3,603,600 of Opco’s Class C voting units (“Class C Warrant”), at an exercise price of $1.11 per unit. Refer to Note 10 to our consolidated financial statements included in our Form 10-K where the Class C Warrant is described in detail.</w:t>
      </w:r>
    </w:p>
    <w:p>
      <w:pPr>
        <w:spacing w:after="0" w:line="16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connection with the Business Combination, the modified warrant units automatically converted into the right to purchase 793,352 Paired Interests in Opco at an exercise price of $5.04 per Paired Interest. As of June 30, 2022, 172,055 modified warrant units have vested but have not been exercised, and the remaining 621,297 warrant units have not vested or been exercised. As of June 30, 2021, no warrant units had vested or been exercised. No expenses were recorded during the three and six months ended June 30, 2022 and 2021, since the service conditions were not probable of being met in those periods.</w:t>
      </w:r>
    </w:p>
    <w:p>
      <w:pPr>
        <w:spacing w:after="0" w:line="187" w:lineRule="exact"/>
        <w:rPr>
          <w:sz w:val="20"/>
          <w:szCs w:val="20"/>
          <w:color w:val="auto"/>
        </w:rPr>
      </w:pPr>
    </w:p>
    <w:p>
      <w:pPr>
        <w:ind w:right="7560" w:firstLine="8"/>
        <w:spacing w:after="0" w:line="542" w:lineRule="auto"/>
        <w:tabs>
          <w:tab w:leader="none" w:pos="319"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and Unit-Based Compensation 2021 Incentive Plan</w:t>
      </w:r>
    </w:p>
    <w:p>
      <w:pPr>
        <w:spacing w:after="0" w:line="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Our 2021 Omnibus Incentive Plan (the “2021 Incentive Plan”) became effective on the Closing Date with the approval of VIH’s shareholders and the Board of Directors. The 2021 Incentive Plan allows us to make equity and equity-based incentive awards to employees, non-employee directors and consultants. There are 25,816,946 shares of Class A common stock reserved for issuance under the 2021 Incentive Plan which can be granted as stock options, stock appreciation rights, restricted shares, restricted stock units (RSUs), performance stock units (PSUs), dividend equivalent rights and other share-based awards. No award may vest earlier than the first anniversary of the date of grant, except under limited conditions.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27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During the three and six months ended June 30, 2022, we granted 2,323,402 and 9,292,472 RSUs, respectively, to employees and directors of Bakkt and Bakkt Trust. During the three and six months ended June 30, 2022, we granted 26,606 and 4,891,984 PSUs, respectively, which represents 100% of the target award. The majority of these grants were related to initial employment agreements for executives, which were approved by the Compensation Committee of the Board of Directors. We recorded $21.2 million of share-based compensation expense for the six months ended June 30, 2022, which is included in “Compensation and benefits” in the statements of operations.</w:t>
      </w:r>
    </w:p>
    <w:p>
      <w:pPr>
        <w:spacing w:after="0" w:line="191"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Unrecognized compensation expense as of June 30, 2022 was $45.1 million for the RSUs and PSUs. The unrecognized compensation expense will be recognized over a weighted-average period of 2.46 years.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 and PSU Activity</w:t>
      </w:r>
    </w:p>
    <w:p>
      <w:pPr>
        <w:spacing w:after="0" w:line="270" w:lineRule="exact"/>
        <w:rPr>
          <w:sz w:val="20"/>
          <w:szCs w:val="20"/>
          <w:color w:val="auto"/>
        </w:rPr>
      </w:pPr>
    </w:p>
    <w:p>
      <w:pPr>
        <w:jc w:val="both"/>
        <w:ind w:right="20" w:firstLine="648"/>
        <w:spacing w:after="0" w:line="313" w:lineRule="auto"/>
        <w:rPr>
          <w:sz w:val="20"/>
          <w:szCs w:val="20"/>
          <w:color w:val="auto"/>
        </w:rPr>
      </w:pPr>
      <w:r>
        <w:rPr>
          <w:rFonts w:ascii="Times New Roman" w:cs="Times New Roman" w:eastAsia="Times New Roman" w:hAnsi="Times New Roman"/>
          <w:sz w:val="18"/>
          <w:szCs w:val="18"/>
          <w:color w:val="auto"/>
        </w:rPr>
        <w:t>The following tables summarize RSU and PSU activity under the 2021 Incentive Plan for the six months ended June 30, 2022 (in thousands, except per unit data):</w:t>
      </w:r>
    </w:p>
    <w:p>
      <w:pPr>
        <w:spacing w:after="0" w:line="19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Successor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400" w:type="dxa"/>
            <w:vAlign w:val="bottom"/>
            <w:tcBorders>
              <w:top w:val="single" w:sz="8" w:color="auto"/>
            </w:tcBorders>
          </w:tcPr>
          <w:p>
            <w:pPr>
              <w:spacing w:after="0"/>
              <w:rPr>
                <w:sz w:val="14"/>
                <w:szCs w:val="14"/>
                <w:color w:val="auto"/>
              </w:rPr>
            </w:pPr>
          </w:p>
        </w:tc>
        <w:tc>
          <w:tcPr>
            <w:tcW w:w="244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78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4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00" w:type="dxa"/>
            <w:vAlign w:val="bottom"/>
          </w:tcPr>
          <w:p>
            <w:pPr>
              <w:spacing w:after="0"/>
              <w:rPr>
                <w:sz w:val="15"/>
                <w:szCs w:val="15"/>
                <w:color w:val="auto"/>
              </w:rPr>
            </w:pPr>
          </w:p>
        </w:tc>
        <w:tc>
          <w:tcPr>
            <w:tcW w:w="24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Number of RSUs and</w:t>
            </w:r>
          </w:p>
        </w:tc>
        <w:tc>
          <w:tcPr>
            <w:tcW w:w="17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780" w:type="dxa"/>
            <w:vAlign w:val="bottom"/>
            <w:gridSpan w:val="2"/>
            <w:vMerge w:val="continue"/>
          </w:tcPr>
          <w:p>
            <w:pPr>
              <w:spacing w:after="0"/>
              <w:rPr>
                <w:sz w:val="15"/>
                <w:szCs w:val="15"/>
                <w:color w:val="auto"/>
              </w:rPr>
            </w:pPr>
          </w:p>
        </w:tc>
        <w:tc>
          <w:tcPr>
            <w:tcW w:w="1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5"/>
        </w:trPr>
        <w:tc>
          <w:tcPr>
            <w:tcW w:w="3400" w:type="dxa"/>
            <w:vAlign w:val="bottom"/>
            <w:vMerge w:val="restart"/>
          </w:tcPr>
          <w:p>
            <w:pPr>
              <w:ind w:left="1400"/>
              <w:spacing w:after="0"/>
              <w:rPr>
                <w:sz w:val="20"/>
                <w:szCs w:val="20"/>
                <w:color w:val="auto"/>
              </w:rPr>
            </w:pPr>
            <w:r>
              <w:rPr>
                <w:rFonts w:ascii="Times New Roman" w:cs="Times New Roman" w:eastAsia="Times New Roman" w:hAnsi="Times New Roman"/>
                <w:sz w:val="18"/>
                <w:szCs w:val="18"/>
                <w:b w:val="1"/>
                <w:bCs w:val="1"/>
                <w:color w:val="auto"/>
              </w:rPr>
              <w:t>RSUs and PSUs</w:t>
            </w:r>
          </w:p>
        </w:tc>
        <w:tc>
          <w:tcPr>
            <w:tcW w:w="2440" w:type="dxa"/>
            <w:vAlign w:val="bottom"/>
            <w:vMerge w:val="continue"/>
          </w:tcPr>
          <w:p>
            <w:pPr>
              <w:spacing w:after="0"/>
              <w:rPr>
                <w:sz w:val="15"/>
                <w:szCs w:val="15"/>
                <w:color w:val="auto"/>
              </w:rPr>
            </w:pPr>
          </w:p>
        </w:tc>
        <w:tc>
          <w:tcPr>
            <w:tcW w:w="17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17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Grant Date Fair</w:t>
            </w:r>
          </w:p>
        </w:tc>
        <w:tc>
          <w:tcPr>
            <w:tcW w:w="1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0" w:type="dxa"/>
            <w:vAlign w:val="bottom"/>
            <w:tcBorders>
              <w:bottom w:val="single" w:sz="8" w:color="auto"/>
            </w:tcBorders>
            <w:vMerge w:val="continue"/>
          </w:tcPr>
          <w:p>
            <w:pPr>
              <w:spacing w:after="0"/>
              <w:rPr>
                <w:sz w:val="21"/>
                <w:szCs w:val="21"/>
                <w:color w:val="auto"/>
              </w:rPr>
            </w:pPr>
          </w:p>
        </w:tc>
        <w:tc>
          <w:tcPr>
            <w:tcW w:w="24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PSUs</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24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5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2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2,142</w:t>
            </w:r>
          </w:p>
        </w:tc>
        <w:tc>
          <w:tcPr>
            <w:tcW w:w="17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9.18</w:t>
            </w: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14,184</w:t>
            </w:r>
          </w:p>
        </w:tc>
        <w:tc>
          <w:tcPr>
            <w:tcW w:w="1740" w:type="dxa"/>
            <w:vAlign w:val="bottom"/>
          </w:tcPr>
          <w:p>
            <w:pPr>
              <w:spacing w:after="0"/>
              <w:rPr>
                <w:sz w:val="19"/>
                <w:szCs w:val="19"/>
                <w:color w:val="auto"/>
              </w:rPr>
            </w:pPr>
          </w:p>
        </w:tc>
        <w:tc>
          <w:tcPr>
            <w:tcW w:w="12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4.05</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57,389</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(995)</w:t>
            </w:r>
          </w:p>
        </w:tc>
        <w:tc>
          <w:tcPr>
            <w:tcW w:w="17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2022</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15,331</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4.71</w:t>
            </w:r>
          </w:p>
        </w:tc>
        <w:tc>
          <w:tcPr>
            <w:tcW w:w="4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as of June 30, 2022</w:t>
            </w:r>
          </w:p>
        </w:tc>
        <w:tc>
          <w:tcPr>
            <w:tcW w:w="2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1,182</w:t>
            </w:r>
          </w:p>
        </w:tc>
        <w:tc>
          <w:tcPr>
            <w:tcW w:w="17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During the six months ended June 30, 2022, we recorded $1.7 million of share-based compensation expense related to the accelerated vesting for certain employees. The expense was partially offset by the reversal for forfeitures of $0.8 million during the six months ended June 30, 2022, primarily comprised of $0.4 million related to an executive resignation.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of the RSUs and PSUs is based on the closing price of our common stock on the grant date.</w:t>
      </w:r>
    </w:p>
    <w:p>
      <w:pPr>
        <w:spacing w:after="0" w:line="25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Performance stock units provide an opportunity for the recipient to receive a number of shares of our common stock based on our performance during fiscal year 2022, 2023 and 2024, as measured against objective performance goals as determined by the Board. The actual number of units earned may range from 0% to 150% of the target number of units depending upon achievement of the performance goals. PSUs vest in three equal annual installments, subject to a catch-up provision over the three annual performance targets. Upon vesting, each performance stock unit equals one share of common stock of the Company. We accrue compensation expense for the PSUs based on our assessment of the probable outcome of the performance conditions.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Opco Plan</w:t>
      </w:r>
    </w:p>
    <w:p>
      <w:pPr>
        <w:spacing w:after="0" w:line="21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Preferred incentive units and common incentive units (collectively, “incentive units”) represent an ownership interest in Opco and are entitled to receive distributions from Opco, subject to certain vesting conditions. Participation units, issued directly by Opco to Opco Plan participants, do not represent an ownership interest in Opco but rather provide Opco Plan participants the contractual right to participate in the value of Opco, if any through a cash payment upon the occurrence of certain events following vesting of the participation units. Refer to Note 11 to our consolidated financial statements included in our Form 10-K where the modifications to the Opco Plan are described in detail.</w:t>
      </w:r>
    </w:p>
    <w:p>
      <w:pPr>
        <w:spacing w:after="0" w:line="191"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Upon consummation of the Business Combination, the 76,475,000 outstanding preferred incentive units and 23,219,745 outstanding common incentive units were converted into 17,473,362 Successor common incentive units, and the 10,811,502 outstanding participation units were converted into 1,197,250 Successor participation units. Contemporaneously with the conversion, approximately one-third of the awards in the Opco Plan vested. In November 2021, we made total payments of $5.2 million to settle the vested participation units. The second and third one-third tranches will generally vest on the one-year and two-year anniversary date of the closing, respectively, although under the terms of the Opco Plan, employees who are terminated without cause after the Closing Date will vest in the unvested portion of their awards immediately upon their termination date.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Unit-Based Compensation Expense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Unit-based compensation expense for the six months ended June 30, 2022, was as follows (in thousands):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Successor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9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Statement of</w:t>
            </w:r>
          </w:p>
        </w:tc>
        <w:tc>
          <w:tcPr>
            <w:tcW w:w="1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8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Operations and</w:t>
            </w:r>
          </w:p>
        </w:tc>
        <w:tc>
          <w:tcPr>
            <w:tcW w:w="176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0" w:type="dxa"/>
            <w:vAlign w:val="bottom"/>
          </w:tcPr>
          <w:p>
            <w:pPr>
              <w:spacing w:after="0"/>
              <w:rPr>
                <w:sz w:val="1"/>
                <w:szCs w:val="1"/>
                <w:color w:val="auto"/>
              </w:rPr>
            </w:pPr>
          </w:p>
        </w:tc>
      </w:tr>
      <w:tr>
        <w:trPr>
          <w:trHeight w:val="184"/>
        </w:trPr>
        <w:tc>
          <w:tcPr>
            <w:tcW w:w="5940" w:type="dxa"/>
            <w:vAlign w:val="bottom"/>
            <w:vMerge w:val="restart"/>
          </w:tcPr>
          <w:p>
            <w:pPr>
              <w:ind w:left="2520"/>
              <w:spacing w:after="0"/>
              <w:rPr>
                <w:sz w:val="20"/>
                <w:szCs w:val="20"/>
                <w:color w:val="auto"/>
              </w:rPr>
            </w:pPr>
            <w:r>
              <w:rPr>
                <w:rFonts w:ascii="Times New Roman" w:cs="Times New Roman" w:eastAsia="Times New Roman" w:hAnsi="Times New Roman"/>
                <w:sz w:val="18"/>
                <w:szCs w:val="18"/>
                <w:b w:val="1"/>
                <w:bCs w:val="1"/>
                <w:color w:val="auto"/>
              </w:rPr>
              <w:t>Type of unit</w:t>
            </w:r>
          </w:p>
        </w:tc>
        <w:tc>
          <w:tcPr>
            <w:tcW w:w="2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8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Comprehensive Loss</w:t>
            </w: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9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17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0" w:type="dxa"/>
            <w:vAlign w:val="bottom"/>
          </w:tcPr>
          <w:p>
            <w:pPr>
              <w:spacing w:after="0"/>
              <w:rPr>
                <w:sz w:val="1"/>
                <w:szCs w:val="1"/>
                <w:color w:val="auto"/>
              </w:rPr>
            </w:pPr>
          </w:p>
        </w:tc>
      </w:tr>
      <w:tr>
        <w:trPr>
          <w:trHeight w:val="169"/>
        </w:trPr>
        <w:tc>
          <w:tcPr>
            <w:tcW w:w="5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840" w:type="dxa"/>
            <w:vAlign w:val="bottom"/>
            <w:shd w:val="clear" w:color="auto" w:fill="CCEEFF"/>
          </w:tcPr>
          <w:p>
            <w:pPr>
              <w:ind w:left="120"/>
              <w:spacing w:after="0" w:line="169" w:lineRule="exact"/>
              <w:rPr>
                <w:sz w:val="20"/>
                <w:szCs w:val="20"/>
                <w:color w:val="auto"/>
              </w:rPr>
            </w:pPr>
            <w:r>
              <w:rPr>
                <w:rFonts w:ascii="Times New Roman" w:cs="Times New Roman" w:eastAsia="Times New Roman" w:hAnsi="Times New Roman"/>
                <w:sz w:val="18"/>
                <w:szCs w:val="18"/>
                <w:color w:val="auto"/>
              </w:rPr>
              <w:t>Compensation and</w:t>
            </w:r>
          </w:p>
        </w:tc>
        <w:tc>
          <w:tcPr>
            <w:tcW w:w="1760" w:type="dxa"/>
            <w:vAlign w:val="bottom"/>
            <w:shd w:val="clear" w:color="auto" w:fill="CCEEFF"/>
          </w:tcPr>
          <w:p>
            <w:pPr>
              <w:ind w:left="80"/>
              <w:spacing w:after="0" w:line="169" w:lineRule="exact"/>
              <w:rPr>
                <w:sz w:val="20"/>
                <w:szCs w:val="20"/>
                <w:color w:val="auto"/>
              </w:rPr>
            </w:pPr>
            <w:r>
              <w:rPr>
                <w:rFonts w:ascii="Times New Roman" w:cs="Times New Roman" w:eastAsia="Times New Roman" w:hAnsi="Times New Roman"/>
                <w:sz w:val="18"/>
                <w:szCs w:val="18"/>
                <w:color w:val="auto"/>
              </w:rPr>
              <w:t>Noncontrolling</w:t>
            </w: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incentive unit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benefits</w:t>
            </w:r>
          </w:p>
        </w:tc>
        <w:tc>
          <w:tcPr>
            <w:tcW w:w="1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w:t>
            </w:r>
          </w:p>
        </w:tc>
        <w:tc>
          <w:tcPr>
            <w:tcW w:w="0" w:type="dxa"/>
            <w:vAlign w:val="bottom"/>
          </w:tcPr>
          <w:p>
            <w:pPr>
              <w:spacing w:after="0"/>
              <w:rPr>
                <w:sz w:val="1"/>
                <w:szCs w:val="1"/>
                <w:color w:val="auto"/>
              </w:rPr>
            </w:pPr>
          </w:p>
        </w:tc>
      </w:tr>
      <w:tr>
        <w:trPr>
          <w:trHeight w:val="176"/>
        </w:trPr>
        <w:tc>
          <w:tcPr>
            <w:tcW w:w="5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Compensation and</w:t>
            </w:r>
          </w:p>
        </w:tc>
        <w:tc>
          <w:tcPr>
            <w:tcW w:w="17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Other noncurrent</w:t>
            </w:r>
          </w:p>
        </w:tc>
        <w:tc>
          <w:tcPr>
            <w:tcW w:w="0" w:type="dxa"/>
            <w:vAlign w:val="bottom"/>
          </w:tcPr>
          <w:p>
            <w:pPr>
              <w:spacing w:after="0"/>
              <w:rPr>
                <w:sz w:val="1"/>
                <w:szCs w:val="1"/>
                <w:color w:val="auto"/>
              </w:rPr>
            </w:pPr>
          </w:p>
        </w:tc>
      </w:tr>
      <w:tr>
        <w:trPr>
          <w:trHeight w:val="243"/>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Participation unit</w:t>
            </w: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benefits</w:t>
            </w:r>
          </w:p>
        </w:tc>
        <w:tc>
          <w:tcPr>
            <w:tcW w:w="17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liabilities</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8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Unit-based compensation expense for the six months ended June 30, 2021, was as follows (in thousands):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Predecessor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9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Statement of</w:t>
            </w:r>
          </w:p>
        </w:tc>
        <w:tc>
          <w:tcPr>
            <w:tcW w:w="1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8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Operations and</w:t>
            </w:r>
          </w:p>
        </w:tc>
        <w:tc>
          <w:tcPr>
            <w:tcW w:w="176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0" w:type="dxa"/>
            <w:vAlign w:val="bottom"/>
          </w:tcPr>
          <w:p>
            <w:pPr>
              <w:spacing w:after="0"/>
              <w:rPr>
                <w:sz w:val="1"/>
                <w:szCs w:val="1"/>
                <w:color w:val="auto"/>
              </w:rPr>
            </w:pPr>
          </w:p>
        </w:tc>
      </w:tr>
      <w:tr>
        <w:trPr>
          <w:trHeight w:val="175"/>
        </w:trPr>
        <w:tc>
          <w:tcPr>
            <w:tcW w:w="5940" w:type="dxa"/>
            <w:vAlign w:val="bottom"/>
            <w:vMerge w:val="restart"/>
          </w:tcPr>
          <w:p>
            <w:pPr>
              <w:ind w:left="2520"/>
              <w:spacing w:after="0"/>
              <w:rPr>
                <w:sz w:val="20"/>
                <w:szCs w:val="20"/>
                <w:color w:val="auto"/>
              </w:rPr>
            </w:pPr>
            <w:r>
              <w:rPr>
                <w:rFonts w:ascii="Times New Roman" w:cs="Times New Roman" w:eastAsia="Times New Roman" w:hAnsi="Times New Roman"/>
                <w:sz w:val="18"/>
                <w:szCs w:val="18"/>
                <w:b w:val="1"/>
                <w:bCs w:val="1"/>
                <w:color w:val="auto"/>
              </w:rPr>
              <w:t>Type of unit</w:t>
            </w: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 Loss</w:t>
            </w: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9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17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0" w:type="dxa"/>
            <w:vAlign w:val="bottom"/>
          </w:tcPr>
          <w:p>
            <w:pPr>
              <w:spacing w:after="0"/>
              <w:rPr>
                <w:sz w:val="1"/>
                <w:szCs w:val="1"/>
                <w:color w:val="auto"/>
              </w:rPr>
            </w:pPr>
          </w:p>
        </w:tc>
      </w:tr>
      <w:tr>
        <w:trPr>
          <w:trHeight w:val="178"/>
        </w:trPr>
        <w:tc>
          <w:tcPr>
            <w:tcW w:w="5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840" w:type="dxa"/>
            <w:vAlign w:val="bottom"/>
            <w:shd w:val="clear" w:color="auto" w:fill="CCEEFF"/>
          </w:tcPr>
          <w:p>
            <w:pPr>
              <w:ind w:left="120"/>
              <w:spacing w:after="0" w:line="177" w:lineRule="exact"/>
              <w:rPr>
                <w:sz w:val="20"/>
                <w:szCs w:val="20"/>
                <w:color w:val="auto"/>
              </w:rPr>
            </w:pPr>
            <w:r>
              <w:rPr>
                <w:rFonts w:ascii="Times New Roman" w:cs="Times New Roman" w:eastAsia="Times New Roman" w:hAnsi="Times New Roman"/>
                <w:sz w:val="18"/>
                <w:szCs w:val="18"/>
                <w:color w:val="auto"/>
              </w:rPr>
              <w:t>Compensation and</w:t>
            </w:r>
          </w:p>
        </w:tc>
        <w:tc>
          <w:tcPr>
            <w:tcW w:w="1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incentive unit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benefits</w:t>
            </w:r>
          </w:p>
        </w:tc>
        <w:tc>
          <w:tcPr>
            <w:tcW w:w="1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Mezzanine equity</w:t>
            </w:r>
          </w:p>
        </w:tc>
        <w:tc>
          <w:tcPr>
            <w:tcW w:w="0" w:type="dxa"/>
            <w:vAlign w:val="bottom"/>
          </w:tcPr>
          <w:p>
            <w:pPr>
              <w:spacing w:after="0"/>
              <w:rPr>
                <w:sz w:val="1"/>
                <w:szCs w:val="1"/>
                <w:color w:val="auto"/>
              </w:rPr>
            </w:pPr>
          </w:p>
        </w:tc>
      </w:tr>
      <w:tr>
        <w:trPr>
          <w:trHeight w:val="184"/>
        </w:trPr>
        <w:tc>
          <w:tcPr>
            <w:tcW w:w="5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40" w:type="dxa"/>
            <w:vAlign w:val="bottom"/>
          </w:tcPr>
          <w:p>
            <w:pPr>
              <w:ind w:left="120"/>
              <w:spacing w:after="0" w:line="184" w:lineRule="exact"/>
              <w:rPr>
                <w:sz w:val="20"/>
                <w:szCs w:val="20"/>
                <w:color w:val="auto"/>
              </w:rPr>
            </w:pPr>
            <w:r>
              <w:rPr>
                <w:rFonts w:ascii="Times New Roman" w:cs="Times New Roman" w:eastAsia="Times New Roman" w:hAnsi="Times New Roman"/>
                <w:sz w:val="18"/>
                <w:szCs w:val="18"/>
                <w:color w:val="auto"/>
              </w:rPr>
              <w:t>Compensation and</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incentive unit</w:t>
            </w: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benefits</w:t>
            </w:r>
          </w:p>
        </w:tc>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Mezzanine equity</w:t>
            </w:r>
          </w:p>
        </w:tc>
        <w:tc>
          <w:tcPr>
            <w:tcW w:w="0" w:type="dxa"/>
            <w:vAlign w:val="bottom"/>
          </w:tcPr>
          <w:p>
            <w:pPr>
              <w:spacing w:after="0"/>
              <w:rPr>
                <w:sz w:val="1"/>
                <w:szCs w:val="1"/>
                <w:color w:val="auto"/>
              </w:rPr>
            </w:pPr>
          </w:p>
        </w:tc>
      </w:tr>
      <w:tr>
        <w:trPr>
          <w:trHeight w:val="184"/>
        </w:trPr>
        <w:tc>
          <w:tcPr>
            <w:tcW w:w="5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840" w:type="dxa"/>
            <w:vAlign w:val="bottom"/>
            <w:shd w:val="clear" w:color="auto" w:fill="CCEEFF"/>
          </w:tcPr>
          <w:p>
            <w:pPr>
              <w:ind w:left="120"/>
              <w:spacing w:after="0" w:line="184" w:lineRule="exact"/>
              <w:rPr>
                <w:sz w:val="20"/>
                <w:szCs w:val="20"/>
                <w:color w:val="auto"/>
              </w:rPr>
            </w:pPr>
            <w:r>
              <w:rPr>
                <w:rFonts w:ascii="Times New Roman" w:cs="Times New Roman" w:eastAsia="Times New Roman" w:hAnsi="Times New Roman"/>
                <w:sz w:val="18"/>
                <w:szCs w:val="18"/>
                <w:color w:val="auto"/>
              </w:rPr>
              <w:t>Compensation and</w:t>
            </w:r>
          </w:p>
        </w:tc>
        <w:tc>
          <w:tcPr>
            <w:tcW w:w="17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Other noncurrent</w:t>
            </w:r>
          </w:p>
        </w:tc>
        <w:tc>
          <w:tcPr>
            <w:tcW w:w="0" w:type="dxa"/>
            <w:vAlign w:val="bottom"/>
          </w:tcPr>
          <w:p>
            <w:pPr>
              <w:spacing w:after="0"/>
              <w:rPr>
                <w:sz w:val="1"/>
                <w:szCs w:val="1"/>
                <w:color w:val="auto"/>
              </w:rPr>
            </w:pPr>
          </w:p>
        </w:tc>
      </w:tr>
      <w:tr>
        <w:trPr>
          <w:trHeight w:val="234"/>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Participation unit</w:t>
            </w:r>
          </w:p>
        </w:tc>
        <w:tc>
          <w:tcPr>
            <w:tcW w:w="2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benefits</w:t>
            </w:r>
          </w:p>
        </w:tc>
        <w:tc>
          <w:tcPr>
            <w:tcW w:w="1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liabilities</w:t>
            </w: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8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Unrecognized compensation expense as of June 30, 2022 was approximately $3.1 million and less than $0.1 million for common incentive units and participation units, respectively. The unrecognized compensation expense will be recognized over a weighted-average period of 1.29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 Activity</w:t>
      </w:r>
    </w:p>
    <w:p>
      <w:pPr>
        <w:spacing w:after="0" w:line="270" w:lineRule="exact"/>
        <w:rPr>
          <w:sz w:val="20"/>
          <w:szCs w:val="20"/>
          <w:color w:val="auto"/>
        </w:rPr>
      </w:pPr>
    </w:p>
    <w:p>
      <w:pPr>
        <w:jc w:val="both"/>
        <w:ind w:right="20" w:firstLine="648"/>
        <w:spacing w:after="0" w:line="313" w:lineRule="auto"/>
        <w:rPr>
          <w:sz w:val="20"/>
          <w:szCs w:val="20"/>
          <w:color w:val="auto"/>
        </w:rPr>
      </w:pPr>
      <w:r>
        <w:rPr>
          <w:rFonts w:ascii="Times New Roman" w:cs="Times New Roman" w:eastAsia="Times New Roman" w:hAnsi="Times New Roman"/>
          <w:sz w:val="18"/>
          <w:szCs w:val="18"/>
          <w:color w:val="auto"/>
        </w:rPr>
        <w:t>The following tables summarize common incentive unit activity under the Opco Plan for the six months ended June 30, 2022 (in thousands, except per unit data):</w:t>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Successor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20" w:type="dxa"/>
            <w:vAlign w:val="bottom"/>
            <w:tcBorders>
              <w:top w:val="single" w:sz="8" w:color="auto"/>
            </w:tcBorders>
          </w:tcPr>
          <w:p>
            <w:pPr>
              <w:spacing w:after="0"/>
              <w:rPr>
                <w:sz w:val="14"/>
                <w:szCs w:val="14"/>
                <w:color w:val="auto"/>
              </w:rPr>
            </w:pPr>
          </w:p>
        </w:tc>
        <w:tc>
          <w:tcPr>
            <w:tcW w:w="236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4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23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Number of Common</w:t>
            </w:r>
          </w:p>
        </w:tc>
        <w:tc>
          <w:tcPr>
            <w:tcW w:w="1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74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5"/>
        </w:trPr>
        <w:tc>
          <w:tcPr>
            <w:tcW w:w="3820" w:type="dxa"/>
            <w:vAlign w:val="bottom"/>
            <w:vMerge w:val="restart"/>
          </w:tcPr>
          <w:p>
            <w:pPr>
              <w:ind w:left="1240"/>
              <w:spacing w:after="0"/>
              <w:rPr>
                <w:sz w:val="20"/>
                <w:szCs w:val="20"/>
                <w:color w:val="auto"/>
              </w:rPr>
            </w:pPr>
            <w:r>
              <w:rPr>
                <w:rFonts w:ascii="Times New Roman" w:cs="Times New Roman" w:eastAsia="Times New Roman" w:hAnsi="Times New Roman"/>
                <w:sz w:val="18"/>
                <w:szCs w:val="18"/>
                <w:b w:val="1"/>
                <w:bCs w:val="1"/>
                <w:color w:val="auto"/>
              </w:rPr>
              <w:t>Common Incentive Units</w:t>
            </w:r>
          </w:p>
        </w:tc>
        <w:tc>
          <w:tcPr>
            <w:tcW w:w="2360" w:type="dxa"/>
            <w:vAlign w:val="bottom"/>
            <w:vMerge w:val="continue"/>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120" w:type="dxa"/>
            <w:vAlign w:val="bottom"/>
          </w:tcPr>
          <w:p>
            <w:pPr>
              <w:spacing w:after="0"/>
              <w:rPr>
                <w:sz w:val="15"/>
                <w:szCs w:val="15"/>
                <w:color w:val="auto"/>
              </w:rPr>
            </w:pPr>
          </w:p>
        </w:tc>
        <w:tc>
          <w:tcPr>
            <w:tcW w:w="154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tcBorders>
              <w:bottom w:val="single" w:sz="8" w:color="auto"/>
            </w:tcBorders>
            <w:vMerge w:val="continue"/>
          </w:tcPr>
          <w:p>
            <w:pPr>
              <w:spacing w:after="0"/>
              <w:rPr>
                <w:sz w:val="21"/>
                <w:szCs w:val="21"/>
                <w:color w:val="auto"/>
              </w:rPr>
            </w:pPr>
          </w:p>
        </w:tc>
        <w:tc>
          <w:tcPr>
            <w:tcW w:w="23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Incentive Units</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2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16,339</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133,240</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w:t>
            </w: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2022</w:t>
            </w:r>
          </w:p>
        </w:tc>
        <w:tc>
          <w:tcPr>
            <w:tcW w:w="2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16,060</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130,969</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as of June 30, 2022</w:t>
            </w:r>
          </w:p>
        </w:tc>
        <w:tc>
          <w:tcPr>
            <w:tcW w:w="2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11,533</w:t>
            </w: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preferred incentive unit and common incentive unit activity under the Opco Plan for the six months ended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2021 (in thousands, except per unit data):</w:t>
      </w: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Predecessor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20" w:type="dxa"/>
            <w:vAlign w:val="bottom"/>
            <w:tcBorders>
              <w:top w:val="single" w:sz="8" w:color="auto"/>
            </w:tcBorders>
          </w:tcPr>
          <w:p>
            <w:pPr>
              <w:spacing w:after="0"/>
              <w:rPr>
                <w:sz w:val="14"/>
                <w:szCs w:val="14"/>
                <w:color w:val="auto"/>
              </w:rPr>
            </w:pPr>
          </w:p>
        </w:tc>
        <w:tc>
          <w:tcPr>
            <w:tcW w:w="234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4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2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Preferred</w:t>
            </w:r>
          </w:p>
        </w:tc>
        <w:tc>
          <w:tcPr>
            <w:tcW w:w="1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 Intrinsic</w:t>
            </w:r>
          </w:p>
        </w:tc>
        <w:tc>
          <w:tcPr>
            <w:tcW w:w="0" w:type="dxa"/>
            <w:vAlign w:val="bottom"/>
          </w:tcPr>
          <w:p>
            <w:pPr>
              <w:spacing w:after="0"/>
              <w:rPr>
                <w:sz w:val="1"/>
                <w:szCs w:val="1"/>
                <w:color w:val="auto"/>
              </w:rPr>
            </w:pPr>
          </w:p>
        </w:tc>
      </w:tr>
      <w:tr>
        <w:trPr>
          <w:trHeight w:val="189"/>
        </w:trPr>
        <w:tc>
          <w:tcPr>
            <w:tcW w:w="3820" w:type="dxa"/>
            <w:vAlign w:val="bottom"/>
            <w:vMerge w:val="restart"/>
          </w:tcPr>
          <w:p>
            <w:pPr>
              <w:ind w:left="1240"/>
              <w:spacing w:after="0"/>
              <w:rPr>
                <w:sz w:val="20"/>
                <w:szCs w:val="20"/>
                <w:color w:val="auto"/>
              </w:rPr>
            </w:pPr>
            <w:r>
              <w:rPr>
                <w:rFonts w:ascii="Times New Roman" w:cs="Times New Roman" w:eastAsia="Times New Roman" w:hAnsi="Times New Roman"/>
                <w:sz w:val="18"/>
                <w:szCs w:val="18"/>
                <w:b w:val="1"/>
                <w:bCs w:val="1"/>
                <w:color w:val="auto"/>
              </w:rPr>
              <w:t>Preferred Incentive Units</w:t>
            </w:r>
          </w:p>
        </w:tc>
        <w:tc>
          <w:tcPr>
            <w:tcW w:w="2340" w:type="dxa"/>
            <w:vAlign w:val="bottom"/>
            <w:vMerge w:val="continue"/>
          </w:tcPr>
          <w:p>
            <w:pPr>
              <w:spacing w:after="0"/>
              <w:rPr>
                <w:sz w:val="16"/>
                <w:szCs w:val="16"/>
                <w:color w:val="auto"/>
              </w:rPr>
            </w:pPr>
          </w:p>
        </w:tc>
        <w:tc>
          <w:tcPr>
            <w:tcW w:w="1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120" w:type="dxa"/>
            <w:vAlign w:val="bottom"/>
          </w:tcPr>
          <w:p>
            <w:pPr>
              <w:spacing w:after="0"/>
              <w:rPr>
                <w:sz w:val="16"/>
                <w:szCs w:val="16"/>
                <w:color w:val="auto"/>
              </w:rPr>
            </w:pPr>
          </w:p>
        </w:tc>
        <w:tc>
          <w:tcPr>
            <w:tcW w:w="1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820" w:type="dxa"/>
            <w:vAlign w:val="bottom"/>
            <w:tcBorders>
              <w:bottom w:val="single" w:sz="8" w:color="auto"/>
            </w:tcBorders>
            <w:vMerge w:val="continue"/>
          </w:tcPr>
          <w:p>
            <w:pPr>
              <w:spacing w:after="0"/>
              <w:rPr>
                <w:sz w:val="19"/>
                <w:szCs w:val="19"/>
                <w:color w:val="auto"/>
              </w:rPr>
            </w:pPr>
          </w:p>
        </w:tc>
        <w:tc>
          <w:tcPr>
            <w:tcW w:w="2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Incentive Units</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2020</w:t>
            </w:r>
          </w:p>
        </w:tc>
        <w:tc>
          <w:tcPr>
            <w:tcW w:w="2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76,475</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88,711</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2021</w:t>
            </w:r>
          </w:p>
        </w:tc>
        <w:tc>
          <w:tcPr>
            <w:tcW w:w="2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76,475</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141,058</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as of June 30, 2021</w:t>
            </w:r>
          </w:p>
        </w:tc>
        <w:tc>
          <w:tcPr>
            <w:tcW w:w="2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10"/>
        </w:trPr>
        <w:tc>
          <w:tcPr>
            <w:tcW w:w="38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1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20" w:type="dxa"/>
            <w:vAlign w:val="bottom"/>
          </w:tcPr>
          <w:p>
            <w:pPr>
              <w:spacing w:after="0"/>
              <w:rPr>
                <w:sz w:val="14"/>
                <w:szCs w:val="14"/>
                <w:color w:val="auto"/>
              </w:rPr>
            </w:pPr>
          </w:p>
        </w:tc>
        <w:tc>
          <w:tcPr>
            <w:tcW w:w="156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23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Number of Common</w:t>
            </w:r>
          </w:p>
        </w:tc>
        <w:tc>
          <w:tcPr>
            <w:tcW w:w="1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5"/>
        </w:trPr>
        <w:tc>
          <w:tcPr>
            <w:tcW w:w="3820" w:type="dxa"/>
            <w:vAlign w:val="bottom"/>
            <w:vMerge w:val="restart"/>
          </w:tcPr>
          <w:p>
            <w:pPr>
              <w:ind w:left="1240"/>
              <w:spacing w:after="0"/>
              <w:rPr>
                <w:sz w:val="20"/>
                <w:szCs w:val="20"/>
                <w:color w:val="auto"/>
              </w:rPr>
            </w:pPr>
            <w:r>
              <w:rPr>
                <w:rFonts w:ascii="Times New Roman" w:cs="Times New Roman" w:eastAsia="Times New Roman" w:hAnsi="Times New Roman"/>
                <w:sz w:val="18"/>
                <w:szCs w:val="18"/>
                <w:b w:val="1"/>
                <w:bCs w:val="1"/>
                <w:color w:val="auto"/>
              </w:rPr>
              <w:t>Common Incentive Units</w:t>
            </w:r>
          </w:p>
        </w:tc>
        <w:tc>
          <w:tcPr>
            <w:tcW w:w="2340" w:type="dxa"/>
            <w:vAlign w:val="bottom"/>
            <w:vMerge w:val="continue"/>
          </w:tcPr>
          <w:p>
            <w:pPr>
              <w:spacing w:after="0"/>
              <w:rPr>
                <w:sz w:val="15"/>
                <w:szCs w:val="15"/>
                <w:color w:val="auto"/>
              </w:rPr>
            </w:pPr>
          </w:p>
        </w:tc>
        <w:tc>
          <w:tcPr>
            <w:tcW w:w="164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120" w:type="dxa"/>
            <w:vAlign w:val="bottom"/>
          </w:tcPr>
          <w:p>
            <w:pPr>
              <w:spacing w:after="0"/>
              <w:rPr>
                <w:sz w:val="15"/>
                <w:szCs w:val="15"/>
                <w:color w:val="auto"/>
              </w:rPr>
            </w:pPr>
          </w:p>
        </w:tc>
        <w:tc>
          <w:tcPr>
            <w:tcW w:w="156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tcBorders>
              <w:bottom w:val="single" w:sz="8" w:color="auto"/>
            </w:tcBorders>
            <w:vMerge w:val="continue"/>
          </w:tcPr>
          <w:p>
            <w:pPr>
              <w:spacing w:after="0"/>
              <w:rPr>
                <w:sz w:val="21"/>
                <w:szCs w:val="21"/>
                <w:color w:val="auto"/>
              </w:rPr>
            </w:pPr>
          </w:p>
        </w:tc>
        <w:tc>
          <w:tcPr>
            <w:tcW w:w="2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Incentive Units</w:t>
            </w:r>
          </w:p>
        </w:tc>
        <w:tc>
          <w:tcPr>
            <w:tcW w:w="16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2020</w:t>
            </w:r>
          </w:p>
        </w:tc>
        <w:tc>
          <w:tcPr>
            <w:tcW w:w="2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26,833</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25,760</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2021</w:t>
            </w:r>
          </w:p>
        </w:tc>
        <w:tc>
          <w:tcPr>
            <w:tcW w:w="2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26,833</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25,760</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as of June 30, 2021</w:t>
            </w:r>
          </w:p>
        </w:tc>
        <w:tc>
          <w:tcPr>
            <w:tcW w:w="2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There were no participation units granted during the three and six months ended June 30, 2022 and 2021. As of June 30, 2022 and December 31, 2021, the total number of participation units outstanding were 0.5 million and 0.7 million, respectively. The fair value of the participation units as of June 30, 2022 and December 31, 2021 was 1.1 million and 4.1 million, respectively. Participation units are settled in cash and the balance is recorded within other current liabilities and other noncurrent liabilities as described in Note 5.</w:t>
      </w:r>
    </w:p>
    <w:p>
      <w:pPr>
        <w:spacing w:after="0" w:line="187" w:lineRule="exact"/>
        <w:rPr>
          <w:sz w:val="20"/>
          <w:szCs w:val="20"/>
          <w:color w:val="auto"/>
        </w:rPr>
      </w:pPr>
    </w:p>
    <w:p>
      <w:pPr>
        <w:jc w:val="both"/>
        <w:ind w:right="20" w:firstLine="648"/>
        <w:spacing w:after="0" w:line="313" w:lineRule="auto"/>
        <w:rPr>
          <w:sz w:val="20"/>
          <w:szCs w:val="20"/>
          <w:color w:val="auto"/>
        </w:rPr>
      </w:pPr>
      <w:r>
        <w:rPr>
          <w:rFonts w:ascii="Times New Roman" w:cs="Times New Roman" w:eastAsia="Times New Roman" w:hAnsi="Times New Roman"/>
          <w:sz w:val="18"/>
          <w:szCs w:val="18"/>
          <w:color w:val="auto"/>
        </w:rPr>
        <w:t>The outstanding units under the Opco Plan were issued prior to the Business Combination and the plan was frozen upon execution of the merger agreement. No future units can be granted under this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w:t>
      </w:r>
    </w:p>
    <w:p>
      <w:pPr>
        <w:spacing w:after="0" w:line="25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The fair value of incentive and participation units granted is calculated through a Monte Carlo simulation based on various outcomes. Opco determined that a Monte Carlo simulation was an appropriate estimation model because of the market condition associated with the vesting of the units. The determination of the fair value of the units is affected by Opco’s stock price and certain assumptions such as Opco’s expected stock price volatility over the term of the units, risk-free interest rates, and expected dividends, which are determined as follows:</w:t>
      </w:r>
    </w:p>
    <w:p>
      <w:pPr>
        <w:spacing w:after="0" w:line="173"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 The expected term represents the period that a unit is expected to be outstanding.</w:t>
      </w:r>
    </w:p>
    <w:p>
      <w:pPr>
        <w:spacing w:after="0" w:line="265" w:lineRule="exact"/>
        <w:rPr>
          <w:rFonts w:ascii="Times New Roman" w:cs="Times New Roman" w:eastAsia="Times New Roman" w:hAnsi="Times New Roman"/>
          <w:sz w:val="18"/>
          <w:szCs w:val="18"/>
          <w:color w:val="auto"/>
        </w:rPr>
      </w:pPr>
    </w:p>
    <w:p>
      <w:pPr>
        <w:ind w:left="660" w:right="20" w:hanging="328"/>
        <w:spacing w:after="0" w:line="313"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 Opco has limited historical data available to derive its own stock price volatility. As such, Opco estimates stock price volatility based on the average historic price volatility of comparable public industry peers.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328"/>
        <w:spacing w:after="0" w:line="329" w:lineRule="auto"/>
        <w:tabs>
          <w:tab w:leader="none" w:pos="65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The risk-free rate is based on the U.S. Treasury yield curve in effect on the grant date for securities with similar expected terms to the term of Opco’s incentive units.</w:t>
      </w:r>
    </w:p>
    <w:p>
      <w:pPr>
        <w:spacing w:after="0" w:line="148"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dividends – Expected dividends is assumed to be zero as Opco has not paid and does not expect to pay cash dividends or non-liquidating distributions.</w:t>
      </w:r>
    </w:p>
    <w:p>
      <w:pPr>
        <w:spacing w:after="0" w:line="148"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for lack of marketability – an estimated two-year time to exit Predecessor awards and the six-month lock-up restriction on Successor awards is reflected as a discount for lack of marketability estimated using the Finnerty model.</w:t>
      </w:r>
    </w:p>
    <w:p>
      <w:pPr>
        <w:spacing w:after="0" w:line="14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70"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Basic earnings per share is based on the weighted average number of shares of Class A common stock issued and outstanding during the Successor period. Diluted earnings per share is based on the weighted average number shares of Class A common stock issued and outstanding and the effect of all dilutive common stock equivalents and potentially dilutive share-based awards outstanding during the Successor period. For the Successor period, there is no difference in the number of shares used to calculate basic and diluted shares outstanding due to our net loss position. The potentially dilutive securities that would be anti-dilutive due to our net loss are not included in the calculation of diluted net loss per share attributable to controlling interest. The anti-dilutive securities are included in the table below.</w:t>
      </w:r>
    </w:p>
    <w:p>
      <w:pPr>
        <w:spacing w:after="0" w:line="193"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The following is a reconciliation of the denominators of the basic and diluted per share computations for net loss (in thousands, except share and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260" w:type="dxa"/>
            <w:vAlign w:val="bottom"/>
          </w:tcPr>
          <w:p>
            <w:pPr>
              <w:spacing w:after="0"/>
              <w:rPr>
                <w:sz w:val="20"/>
                <w:szCs w:val="20"/>
                <w:color w:val="auto"/>
              </w:rPr>
            </w:pPr>
          </w:p>
        </w:tc>
        <w:tc>
          <w:tcPr>
            <w:tcW w:w="20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0" w:type="dxa"/>
            <w:vAlign w:val="bottom"/>
          </w:tcPr>
          <w:p>
            <w:pPr>
              <w:spacing w:after="0"/>
              <w:rPr>
                <w:sz w:val="1"/>
                <w:szCs w:val="1"/>
                <w:color w:val="auto"/>
              </w:rPr>
            </w:pPr>
          </w:p>
        </w:tc>
      </w:tr>
      <w:tr>
        <w:trPr>
          <w:trHeight w:val="169"/>
        </w:trPr>
        <w:tc>
          <w:tcPr>
            <w:tcW w:w="66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tcPr>
          <w:p>
            <w:pPr>
              <w:jc w:val="center"/>
              <w:ind w:right="1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38"/>
        </w:trPr>
        <w:tc>
          <w:tcPr>
            <w:tcW w:w="6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260" w:type="dxa"/>
            <w:vAlign w:val="bottom"/>
          </w:tcPr>
          <w:p>
            <w:pPr>
              <w:spacing w:after="0"/>
              <w:rPr>
                <w:sz w:val="20"/>
                <w:szCs w:val="20"/>
                <w:color w:val="auto"/>
              </w:rPr>
            </w:pPr>
          </w:p>
        </w:tc>
        <w:tc>
          <w:tcPr>
            <w:tcW w:w="20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0" w:type="dxa"/>
            <w:vAlign w:val="bottom"/>
          </w:tcPr>
          <w:p>
            <w:pPr>
              <w:spacing w:after="0"/>
              <w:rPr>
                <w:sz w:val="1"/>
                <w:szCs w:val="1"/>
                <w:color w:val="auto"/>
              </w:rPr>
            </w:pPr>
          </w:p>
        </w:tc>
      </w:tr>
      <w:tr>
        <w:trPr>
          <w:trHeight w:val="205"/>
        </w:trPr>
        <w:tc>
          <w:tcPr>
            <w:tcW w:w="6600" w:type="dxa"/>
            <w:vAlign w:val="bottom"/>
          </w:tcPr>
          <w:p>
            <w:pPr>
              <w:ind w:left="20"/>
              <w:spacing w:after="0" w:line="206" w:lineRule="exact"/>
              <w:rPr>
                <w:sz w:val="20"/>
                <w:szCs w:val="20"/>
                <w:color w:val="auto"/>
              </w:rPr>
            </w:pPr>
            <w:r>
              <w:rPr>
                <w:rFonts w:ascii="Times New Roman" w:cs="Times New Roman" w:eastAsia="Times New Roman" w:hAnsi="Times New Roman"/>
                <w:sz w:val="18"/>
                <w:szCs w:val="18"/>
                <w:b w:val="1"/>
                <w:bCs w:val="1"/>
                <w:color w:val="auto"/>
              </w:rPr>
              <w:t>Net Loss per share:</w:t>
            </w:r>
          </w:p>
        </w:tc>
        <w:tc>
          <w:tcPr>
            <w:tcW w:w="22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Numerator – basic and diluted:</w:t>
            </w: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(70,962)</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2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(59,936)</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Bakkt Holdings, Inc. – basic</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0" w:type="dxa"/>
            <w:vAlign w:val="bottom"/>
          </w:tcPr>
          <w:p>
            <w:pPr>
              <w:spacing w:after="0"/>
              <w:rPr>
                <w:sz w:val="1"/>
                <w:szCs w:val="1"/>
                <w:color w:val="auto"/>
              </w:rPr>
            </w:pPr>
          </w:p>
        </w:tc>
      </w:tr>
      <w:tr>
        <w:trPr>
          <w:trHeight w:val="23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and tax effect attributable to noncontrolling interests</w:t>
            </w:r>
          </w:p>
        </w:tc>
        <w:tc>
          <w:tcPr>
            <w:tcW w:w="220" w:type="dxa"/>
            <w:vAlign w:val="bottom"/>
          </w:tcPr>
          <w:p>
            <w:pPr>
              <w:spacing w:after="0"/>
              <w:rPr>
                <w:sz w:val="19"/>
                <w:szCs w:val="19"/>
                <w:color w:val="auto"/>
              </w:rPr>
            </w:pPr>
          </w:p>
        </w:tc>
        <w:tc>
          <w:tcPr>
            <w:tcW w:w="2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(35,007)</w:t>
            </w:r>
          </w:p>
        </w:tc>
        <w:tc>
          <w:tcPr>
            <w:tcW w:w="0" w:type="dxa"/>
            <w:vAlign w:val="bottom"/>
          </w:tcPr>
          <w:p>
            <w:pPr>
              <w:spacing w:after="0"/>
              <w:rPr>
                <w:sz w:val="1"/>
                <w:szCs w:val="1"/>
                <w:color w:val="auto"/>
              </w:rPr>
            </w:pPr>
          </w:p>
        </w:tc>
      </w:tr>
      <w:tr>
        <w:trPr>
          <w:trHeight w:val="248"/>
        </w:trPr>
        <w:tc>
          <w:tcPr>
            <w:tcW w:w="66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Bakkt Holdings, Inc. – diluted</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(46,033)</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Denominator – basic and diluted: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71,226,366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64,234,239</w:t>
            </w:r>
          </w:p>
        </w:tc>
        <w:tc>
          <w:tcPr>
            <w:tcW w:w="0" w:type="dxa"/>
            <w:vAlign w:val="bottom"/>
          </w:tcPr>
          <w:p>
            <w:pPr>
              <w:spacing w:after="0"/>
              <w:rPr>
                <w:sz w:val="1"/>
                <w:szCs w:val="1"/>
                <w:color w:val="auto"/>
              </w:rPr>
            </w:pPr>
          </w:p>
        </w:tc>
      </w:tr>
      <w:tr>
        <w:trPr>
          <w:trHeight w:val="23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Opco common units</w:t>
            </w:r>
          </w:p>
        </w:tc>
        <w:tc>
          <w:tcPr>
            <w:tcW w:w="2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194,673,108</w:t>
            </w:r>
          </w:p>
        </w:tc>
        <w:tc>
          <w:tcPr>
            <w:tcW w:w="0" w:type="dxa"/>
            <w:vAlign w:val="bottom"/>
          </w:tcPr>
          <w:p>
            <w:pPr>
              <w:spacing w:after="0"/>
              <w:rPr>
                <w:sz w:val="1"/>
                <w:szCs w:val="1"/>
                <w:color w:val="auto"/>
              </w:rPr>
            </w:pPr>
          </w:p>
        </w:tc>
      </w:tr>
      <w:tr>
        <w:trPr>
          <w:trHeight w:val="22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20" w:type="dxa"/>
            <w:vAlign w:val="bottom"/>
            <w:tcBorders>
              <w:top w:val="single" w:sz="8" w:color="auto"/>
              <w:bottom w:val="single" w:sz="8" w:color="auto"/>
            </w:tcBorders>
          </w:tcPr>
          <w:p>
            <w:pPr>
              <w:spacing w:after="0"/>
              <w:rPr>
                <w:sz w:val="19"/>
                <w:szCs w:val="19"/>
                <w:color w:val="auto"/>
              </w:rPr>
            </w:pP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71,226,366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258,907,347</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per share – basic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per share – diluted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0" w:firstLine="648"/>
        <w:spacing w:after="0" w:line="305" w:lineRule="auto"/>
        <w:rPr>
          <w:sz w:val="20"/>
          <w:szCs w:val="20"/>
          <w:color w:val="auto"/>
        </w:rPr>
      </w:pPr>
      <w:r>
        <w:rPr>
          <w:rFonts w:ascii="Times New Roman" w:cs="Times New Roman" w:eastAsia="Times New Roman" w:hAnsi="Times New Roman"/>
          <w:sz w:val="18"/>
          <w:szCs w:val="18"/>
          <w:color w:val="auto"/>
        </w:rPr>
        <w:t>Potential common shares issuable to employee or directors upon exercise or conversion of shares under our share-based and unit-based compensation plans and upon exercise of warrants are excluded from the computation of diluted earnings per common share when the effect would be anti-dilutive.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total potential common shares excluded from diluted loss per common share as their effect would be anti-</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dilutive: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Successor</w:t>
            </w:r>
          </w:p>
        </w:tc>
      </w:tr>
      <w:tr>
        <w:trPr>
          <w:trHeight w:val="169"/>
        </w:trPr>
        <w:tc>
          <w:tcPr>
            <w:tcW w:w="9680" w:type="dxa"/>
            <w:vAlign w:val="bottom"/>
          </w:tcPr>
          <w:p>
            <w:pPr>
              <w:spacing w:after="0"/>
              <w:rPr>
                <w:sz w:val="14"/>
                <w:szCs w:val="14"/>
                <w:color w:val="auto"/>
              </w:rPr>
            </w:pPr>
          </w:p>
        </w:tc>
        <w:tc>
          <w:tcPr>
            <w:tcW w:w="15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As of</w:t>
            </w:r>
          </w:p>
        </w:tc>
      </w:tr>
      <w:tr>
        <w:trPr>
          <w:trHeight w:val="241"/>
        </w:trPr>
        <w:tc>
          <w:tcPr>
            <w:tcW w:w="96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and PSUs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14,149,624</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7,140,829</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warrants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793,352</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Opco unvested incentive units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4,527,603</w:t>
            </w:r>
          </w:p>
        </w:tc>
      </w:tr>
      <w:tr>
        <w:trPr>
          <w:trHeight w:val="230"/>
        </w:trPr>
        <w:tc>
          <w:tcPr>
            <w:tcW w:w="9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Opco common units </w:t>
            </w:r>
            <w:r>
              <w:rPr>
                <w:rFonts w:ascii="Times New Roman" w:cs="Times New Roman" w:eastAsia="Times New Roman" w:hAnsi="Times New Roman"/>
                <w:sz w:val="23"/>
                <w:szCs w:val="23"/>
                <w:color w:val="auto"/>
                <w:vertAlign w:val="superscript"/>
              </w:rPr>
              <w:t>(1)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183,911,335</w:t>
            </w:r>
          </w:p>
        </w:tc>
      </w:tr>
      <w:tr>
        <w:trPr>
          <w:trHeight w:val="223"/>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210,522,743</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37"/>
        </w:trPr>
        <w:tc>
          <w:tcPr>
            <w:tcW w:w="96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bl>
    <w:p>
      <w:pPr>
        <w:ind w:left="20" w:right="480" w:firstLine="6"/>
        <w:spacing w:after="0" w:line="234" w:lineRule="auto"/>
        <w:tabs>
          <w:tab w:leader="none" w:pos="27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 common units were anti-dilutive for the three months ended June 30, 2022. The Opco common units were dilutive for the six months ended June 30, 2022 as reflected in the weighted average shares outstanding – diluted share count above.</w:t>
      </w:r>
    </w:p>
    <w:p>
      <w:pPr>
        <w:spacing w:after="0" w:line="31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Requirements</w:t>
      </w:r>
    </w:p>
    <w:p>
      <w:pPr>
        <w:spacing w:after="0" w:line="252" w:lineRule="exact"/>
        <w:rPr>
          <w:sz w:val="20"/>
          <w:szCs w:val="20"/>
          <w:color w:val="auto"/>
        </w:rPr>
      </w:pPr>
    </w:p>
    <w:p>
      <w:pPr>
        <w:jc w:val="both"/>
        <w:ind w:firstLine="648"/>
        <w:spacing w:after="0" w:line="304" w:lineRule="auto"/>
        <w:rPr>
          <w:sz w:val="20"/>
          <w:szCs w:val="20"/>
          <w:color w:val="auto"/>
        </w:rPr>
      </w:pPr>
      <w:r>
        <w:rPr>
          <w:rFonts w:ascii="Times New Roman" w:cs="Times New Roman" w:eastAsia="Times New Roman" w:hAnsi="Times New Roman"/>
          <w:sz w:val="18"/>
          <w:szCs w:val="18"/>
          <w:b w:val="1"/>
          <w:bCs w:val="1"/>
          <w:color w:val="auto"/>
        </w:rPr>
        <w:t xml:space="preserve">Bakkt Trust </w:t>
      </w:r>
      <w:r>
        <w:rPr>
          <w:rFonts w:ascii="Times New Roman" w:cs="Times New Roman" w:eastAsia="Times New Roman" w:hAnsi="Times New Roman"/>
          <w:sz w:val="18"/>
          <w:szCs w:val="18"/>
          <w:color w:val="auto"/>
        </w:rPr>
        <w:t>is subject to certain regulatory capital requirements imposed by the New York State Department of Financial Services ("NYDFS").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capital requirements require Bakkt Trust to maintain positive net worth at the greater of $15.0 million or the sum of the required percentage established for transmitted assets, cold wallet, and hot wallet custody assets. As of June 30, 2022 and 2021, Bakkt Trust had determined that $16.5 million, respectively should be set aside to satisfy these, which is reflected as “Restricted cash” in the balance sheets.</w:t>
      </w:r>
    </w:p>
    <w:p>
      <w:pPr>
        <w:spacing w:after="0" w:line="166"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8"/>
          <w:szCs w:val="18"/>
          <w:b w:val="1"/>
          <w:bCs w:val="1"/>
          <w:color w:val="auto"/>
        </w:rPr>
        <w:t xml:space="preserve">Bakkt Clearing </w:t>
      </w:r>
      <w:r>
        <w:rPr>
          <w:rFonts w:ascii="Times New Roman" w:cs="Times New Roman" w:eastAsia="Times New Roman" w:hAnsi="Times New Roman"/>
          <w:sz w:val="18"/>
          <w:szCs w:val="18"/>
          <w:color w:val="auto"/>
        </w:rPr>
        <w:t>was registered as a futures commission merchant (“FCM”) with the Commodity Futures Trading Commission (“CFTC”) and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member of the National Futures Association (“NFA”). Bakkt Clearing was subject to CFTC Regulation 1.17, and the NFA capital requirements. Under these requirements, it was generally required to maintain “adjusted net capital” equivalent to the greater of $1.0 million or the sum of 8 percent of customer and noncustomer risk maintenance margin requirements on all positions, as defined. On May 20, 2022, we withdrew Bakkt Clearing's registration in the CFTC and membership in the NFA, which was effective on June 20, 2022. Accordingly, as of June 30, 2022 Bakkt Clearing no longer was required to maintain capital under the rules described above.</w:t>
      </w:r>
    </w:p>
    <w:p>
      <w:pPr>
        <w:spacing w:after="0" w:line="186"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8"/>
          <w:szCs w:val="18"/>
          <w:b w:val="1"/>
          <w:bCs w:val="1"/>
          <w:color w:val="auto"/>
        </w:rPr>
        <w:t xml:space="preserve">Bakkt Marketplace, LLC ("Bakkt Marketplace") </w:t>
      </w:r>
      <w:r>
        <w:rPr>
          <w:rFonts w:ascii="Times New Roman" w:cs="Times New Roman" w:eastAsia="Times New Roman" w:hAnsi="Times New Roman"/>
          <w:sz w:val="18"/>
          <w:szCs w:val="18"/>
          <w:color w:val="auto"/>
        </w:rPr>
        <w:t>is required to maintain tangible member’s equity of a minimum amount, plus the amount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customer funds held in transit since it holds a number of money transmitter licenses </w:t>
      </w:r>
      <w:r>
        <w:rPr>
          <w:rFonts w:ascii="Times New Roman" w:cs="Times New Roman" w:eastAsia="Times New Roman" w:hAnsi="Times New Roman"/>
          <w:sz w:val="18"/>
          <w:szCs w:val="18"/>
          <w:color w:val="0C0C0C"/>
        </w:rPr>
        <w:t>and has a virtual currency license (or “BitLicense”) from the NYDFS,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C0C0C"/>
        </w:rPr>
        <w:t xml:space="preserve">which subjects it to NYDFS’ oversight with respect to such business activities conducted in New York State and with New York residents. </w:t>
      </w:r>
      <w:r>
        <w:rPr>
          <w:rFonts w:ascii="Times New Roman" w:cs="Times New Roman" w:eastAsia="Times New Roman" w:hAnsi="Times New Roman"/>
          <w:sz w:val="18"/>
          <w:szCs w:val="18"/>
          <w:color w:val="000000"/>
        </w:rPr>
        <w:t>Tangible</w:t>
      </w:r>
      <w:r>
        <w:rPr>
          <w:rFonts w:ascii="Times New Roman" w:cs="Times New Roman" w:eastAsia="Times New Roman" w:hAnsi="Times New Roman"/>
          <w:sz w:val="18"/>
          <w:szCs w:val="18"/>
          <w:color w:val="0C0C0C"/>
        </w:rPr>
        <w:t xml:space="preserve"> </w:t>
      </w:r>
      <w:r>
        <w:rPr>
          <w:rFonts w:ascii="Times New Roman" w:cs="Times New Roman" w:eastAsia="Times New Roman" w:hAnsi="Times New Roman"/>
          <w:sz w:val="18"/>
          <w:szCs w:val="18"/>
          <w:color w:val="000000"/>
        </w:rPr>
        <w:t>member’s equity means member’s equity minus intangible assets and as of June 30, 2022 and December 31, 2021, tangible member’s equity amounted to approximately $5.5 million and approximately $11.0 million, respectively.</w:t>
      </w:r>
    </w:p>
    <w:p>
      <w:pPr>
        <w:spacing w:after="0" w:line="177"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The minimum capital requirements to which our subsidiaries are subject may restrict their ability to transfer cash. We may also be required to transfer cash to our subsidiaries such that they may continue to meet these minimum capital requirements.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25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We sponsor a 401(k) defined contribution plan covering all eligible U.S. employees. Both Company and employee contributions to the 401(k) plan are discretionary. For the three and six months ended June 30, 2022, we recorded approximately $0.7 million and $1.3 million, respectively, of expenses related to the 401(k) plan. For the three and six</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June 30, 2021, we recorded approximately $0.5 million and $1.0 million, respectively, of expenses related to the 401(k) plan.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5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The Company is party to a TRA with certain Opco Equity Holders (Note 6). As of June 30, 2022, the Company has not recorded a liability under the TRA related to the income tax benefits originating from the exchanges of Opco common units as it is not probable that the Company will realize such tax benefits. To the extent the Company is able to realize the income tax benefits associated with the exchanges of Paired Interest subject to the TRA, the TRA payable would range from zero to $10.3 million at June 30, 2022.</w:t>
      </w:r>
    </w:p>
    <w:p>
      <w:pPr>
        <w:spacing w:after="0" w:line="17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condensed consolidated statement of operations and comprehensive loss at that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6"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18"/>
          <w:szCs w:val="18"/>
          <w:color w:val="auto"/>
        </w:rPr>
        <w:t>As described above, in October 2021, we completed our Business Combination with VPC Impact Acquisition Holdings (“VIH”), pursuant to which VIH changed its name to Bakkt Holdings, Inc. and the current directors and officers of the Company replaced the directors and officers in place prior to the Business Combination. On April 21, 2022, a putative class action complaint was filed against Bakkt Holdings, Inc. and certain of its directors and officers prior to the Business Combination in the U.S. District Court for the Eastern District of New York on behalf of certain purchasers of securities of VIH and/or purchasers of Bakkt Class A common stock issued in connection with the Business Combination. The complaint alleges that VIH made false or misleading statements and omissions of purportedly material fact, in violation of federal securities laws, in connection with disclosures relating to certain of VIH’s financial statements, business, operations, and compliance policies. The complaint alleges that the false or misleading statements and omissions were contained in the registration statement filed in connection with the Business Combination and in other SEC filings made by VIH. The complaint alleges that VIH traded at artificially inflated prices as a result of the allegedly misleading statements and omissions. Plaintiff seeks certification of a class of purchasers of (1) VIH/Bakkt securities between March 31, 2021 and November 19, 2021, both dates inclusive and/or (2) Bakkt Class A common stock pursuant and/or traceable to the registration statement filed in connection with the Business Combination and in such other SEC filings. The complaint seeks damages, as well as the plaintiff’s fees and costs. On August 3, 2022, the Court appointed lead plaintiffs and lead counsel. Bakkt intends to vigorously defend against the allegations. No allegations have been made against any current officer or director of Bakkt other than one current board member, who was both an officer and director of VIH and has continued as a director of Bakkt.</w:t>
      </w:r>
    </w:p>
    <w:p>
      <w:pPr>
        <w:spacing w:after="0" w:line="200"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Other legal and regulatory proceedings have arisen and may arise in the ordinary course of business. However, we do not believe that the resolution of these matters will have a material adverse effect on our financial position, results of operations or cash flows. However, future results could be materially and adversely affected by new developments relating to the legal proceedings and claims.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Purchasing Card Facility</w:t>
      </w:r>
    </w:p>
    <w:p>
      <w:pPr>
        <w:spacing w:after="0" w:line="27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We, through our loyalty business, have a purchasing card facility with a bank that we utilize for redemption purchases made from merchant partners as part of our loyalty redemption platform. Expenditures made using the purchasing card facility are payable monthly, are not subject to formula-based restrictions and do not bear interest if amounts outstanding are paid when due and in full. Among other covenants, the purchasing card facility requires us to maintain a month-end cash balance of $40.0 million. In January 2021, the purchasing card facility was extended to April 15, 2022 in order to facilitate a long-term agreement on more favorable terms to us. Bakkt Holdings, Inc. serves as the guarantor on behalf of our subsidiary under the commercial purchasing card facility. In April 2022, we further extended the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maturity date of the purchasing card facility to August 12, 2022, which may be extended to the extent necessary to transition over to the purchasing card facility with Bank of America described below.</w:t>
      </w:r>
    </w:p>
    <w:p>
      <w:pPr>
        <w:spacing w:after="0" w:line="148"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April 7, 2022, we entered into a corporate card services agreement with Bank of America to provide a new purchasing card facility. Total borrowing capacity under the facility is $35 million and there is no defined maturity date. Expenditures made using the purchasing card facility are payable monthly, are not subject to formula-based restrictions and do not bear interest if amounts outstanding are paid when due and in full. The purchasing card facility requires us to maintain a concentration account with the lender subject to a minimum liquidity maintenance requirement of $7.0 million as collateral along with the accounts receivable of our subsidiary, within the loyalty business. Bakkt Holdings, Inc. serves as the guarantor on behalf of our subsidiary under the commercial purchasing card facility.</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270"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In December 2021, we entered into a four-year cloud computing arrangement which includes minimum contractual payments due to the third-party provider. As of June 30, 2022, our outstanding purchase obligations consist of the following future minimum commitments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4"/>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3"/>
        </w:trPr>
        <w:tc>
          <w:tcPr>
            <w:tcW w:w="35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Less than 1 year</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9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More than 5 years</w:t>
            </w: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56"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As a result of the Business Combination, the Company acquired a controlling interest in Opco, which is treated as a partnership for U.S. federal income tax purposes, and in most applicable state and local income tax jurisdictions. As a partnership, Opco is not itself subject to U.S. federal and certain state and local income taxes. Any taxable income or loss generated by Opco is passed through to and included in the taxable income or loss of its partners, including the Company following the Business Combination, on a pro rata basis. The Company's U.S. federal and state income tax benefit (expense) primarily relates to the Company’s allocable share of any taxable income or loss of Opco following the Business Combination. Opco’s wholly owned corporate subsidiaries that are consolidated for U.S. GAAP purposes but separately taxed for federal, state, and foreign income tax purposes as corporations are generating federal, state, and foreign income tax expense.</w:t>
      </w:r>
    </w:p>
    <w:p>
      <w:pPr>
        <w:spacing w:after="0" w:line="19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Our effective tax rates of 15.6% and 10.4% for the three and six months ending June 30, 2022, respectively, differ from statutory rates primarily due to the loss allocated to noncontrolling interest that is not taxed to the Company and the non-deductible expenses related to fair value gains and losses related to the changes in our warrant liability and nondeductible compensation.</w:t>
      </w:r>
    </w:p>
    <w:p>
      <w:pPr>
        <w:spacing w:after="0" w:line="169" w:lineRule="exact"/>
        <w:rPr>
          <w:sz w:val="20"/>
          <w:szCs w:val="20"/>
          <w:color w:val="auto"/>
        </w:rPr>
      </w:pPr>
    </w:p>
    <w:p>
      <w:pPr>
        <w:jc w:val="both"/>
        <w:ind w:right="20" w:firstLine="648"/>
        <w:spacing w:after="0" w:line="305" w:lineRule="auto"/>
        <w:rPr>
          <w:sz w:val="20"/>
          <w:szCs w:val="20"/>
          <w:color w:val="auto"/>
        </w:rPr>
      </w:pPr>
      <w:r>
        <w:rPr>
          <w:rFonts w:ascii="Times New Roman" w:cs="Times New Roman" w:eastAsia="Times New Roman" w:hAnsi="Times New Roman"/>
          <w:sz w:val="18"/>
          <w:szCs w:val="18"/>
          <w:color w:val="auto"/>
        </w:rPr>
        <w:t>Our effective tax rates of (0.5)% and (0.3)% for the three and six months ending June 30, 2021, respectively, differ from statutory rates primarily due to the impact of losses in which no tax benefit is expected to be recognized. The income tax expense during the period related to our operations in Canada.</w:t>
      </w:r>
    </w:p>
    <w:p>
      <w:pPr>
        <w:spacing w:after="0" w:line="183"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Deferred tax assets are reduced by a valuation allowance if, based on the weight of available evidence, it is more likely than not that some portion or all of the deferred tax assets will not be realized. Our realizability of our deferred tax assets, in each jurisdiction, is dependent upon the generation of future taxable income sufficient to utilize the deferred tax assets on income tax returns, including the reversal of existing temporary differences, historical and projected operating results and tax planning strategies. We assessed that certain of its deferred tax assets were not more likely than not to be realized.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The effects of uncertain tax positions are recognized in the consolidated financial statements if these positions meet a “more-likely-than-not” threshold. For those uncertain tax positions that are recognized in the consolidated financial statements, liabilities are established to reflect the portion of those positions it cannot conclude “more-likely-than-not” to be realized upon ultimate settlement. We had no unrecognized tax benefits or related interest and penalties accrued for the three and six ended June 30, 2022 and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 Fair Value Measurements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01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Financial assets and liabilities that are measured at fair value on a recurring basis are classified entirely as Level 1 as follows (in thousands):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3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As of June 30, 2022</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09"/>
        </w:trPr>
        <w:tc>
          <w:tcPr>
            <w:tcW w:w="53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188,746</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188,746</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Safeguarding asset for cryptoassets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147,102</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147,102</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335,848</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188,746</w:t>
            </w:r>
          </w:p>
        </w:tc>
        <w:tc>
          <w:tcPr>
            <w:tcW w:w="4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147,102</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Safeguarding obligations for cryptoassets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147,102</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147,102</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 liability—public warrants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151,815</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4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147,102</w:t>
            </w:r>
          </w:p>
        </w:tc>
        <w:tc>
          <w:tcPr>
            <w:tcW w:w="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3"/>
        </w:trPr>
        <w:tc>
          <w:tcPr>
            <w:tcW w:w="53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09"/>
        </w:trPr>
        <w:tc>
          <w:tcPr>
            <w:tcW w:w="53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 liability—public warrants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17,424</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17,424</w:t>
            </w:r>
          </w:p>
        </w:tc>
        <w:tc>
          <w:tcPr>
            <w:tcW w:w="4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17,424</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17,424</w:t>
            </w:r>
          </w:p>
        </w:tc>
        <w:tc>
          <w:tcPr>
            <w:tcW w:w="4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w:t>
            </w:r>
          </w:p>
        </w:tc>
        <w:tc>
          <w:tcPr>
            <w:tcW w:w="10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We classify our investments in debt securities as available-for-sale investments. Debt securities consist of U.S. Treasury debt securities. These investments are held in the custody of a major financial institution. As of June 30, 2022, the Company’s investment in marketable securities – available-for-sale was determined to be a level 1 investment and is recorded in the consolidated balance sheet at fair value.</w:t>
      </w:r>
    </w:p>
    <w:p>
      <w:pPr>
        <w:spacing w:after="0" w:line="169"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18"/>
          <w:szCs w:val="18"/>
          <w:color w:val="auto"/>
        </w:rPr>
        <w:t>The fair value of the safeguarding obligations for cryptoassets and the corresponding safeguarding asset for cryptoassets were determined using prices available in the market we determine to be the principal market as of June 30, 2022.</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public warrant liability is valued based on quoted prices in active markets and is classified within Level 1.</w:t>
      </w:r>
    </w:p>
    <w:p>
      <w:pPr>
        <w:spacing w:after="0" w:line="212"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and cash equivalents, accounts receivables, unbilled accounts receivables, due from related party, deposits with clearinghouse, due to related party, accounts payable and accrued liabilities, and operating lease obligations approximate their fair values due to their short-term nature. The balance of deposits with clearinghouse not invested in U.S. government securities are in the form of cash, and therefore approximate fair value.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Leases</w:t>
      </w:r>
    </w:p>
    <w:p>
      <w:pPr>
        <w:spacing w:after="0" w:line="270"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The Company leases real estate for office space under operating leases and office equipment under finance leases. As of June 30, 2022, we do not have any active finance leases. We consider a lease to have commenced on the date when we are granted access to the leased asset. Several of these leases include escalation clauses for adjusting rentals.</w:t>
      </w:r>
    </w:p>
    <w:p>
      <w:pPr>
        <w:spacing w:after="0" w:line="169"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During the six months ended June 30, 2022, we entered into a new real estate lease for office space in New York, New York, that commenced on January 31, 2022. The lease has a term of 94 months and the total fixed lease payments over the term of the lease are $7.3 million. On April 25, 2022, we signed a lease agreement for call center office space in Alpharetta, Georgia. On May 12, 2022, we executed our option to lease additional space for the Alpharetta call center. The call center lease commenced on June 3, 2022. The lease has a term of 47 months and total fixed lease payments over the term of the lease are approximately $5.9 million.</w:t>
      </w:r>
    </w:p>
    <w:p>
      <w:pPr>
        <w:spacing w:after="0" w:line="191"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Our real estate leases have remaining lease terms as of June 30, 2022 ranging from 10 months to 123 months, with one of our leases containing an option to extend the term for a period of 5 years exercisable by us, which we are not reasonably certain of exercising at commencement. None of our leases contain an option to terminate the lease without cause at the option of either party during the lease term. Certain equipment leases contain options to purchase the asset at the fair market value, available with the Company.</w:t>
      </w:r>
    </w:p>
    <w:p>
      <w:pPr>
        <w:spacing w:after="0" w:line="190"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Certain of our real estate leasing agreements include terms requiring us to reimburse the lessor for its share of real estate taxes, insurance, operating costs and utilities which we account for as variable lease costs when incurred since we have elected to not separate lease and non-lease components, and hence are not included in the measurement of lease liability. There are no restrictions or covenants imposed by any of the leases, and none of our leases contain material residual value guarantees.</w:t>
      </w:r>
    </w:p>
    <w:p>
      <w:pPr>
        <w:spacing w:after="0" w:line="173"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The discount rates for all of our leases are based on our estimated incremental borrowing rate since the rates implicit in the leases were not determinable. Our incremental borrowing rate is based on management’s estimate of the rate of interest we would have to pay to borrow on a fully collateralized basis over a similar term an amount equal to the lease payments in a similar economic environment.</w:t>
      </w:r>
    </w:p>
    <w:p>
      <w:pPr>
        <w:spacing w:after="0" w:line="183"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We have elected the practical expedient under which lease components would not be separated from the non-lease components for all our classes of underlying assets. Accordingly, each lease component and the non-lease components related to the lease component are accounted for as a single lease component. The weighted average remaining lease term for our operating leases was approximately 95 months, and the weighted average discount rate for our operating leases was 5.0%. We were not party to any short-term leases during the periods presented.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17. Safeguarding Obligations For Cryptoassets</w:t>
      </w: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We provide bitcoin and ether custody services for our consumer platform users and for standalone custody customers. We do not own cryptoassets held in a custodial capacity on behalf of our customers. We hold the cryptographic key information on behalf of our custodial customers. We also maintain the internal recordkeeping of those assets and are obligated to safeguard the assets and protect them from loss or theft.</w:t>
      </w:r>
    </w:p>
    <w:p>
      <w:pPr>
        <w:spacing w:after="0" w:line="183"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As of June 30, 2022, upon the implementation of SAB 121, the Company recorded a safeguarding obligation for cryptoassets of approximately $147.1 million. The safeguarding liability, and corresponding safeguarding asset for cryptoassets on the balance sheet, are measured at the fair value of the cryptoassets held for our customers. The Company is not aware of any actual or possible safeguarding loss events as of June 30, 2022. Therefore, the safeguarding obligation for cryptoassets and the related safeguarding asset for cryptoassets are recorded at the same amount.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responsible for holding the following cryptoassets on behalf of our customers as of June 30, 2022 (in thousands):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Successor</w:t>
            </w:r>
          </w:p>
        </w:tc>
      </w:tr>
      <w:tr>
        <w:trPr>
          <w:trHeight w:val="223"/>
        </w:trPr>
        <w:tc>
          <w:tcPr>
            <w:tcW w:w="9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 2022</w:t>
            </w:r>
          </w:p>
        </w:tc>
      </w:tr>
      <w:tr>
        <w:trPr>
          <w:trHeight w:val="223"/>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Bitcoin</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147,064</w:t>
            </w:r>
          </w:p>
        </w:tc>
      </w:tr>
      <w:tr>
        <w:trPr>
          <w:trHeight w:val="230"/>
        </w:trPr>
        <w:tc>
          <w:tcPr>
            <w:tcW w:w="9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Ether</w:t>
            </w: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8"/>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Safeguarding obligations for cryptoassets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147,102</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r>
      <w:tr>
        <w:trPr>
          <w:trHeight w:val="248"/>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Safeguarding asset for cryptoassets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147,102</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231F20"/>
        </w:rPr>
        <w:t>Investment in Debt Securities</w:t>
      </w:r>
    </w:p>
    <w:p>
      <w:pPr>
        <w:spacing w:after="0" w:line="270"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We have investments in certain debt securities, which we record at fair value and present as Available-for-sale securities in the Consolidated Balance Sheet.</w:t>
      </w:r>
    </w:p>
    <w:p>
      <w:pPr>
        <w:spacing w:after="0" w:line="176"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Unrealized gains and temporary losses, net of related taxes, are included in accumulated other comprehensive income (loss) (AOCI). Upon realization, those amounts are reclassified from AOCI to earnings. The amortization of premiums and discounts on the investments are included in our results of operations. Realized gains and losses are calculated based on the specific identification method. We classify our investments as current or noncurrent based on the nature of the investments and their availability for use in current operations.</w:t>
      </w:r>
    </w:p>
    <w:p>
      <w:pPr>
        <w:spacing w:after="0" w:line="190"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The cost basis and fair value of available-for-sale debt securities with unrealized gains and losses included in equity (AOCI in the Consolidated Statement of Financial Position) were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8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ind w:left="120"/>
              <w:spacing w:after="0" w:line="169" w:lineRule="exact"/>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14"/>
                <w:szCs w:val="14"/>
                <w:color w:val="auto"/>
              </w:rPr>
            </w:pPr>
          </w:p>
        </w:tc>
        <w:tc>
          <w:tcPr>
            <w:tcW w:w="1200" w:type="dxa"/>
            <w:vAlign w:val="bottom"/>
            <w:gridSpan w:val="2"/>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4"/>
                <w:szCs w:val="14"/>
                <w:color w:val="auto"/>
              </w:rPr>
            </w:pPr>
          </w:p>
        </w:tc>
        <w:tc>
          <w:tcPr>
            <w:tcW w:w="860" w:type="dxa"/>
            <w:vAlign w:val="bottom"/>
          </w:tcPr>
          <w:p>
            <w:pPr>
              <w:jc w:val="right"/>
              <w:ind w:right="290"/>
              <w:spacing w:after="0" w:line="169" w:lineRule="exact"/>
              <w:rPr>
                <w:sz w:val="20"/>
                <w:szCs w:val="20"/>
                <w:color w:val="auto"/>
              </w:rPr>
            </w:pPr>
            <w:r>
              <w:rPr>
                <w:rFonts w:ascii="Times New Roman" w:cs="Times New Roman" w:eastAsia="Times New Roman" w:hAnsi="Times New Roman"/>
                <w:sz w:val="18"/>
                <w:szCs w:val="18"/>
                <w:b w:val="1"/>
                <w:bCs w:val="1"/>
                <w:color w:val="auto"/>
              </w:rPr>
              <w:t>Fair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380"/>
              <w:spacing w:after="0" w:line="169" w:lineRule="exact"/>
              <w:rPr>
                <w:sz w:val="20"/>
                <w:szCs w:val="20"/>
                <w:color w:val="auto"/>
              </w:rPr>
            </w:pPr>
            <w:r>
              <w:rPr>
                <w:rFonts w:ascii="Times New Roman" w:cs="Times New Roman" w:eastAsia="Times New Roman" w:hAnsi="Times New Roman"/>
                <w:sz w:val="18"/>
                <w:szCs w:val="18"/>
                <w:b w:val="1"/>
                <w:bCs w:val="1"/>
                <w:color w:val="auto"/>
              </w:rPr>
              <w:t>Cost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40" w:type="dxa"/>
            <w:vAlign w:val="bottom"/>
          </w:tcPr>
          <w:p>
            <w:pPr>
              <w:spacing w:after="0"/>
              <w:rPr>
                <w:sz w:val="14"/>
                <w:szCs w:val="14"/>
                <w:color w:val="auto"/>
              </w:rPr>
            </w:pPr>
          </w:p>
        </w:tc>
        <w:tc>
          <w:tcPr>
            <w:tcW w:w="82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b w:val="1"/>
                <w:bCs w:val="1"/>
                <w:color w:val="auto"/>
              </w:rPr>
              <w:t>Fair</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Basis</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Net Losses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w w:val="99"/>
              </w:rPr>
              <w:t>Basis</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Net Losses</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Value</w:t>
            </w:r>
          </w:p>
        </w:tc>
        <w:tc>
          <w:tcPr>
            <w:tcW w:w="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Government debt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bonds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188,759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188,746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7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available-for-sale securities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188,759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188,746</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gridSpan w:val="2"/>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3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securities in an unrealized loss position</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Pr>
          <w:p>
            <w:pPr>
              <w:spacing w:after="0"/>
              <w:rPr>
                <w:sz w:val="14"/>
                <w:szCs w:val="14"/>
                <w:color w:val="auto"/>
              </w:rPr>
            </w:pPr>
          </w:p>
        </w:tc>
        <w:tc>
          <w:tcPr>
            <w:tcW w:w="1120" w:type="dxa"/>
            <w:vAlign w:val="bottom"/>
            <w:gridSpan w:val="2"/>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0" w:type="dxa"/>
            <w:vAlign w:val="bottom"/>
          </w:tcPr>
          <w:p>
            <w:pPr>
              <w:spacing w:after="0"/>
              <w:rPr>
                <w:sz w:val="1"/>
                <w:szCs w:val="1"/>
                <w:color w:val="auto"/>
              </w:rPr>
            </w:pPr>
          </w:p>
        </w:tc>
      </w:tr>
      <w:tr>
        <w:trPr>
          <w:trHeight w:val="243"/>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Government debt</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vMerge w:val="continue"/>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Net Losses</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Net Losses</w:t>
            </w:r>
          </w:p>
        </w:tc>
        <w:tc>
          <w:tcPr>
            <w:tcW w:w="0" w:type="dxa"/>
            <w:vAlign w:val="bottom"/>
          </w:tcPr>
          <w:p>
            <w:pPr>
              <w:spacing w:after="0"/>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bonds: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 xml:space="preserve">Less than 12 months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89,455</w:t>
            </w: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(42)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 xml:space="preserve">12 months or more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74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gridSpan w:val="2"/>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available-for-sale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89,455</w:t>
            </w:r>
          </w:p>
        </w:tc>
        <w:tc>
          <w:tcPr>
            <w:tcW w:w="14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120" w:hanging="94"/>
        <w:spacing w:after="0"/>
        <w:tabs>
          <w:tab w:leader="none" w:pos="12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the length of time that individual securities have been in a continuous unrealized loss position.</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The unrealized losses on our investments in government debt securities relate to changes in interest rates since time of purchase. We do not intend to sell the investments, and it is not likely that we will be required to sell the investments before recovery of their respective amortized cost basis. In addition, there were no credit losses on these investments as of June 30, 2022.</w:t>
      </w:r>
    </w:p>
    <w:p>
      <w:pPr>
        <w:spacing w:after="0" w:line="183" w:lineRule="exact"/>
        <w:rPr>
          <w:sz w:val="20"/>
          <w:szCs w:val="20"/>
          <w:color w:val="auto"/>
        </w:rPr>
      </w:pPr>
    </w:p>
    <w:p>
      <w:pPr>
        <w:jc w:val="both"/>
        <w:ind w:right="20" w:firstLine="324"/>
        <w:spacing w:after="0" w:line="313" w:lineRule="auto"/>
        <w:rPr>
          <w:sz w:val="20"/>
          <w:szCs w:val="20"/>
          <w:color w:val="auto"/>
        </w:rPr>
      </w:pPr>
      <w:r>
        <w:rPr>
          <w:rFonts w:ascii="Times New Roman" w:cs="Times New Roman" w:eastAsia="Times New Roman" w:hAnsi="Times New Roman"/>
          <w:sz w:val="18"/>
          <w:szCs w:val="18"/>
          <w:color w:val="auto"/>
        </w:rPr>
        <w:t>The cost basis and fair value of available-for-sale debt securities at June 30, 2022, by contractual maturity, are shown below (in thousands). Expected maturities may differ from contractual maturities because borrowers may have the right to prepay and creditors may have the right to call obligations.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8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680" w:type="dxa"/>
            <w:vAlign w:val="bottom"/>
            <w:tcBorders>
              <w:top w:val="single" w:sz="8" w:color="auto"/>
              <w:bottom w:val="single" w:sz="8" w:color="auto"/>
            </w:tcBorders>
          </w:tcPr>
          <w:p>
            <w:pPr>
              <w:spacing w:after="0"/>
              <w:rPr>
                <w:sz w:val="21"/>
                <w:szCs w:val="21"/>
                <w:color w:val="auto"/>
              </w:rPr>
            </w:pPr>
          </w:p>
        </w:tc>
      </w:tr>
      <w:tr>
        <w:trPr>
          <w:trHeight w:val="223"/>
        </w:trPr>
        <w:tc>
          <w:tcPr>
            <w:tcW w:w="88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12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173,758</w:t>
            </w:r>
          </w:p>
        </w:tc>
        <w:tc>
          <w:tcPr>
            <w:tcW w:w="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173,753</w:t>
            </w:r>
          </w:p>
        </w:tc>
      </w:tr>
      <w:tr>
        <w:trPr>
          <w:trHeight w:val="230"/>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15,001</w:t>
            </w:r>
          </w:p>
        </w:tc>
        <w:tc>
          <w:tcPr>
            <w:tcW w:w="5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14,993</w:t>
            </w:r>
          </w:p>
        </w:tc>
      </w:tr>
      <w:tr>
        <w:trPr>
          <w:trHeight w:val="248"/>
        </w:trPr>
        <w:tc>
          <w:tcPr>
            <w:tcW w:w="8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securities - available-for-sale</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188,759</w:t>
            </w:r>
          </w:p>
        </w:tc>
        <w:tc>
          <w:tcPr>
            <w:tcW w:w="5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188,746</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w:t>
      </w:r>
      <w:r>
        <w:rPr>
          <w:rFonts w:ascii="Times New Roman" w:cs="Times New Roman" w:eastAsia="Times New Roman" w:hAnsi="Times New Roman"/>
          <w:sz w:val="18"/>
          <w:szCs w:val="18"/>
          <w:b w:val="1"/>
          <w:bCs w:val="1"/>
          <w:color w:val="231F20"/>
        </w:rPr>
        <w:t>Subsequent Events</w:t>
      </w:r>
    </w:p>
    <w:p>
      <w:pPr>
        <w:spacing w:after="0" w:line="270"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We have evaluated subsequent events and transactions and determined that no other events or transactions met the definition of a subsequent event for purpose of recognition or disclosure in these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i w:val="1"/>
          <w:iCs w:val="1"/>
          <w:color w:val="231F20"/>
        </w:rPr>
        <w:t>The following discussion and analysis of financial condition and results of operations should be read together with the accompanying consolidated financial statements and related notes. References in this section to “we,” “us,” “our,” “Bakkt” or the “Company” and like terms refer to (i) Bakkt Opco Holdings, LLC and its subsidiaries (the “Predecessor”) for the three and six months ended June 30, 2021 (referred to herein as a "Predecessor Periods") and (ii) Bakkt Holdings, Inc. and its subsidiaries (the “Successor”) for the three and six months ended June 30, 2022 (the “Successor Periods”), unless the context otherwise requires. Some of the information contained in this discussion and analysis or set forth elsewhere in this document, including information with respect to our plans and strategy for our business, includes forward-looking statements. Such forward-looking statements are based on the beliefs of our management, as well as assumptions made by, and information currently available to, our management. Actual results could differ materially from those contemplated by the forward-looking statements. Factors that could cause or contribute to such differences include, but are not limited to, those factors discussed above in “Cautionary Statement Regarding Forward-Looking Statements” and “Item 1A. Risk Factors.”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w:t>
      </w:r>
    </w:p>
    <w:p>
      <w:pPr>
        <w:spacing w:after="0" w:line="270"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Bakkt’s vision is to connect the digital economy. Our platform, which operates at the intersection of cryptoassets (“crypto”), loyalty and rewards, and payments, is uniquely positioned to enable consumers, brands, and financial institutions to better manage, transact with and monetize those assets in new ways.</w:t>
      </w:r>
    </w:p>
    <w:p>
      <w:pPr>
        <w:spacing w:after="0" w:line="169"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We believe we are well positioned to provide innovative, multi-faceted product solutions and grow with the evolving digital assets market. Our institutional grade technology platform is at the center of everything we do. It is secure and regulated, born out of our heritage with our former parent company, Intercontinental Exchange, Inc. (“ICE”) (NYSE: ICE). Through these elements, we provide, or are working to provide, products and services in four key areas:</w:t>
      </w:r>
    </w:p>
    <w:p>
      <w:pPr>
        <w:spacing w:after="0" w:line="173"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Crypto Services. Our platform provides consumers, businesses and institutions easy access to crypto buy and sell capabilities. We enable</w:t>
      </w:r>
    </w:p>
    <w:p>
      <w:pPr>
        <w:spacing w:after="0" w:line="49" w:lineRule="exact"/>
        <w:rPr>
          <w:rFonts w:ascii="Times New Roman" w:cs="Times New Roman" w:eastAsia="Times New Roman" w:hAnsi="Times New Roman"/>
          <w:sz w:val="18"/>
          <w:szCs w:val="18"/>
          <w:color w:val="auto"/>
        </w:rPr>
      </w:pPr>
    </w:p>
    <w:p>
      <w:pPr>
        <w:jc w:val="both"/>
        <w:ind w:left="66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businesses – particularly those not native to the crypto space, such as platform partners, financial institutions and wallet providers – to provide their customers with the ability to transact in crypto directly in their trusted environments. Our platform provides secure, regulated and institutional-grade infrastructure in a simple, intuitive digital experience.</w:t>
      </w:r>
    </w:p>
    <w:p>
      <w:pPr>
        <w:spacing w:after="0" w:line="16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Fueling Crypto Rewards. We are in the process of enabling merchants of all sizes to offer loyalty and rewards to their customers in the form of</w:t>
      </w:r>
    </w:p>
    <w:p>
      <w:pPr>
        <w:spacing w:after="0" w:line="49" w:lineRule="exact"/>
        <w:rPr>
          <w:rFonts w:ascii="Times New Roman" w:cs="Times New Roman" w:eastAsia="Times New Roman" w:hAnsi="Times New Roman"/>
          <w:sz w:val="18"/>
          <w:szCs w:val="18"/>
          <w:color w:val="auto"/>
        </w:rPr>
      </w:pPr>
    </w:p>
    <w:p>
      <w:pPr>
        <w:jc w:val="both"/>
        <w:ind w:left="66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 – either by earning crypto rewards, or by redeeming existing reward currencies, such as points or miles, into crypto. We believe this capability will enhance merchants’ existing loyalty programs and enable merchants to attract younger, affluent, digital-native audiences and to increase loyalty with existing customers by offering the potential to increase the long-term value of their rewards.</w:t>
      </w:r>
    </w:p>
    <w:p>
      <w:pPr>
        <w:spacing w:after="0" w:line="169" w:lineRule="exact"/>
        <w:rPr>
          <w:rFonts w:ascii="Times New Roman" w:cs="Times New Roman" w:eastAsia="Times New Roman" w:hAnsi="Times New Roman"/>
          <w:sz w:val="18"/>
          <w:szCs w:val="18"/>
          <w:color w:val="auto"/>
        </w:rPr>
      </w:pPr>
    </w:p>
    <w:p>
      <w:pPr>
        <w:jc w:val="both"/>
        <w:ind w:left="660" w:right="20" w:hanging="328"/>
        <w:spacing w:after="0" w:line="314" w:lineRule="auto"/>
        <w:tabs>
          <w:tab w:leader="none" w:pos="65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Paying with Digital Assets. We enable consumers to make everyday purchases using their existing rewards points or new assets like crypto. Our solution enables assets to be easily converted at checkout, making merchant integrations simple, fast, and flexible and facilitating settlement in fiat</w:t>
      </w:r>
    </w:p>
    <w:p>
      <w:pPr>
        <w:spacing w:after="0" w:line="1" w:lineRule="exact"/>
        <w:rPr>
          <w:rFonts w:ascii="Times New Roman" w:cs="Times New Roman" w:eastAsia="Times New Roman" w:hAnsi="Times New Roman"/>
          <w:sz w:val="17"/>
          <w:szCs w:val="17"/>
          <w:color w:val="auto"/>
        </w:rPr>
      </w:pPr>
    </w:p>
    <w:p>
      <w:pPr>
        <w:ind w:left="66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currency. Our payment capabilities also extend to enable companies to disburse payments in crypto (for instance, to gig economy or marketplace participants such as freelancers, content providers, and delivery workers).</w:t>
      </w:r>
    </w:p>
    <w:p>
      <w:pPr>
        <w:spacing w:after="0" w:line="175" w:lineRule="exact"/>
        <w:rPr>
          <w:rFonts w:ascii="Times New Roman" w:cs="Times New Roman" w:eastAsia="Times New Roman" w:hAnsi="Times New Roman"/>
          <w:sz w:val="17"/>
          <w:szCs w:val="17"/>
          <w:color w:val="auto"/>
        </w:rPr>
      </w:pPr>
    </w:p>
    <w:p>
      <w:pPr>
        <w:jc w:val="both"/>
        <w:ind w:left="660" w:hanging="328"/>
        <w:spacing w:after="0" w:line="289"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Powering Loyalty. We offer a full spectrum of content that retailers and financial institutions can make available to their customers when redeeming loyalty currencies, driving consumer loyalty and engagement. Our redemption solutions span a variety of rewards categories including</w:t>
      </w:r>
    </w:p>
    <w:p>
      <w:pPr>
        <w:spacing w:after="0" w:line="1" w:lineRule="exact"/>
        <w:rPr>
          <w:rFonts w:ascii="Times New Roman" w:cs="Times New Roman" w:eastAsia="Times New Roman" w:hAnsi="Times New Roman"/>
          <w:sz w:val="18"/>
          <w:szCs w:val="18"/>
          <w:color w:val="auto"/>
        </w:rPr>
      </w:pPr>
    </w:p>
    <w:p>
      <w:pPr>
        <w:jc w:val="both"/>
        <w:ind w:left="6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merchandise (such as Apple products and services), gift cards, digital experiences and charitable giving. Our travel solution offers a retail e-commerce booking platform with a powerful search capability, as well as live-agent booking and servicing. Our platform provides a unified</w:t>
      </w:r>
    </w:p>
    <w:p>
      <w:pPr>
        <w:spacing w:after="0" w:line="1" w:lineRule="exact"/>
        <w:rPr>
          <w:rFonts w:ascii="Times New Roman" w:cs="Times New Roman" w:eastAsia="Times New Roman" w:hAnsi="Times New Roman"/>
          <w:sz w:val="18"/>
          <w:szCs w:val="18"/>
          <w:color w:val="auto"/>
        </w:rPr>
      </w:pPr>
    </w:p>
    <w:p>
      <w:pPr>
        <w:jc w:val="both"/>
        <w:ind w:left="66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shopping experience that is configurable for companies and their programs. Capabilities include a mobile-first user experience, a multi-tier construct to accommodate loyalty tiers, comprehensive fraud protection capabilities and a split-tender payments platform to accept both points and credit cards as a form of payment. We recognize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that businesses want to offer consumers choice, innovation and a frictionless experience, and our platform was constructed with this in mind.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Platform</w:t>
      </w:r>
    </w:p>
    <w:p>
      <w:pPr>
        <w:spacing w:after="0" w:line="28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Our platform is built to operate at the intersection of cryptoassets, loyalty and payments, and offers partners the flexibility to choose some or all of our capabilities, and the manner in which these capabilities are enabled for consumers, based on their needs and objectives. Some partners may choose to enable our capabilities directly in their experience, while others may want a “ready-to-go” storefront and leverage capabilities such as our consumer app. Our core platform and infrastructure are built to provide integrations for crypto buy/sell trading, loyalty redemption, payments and exchange, and supports these use cases regardless of where the consumer experience lives. Our institutional-grade platform, born out of ICE, supports "know your customer" ("KYC"), anti-money laundering ("AML"), and other anti-fraud measures to combat financial crime.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Key Factors Affecting Our Performance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Attractiveness of Platform</w:t>
      </w:r>
    </w:p>
    <w:p>
      <w:pPr>
        <w:spacing w:after="0" w:line="25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231F20"/>
        </w:rPr>
        <w:t>We primarily generate revenue when users of our platform buy, sell, convert, spend and send digital assets through the platform, and our success depends in part on transaction volume. Business growth will come from growing users and the transaction fees associated with users buying, selling, converting and spending with digital assets, and the margin earned in connection with consumer purchases and the sale of cryptoassets. We will look to grow our base of active and transacting users to grow these revenue streams.</w:t>
      </w:r>
    </w:p>
    <w:p>
      <w:pPr>
        <w:spacing w:after="0" w:line="173"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231F20"/>
        </w:rPr>
        <w:t>In addition, growing partners on our platform increases our ability to grow revenue streams. To date, management has been focused on building through partners within a business-to-business-to-consumer (“B2B2C”) model. Our goal is to provide these partners opportunities to leverage our capabilities either through their existing environment or by leveraging our platform. Expanding the platform capabilities leveraged by our partner set, as well as expanding with new partners, will be key to our business and revenue growth. We expect that revenues related to loyalty redemption transactions, cryptoasset trades, subscriptions and services will be significant drivers of our business. The risks and uncertainties related to each such revenue generating activity are largely the same. Specifically, to the extent we are unable to grow our partner base and/or organically grow our active and transacting user base (who buy, sell, convert and spend with digital assets, and from whom we can earn the margin paid in connection with consumer purchases and sale of cryptoassets), or to the extent the cost of such growth (including our average customer acquisition cost) is greater than we anticipate, the corresponding growth of our business may occur more slowly than we expect, or may not occur at all. Our ability to execute on our business plan is dependent on successfully executing on several key components of our business, principally including: (i) the technological success of our platform; (ii) the integration of our platform with the platforms of our partners; (iii) growth in the number and diversity of the loyalty brands, associated merchants and retailers, and cryptocurrencies and other digital assets that we support; and (iv) our resulting ability to create a network effect with growth in active and transacting users.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Regulations in U.S. Markets</w:t>
      </w:r>
    </w:p>
    <w:p>
      <w:pPr>
        <w:spacing w:after="0" w:line="25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We are subject to many complex, uncertain and overlapping local, state and federal laws, rules, regulations, policies and legal interpretations (collectively, “laws and regulations”) in the markets in which we operate. These laws and regulations govern, among other things, consumer protection, privacy and data protection, labor and employment, anti-money laundering, money transmission, competition, and marketing and communications practices. These laws and regulations will likely have evolving interpretations and applications, particularly as we introduce new products and services and expand into new jurisdictions.</w:t>
      </w:r>
    </w:p>
    <w:p>
      <w:pPr>
        <w:spacing w:after="0" w:line="191"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18"/>
          <w:szCs w:val="18"/>
          <w:color w:val="231F20"/>
        </w:rPr>
        <w:t>We are seeking to bring trust and transparency to digital assets. We will progressively be subject to laws and regulations relating to the collection, use, retention, security, and transfer of information, including the personally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231F20"/>
        </w:rPr>
        <w:t>identifiable information of our clients and all of the users in the information chain. We have developed and frequently evaluate and update our compliance models to ensure that we are complying with applicable restrictions.</w:t>
      </w:r>
    </w:p>
    <w:p>
      <w:pPr>
        <w:spacing w:after="0" w:line="148"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We continue to work with regulators to address the emerging global landscape for digital assets. As investment continues, the intersection of technology and finance will require ongoing engagement as new applications emerge. Digital assets and distributed ledger technology have significant, positive potential with proper collaboration between industry and regulators.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COVID-19 Impacts</w:t>
      </w:r>
    </w:p>
    <w:p>
      <w:pPr>
        <w:spacing w:after="0" w:line="25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In March 2020, the World Health Organization declared the COVID-19 outbreak a global pandemic. The COVID-19 pandemic has adversely affected global economic activity and, in 2020, contributed to significant declines and volatility in financial markets. The COVID-19 pandemic had an impact on our business during the year ended December 31, 2020, primarily in that it (i) decreased revenue from our loyalty and travel businesses, and (ii) impacted our ability to expand our relationships with existing loyalty partners, and to conclude relationships with new loyalty partners, whose businesses similarly have been adversely affected by the pandemic. During 2021, our business operations started to recover from the impacts of the pandemic. Our business operations have continued to recover in 2022 from the impacts of the pandemic, including revenue from the loyalty and travel business.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Business Combination</w:t>
      </w:r>
    </w:p>
    <w:p>
      <w:pPr>
        <w:spacing w:after="0" w:line="27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On October 15, 2021, Bakkt (f/k/a VPC Impact Acquisition Holdings, a Cayman Islands exempted company (“VIH”)) and VIH completed the Business Combination contemplated by the Merger Agreement. Pursuant to the Merger Agreement, VIH acquired a majority voting interest in Bakkt Opco Holdings, LLC (“Opco”) through a series of mergers, with Opco becoming a direct subsidiary of VIH. In connection with the completion of the Business Combination, VIH changed its jurisdiction of incorporation from the Cayman Islands to the State of Delaware and changed its name to “Bakkt Holdings, Inc.”</w:t>
      </w:r>
    </w:p>
    <w:p>
      <w:pPr>
        <w:spacing w:after="0" w:line="191"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The Business Combination resulted in Bakkt continuing as the surviving entity and being organized as an umbrella partnership corporation, or “up-C,” structure in which substantially all our assets and business are held by Opco and its subsidiaries, with the existing owners of Opco being considered as noncontrolling interests in the audited consolidated financial statements.</w:t>
      </w:r>
    </w:p>
    <w:p>
      <w:pPr>
        <w:spacing w:after="0" w:line="169"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Upon completion of the Business Combination, VIH was deemed the accounting acquirer and Opco the accounting acquiree. Under the acquisition method of accounting, VIH’s assets and liabilities retained their carrying values and the assets and liabilities associated with Opco were recorded at their fair values measured as of the acquisition date. The excess of the purchase price over the estimated fair values of the net assets acquired was recorded as goodwill. In connection with the Business Combination, all outstanding membership interests and rights to acquire membership interests in Opco were exchanged for an aggregate of 208,200,000 Opco common units and an equal number of newly issued shares of our Class V common stock, par value $0.0001 per share (“Class V common stock”), which are non-economic, voting shares of the Company, of which 207,406,648 are outstanding and 793,352 reserved for issuance upon the exercise of a warrant agreement. Each Opco common unit, when coupled with one share of our Class V common stock is referred to as a “Paired Interest.” Paired Interests may be exchanged for one share of our Class A common stock or a cash amount in accordance with the Third Amended and Restated Limited Liability Company Agreement of Opco and the Amended and Restated Exchange Agreement between the Company and certain holders of Bakkt Common Units, dated as of October 15, 2021. Following the Closing, the Company owned approximately 20.3% of the Opco common units and with the remaining Opco common units being owned by the equity owners of Opco prior to the Merger. Holders of Paired Interests became entitled to exchange their Paired Interests in accordance with the Amended and Restated Exchange Agreement in the second quarter of 2022. As of August 5, 2022, exchanges and forfeitures had resulted in the Company’s ownership of Opco common units increasing to 29.0%.</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231F20"/>
        </w:rPr>
        <w:t>As a result of the Business Combination, our financial results are broken out between the Predecessor periods (January 1, 2021 through June 30, 2021) and the Successor periods (January 1, 2022 through June 30, 2022).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Safeguarding Obligation Liability and Safeguarding Asset Related to Cryptoassets Held for Other Parties</w:t>
      </w:r>
    </w:p>
    <w:p>
      <w:pPr>
        <w:spacing w:after="0" w:line="270"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As detailed in Note 17, upon the adoption of SAB 121, we recorded a safeguarding obligation liability and a corresponding safeguarding asset related to the cryptoassets held for other parties. As of June 30, 2022, the safeguarding obligation liability related to cryptoassets held for other parties was approximately $147.1 million. We have taken steps to mitigate the potential risk of loss for the cryptoassets we hold for other parties, including holding insurance coverage specifically for certain cryptoasset incidents and using secure cold storage to store the vast majority of cryptoassets that we hold. SAB 121 also asks us to consider the legal ownership of the cryptoassets held for other parties, including whether the cryptoassets held for other parties would be available to satisfy general creditor claims in the event of our bankruptcy.</w:t>
      </w:r>
    </w:p>
    <w:p>
      <w:pPr>
        <w:spacing w:after="0" w:line="193"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18"/>
          <w:szCs w:val="18"/>
          <w:color w:val="auto"/>
        </w:rPr>
        <w:t>The legal rights with respect to cryptoassets held on behalf of third parties by a custodian, such as us, upon the custodian’s bankruptcy have not yet been settled by courts and are highly fact-dependent. However, based on the terms of our terms of service and applicable law, in the event that we were to enter bankruptcy, we believe the cryptoassets that we hold in custody for users of our platform should be respected as users’ property (and should not be available to satisfy the claims of our general creditors). We do not allow users to purchase cryptoassets on margin, and cryptoassets held on our platform do not serve as collateral for margin loans. We hold cryptoassets in custody for users in one or more omnibus cryptoasset wallets; we do not presently utilize third-party custodians. We hold cryptographic key information and maintain internal record keeping for the cryptoassets we hold in custody for users, and we are obligated to secure such assets from loss or theft. Our contractual arrangements state that our customers and trading partners retain legal ownership of the cryptoassets custodied by us on their behalf; they also benefit from the rewards and bear the risks associated with their ownership, including as a result of any price fluctuations. We have been monitoring and will continue to actively monitor legal and regulatory developments and may consider further steps, as appropriate, to support this contractual position so that in the event of our bankruptcy, the cryptoassets custodied by us should not be deemed to be part of our bankruptcy estate. We do not expect potential future cash flows associated with the cryptoasset safeguarding obligation liability.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Corporate Structure</w:t>
      </w:r>
    </w:p>
    <w:p>
      <w:pPr>
        <w:spacing w:after="0" w:line="25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231F20"/>
        </w:rPr>
        <w:t>We own and consolidate entities formed during the year ended December 31, 2019, including Bakkt Trust and Bakkt Marketplace. We also own and consolidate entities that were acquired during the year ended December 31, 2019, including DACC Technologies, Inc., Digital Asset Custody Company, Inc. (collectively with DACC Technologies, Inc., “DACC”), and Bakkt Clearing, LLC (“Bakkt Clearing”), formerly known as Rosenthal Collins Group, L.L.C. We continued to operate these entities through fiscal year 2021 and also acquired Bridge2 Solutions in February 2020.</w:t>
      </w:r>
    </w:p>
    <w:p>
      <w:pPr>
        <w:spacing w:after="0" w:line="17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Bakkt Trust is a New York limited-purpose trust company that is chartered by and subject to the supervision and oversight of the NYDFS. In September 2019, Bakkt Trust, along with IFUS and ICUS, both of which are wholly-owned subsidiaries of ICE, brought to market an institutional-grade, regulated infrastructure for trading, clearing, and custody services for bitcoin. Bakkt Trust acts as a qualified custodian for bitcoin, which enables Bakkt Trust to offer end-to-end regulated, physically-delivered bitcoin futures and options contracts to financial institutions and market makers. In addition, Bakkt Trust has been approved by the NYDFS to offer non-trading- related, standalone custody of bitcoin and ether to institutions and certain high net worth individuals in cryptoassets, subject to NYDFS regulatory oversight.</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The below graphic illustrates the structure of the physically-delivered bitcoin futures and options and custody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657850" cy="31800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Bakkt Marketplace has created an integrated platform that enables consumers and enterprises to transact in digital assets. Bakkt Marketplace users have a digital wallet that enables them to purchase, sell, convert, and or spend digital assets. Users can also use their digital wallet to spend fiat currency with various retailers and convert loyalty and rewards points into fiat currency. Bakkt Marketplace has received money transmitter licenses from all states throughout the U.S. where such licenses are required, has obtained a New York State virtual currency license, and is registered as a money services business with the Financial Crimes Enforcement Network of the United States Department of the Treasury. Bakkt</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rust’s custody solution provides support to Bakkt Marketplace with respect to bitcoin and ether functionality within the consumer app.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Bakkt Clearing was registered as a futures commission merchant (“FCM”) with the Commodity Futures Trading Commission (“CFTC”) and a member of the National Futures Association (“NFA”). On May 20, 2022, we withdrew our registration with CFTC and membership in NFA, which was effective on June 20, 2022.</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Bakkt’s white label loyalty redemption platform is largely carried on by its subsidiary, Bridge2 Solutions, LLC, which Bakkt acquired in February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2020.</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Relationship with ICE</w:t>
      </w:r>
    </w:p>
    <w:p>
      <w:pPr>
        <w:spacing w:after="0" w:line="25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Prior to the consummation of the Business Combination, we were an indirect majority-owned subsidiary of ICE. ICE is a global market infrastructure provider with a history of developing and implementing leading technologies. ICE operates exchanges, clearinghouses, and listing venues for the financial markets alongside offering data-driven technology services to support the trading, lending, investment, risk management, and connectivity needs of customers. In building our platform, ICE and minority investors contributed capital and assets, leveraging ICE’s leading competency of creating and operating market infrastructure. Upon our formation, ICE made a cash capital contribution and granted us the right to access ICE’s existing futures and clearing platforms. ICE also partners with us with respect to certain institutional product offerings.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is our consolidated statements of operations for the Successor period and the Predecessor periods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140" w:type="dxa"/>
            <w:vAlign w:val="bottom"/>
          </w:tcPr>
          <w:p>
            <w:pPr>
              <w:spacing w:after="0"/>
              <w:rPr>
                <w:sz w:val="19"/>
                <w:szCs w:val="19"/>
                <w:color w:val="auto"/>
              </w:rPr>
            </w:pPr>
          </w:p>
        </w:tc>
        <w:tc>
          <w:tcPr>
            <w:tcW w:w="16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r>
      <w:tr>
        <w:trPr>
          <w:trHeight w:val="169"/>
        </w:trPr>
        <w:tc>
          <w:tcPr>
            <w:tcW w:w="3700" w:type="dxa"/>
            <w:vAlign w:val="bottom"/>
          </w:tcPr>
          <w:p>
            <w:pPr>
              <w:spacing w:after="0"/>
              <w:rPr>
                <w:sz w:val="14"/>
                <w:szCs w:val="14"/>
                <w:color w:val="auto"/>
              </w:rPr>
            </w:pPr>
          </w:p>
        </w:tc>
        <w:tc>
          <w:tcPr>
            <w:tcW w:w="178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center"/>
              <w:ind w:right="33"/>
              <w:spacing w:after="0" w:line="169"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3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c>
          <w:tcPr>
            <w:tcW w:w="140" w:type="dxa"/>
            <w:vAlign w:val="bottom"/>
          </w:tcPr>
          <w:p>
            <w:pPr>
              <w:spacing w:after="0"/>
              <w:rPr>
                <w:sz w:val="20"/>
                <w:szCs w:val="20"/>
                <w:color w:val="auto"/>
              </w:rPr>
            </w:pPr>
          </w:p>
        </w:tc>
        <w:tc>
          <w:tcPr>
            <w:tcW w:w="16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r>
      <w:tr>
        <w:trPr>
          <w:trHeight w:val="21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r>
      <w:tr>
        <w:trPr>
          <w:trHeight w:val="229"/>
        </w:trPr>
        <w:tc>
          <w:tcPr>
            <w:tcW w:w="37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Net revenues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13,572</w:t>
            </w:r>
          </w:p>
        </w:tc>
        <w:tc>
          <w:tcPr>
            <w:tcW w:w="120" w:type="dxa"/>
            <w:vAlign w:val="bottom"/>
            <w:tcBorders>
              <w:right w:val="single" w:sz="8" w:color="auto"/>
            </w:tcBorders>
            <w:shd w:val="clear" w:color="auto" w:fill="CCEEFF"/>
          </w:tcPr>
          <w:p>
            <w:pPr>
              <w:spacing w:after="0"/>
              <w:rPr>
                <w:sz w:val="19"/>
                <w:szCs w:val="19"/>
                <w:color w:val="auto"/>
              </w:rPr>
            </w:pP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26,104</w:t>
            </w:r>
          </w:p>
        </w:tc>
        <w:tc>
          <w:tcPr>
            <w:tcW w:w="120" w:type="dxa"/>
            <w:vAlign w:val="bottom"/>
            <w:tcBorders>
              <w:right w:val="single" w:sz="8" w:color="auto"/>
            </w:tcBorders>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16,631</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35,150</w:t>
            </w:r>
          </w:p>
        </w:tc>
      </w:tr>
      <w:tr>
        <w:trPr>
          <w:trHeight w:val="229"/>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r>
      <w:tr>
        <w:trPr>
          <w:trHeight w:val="230"/>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 and communication</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6,702</w:t>
            </w:r>
          </w:p>
        </w:tc>
      </w:tr>
      <w:tr>
        <w:trPr>
          <w:trHeight w:val="229"/>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15,065</w:t>
            </w:r>
          </w:p>
        </w:tc>
      </w:tr>
      <w:tr>
        <w:trPr>
          <w:trHeight w:val="22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10,309</w:t>
            </w:r>
          </w:p>
        </w:tc>
      </w:tr>
      <w:tr>
        <w:trPr>
          <w:trHeight w:val="230"/>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w:t>
            </w:r>
          </w:p>
        </w:tc>
      </w:tr>
      <w:tr>
        <w:trPr>
          <w:trHeight w:val="175"/>
        </w:trPr>
        <w:tc>
          <w:tcPr>
            <w:tcW w:w="37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Related party expenses (affiliate in Predecessor</w:t>
            </w:r>
          </w:p>
        </w:tc>
        <w:tc>
          <w:tcPr>
            <w:tcW w:w="2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43"/>
        </w:trPr>
        <w:tc>
          <w:tcPr>
            <w:tcW w:w="370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period)</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29"/>
        </w:trPr>
        <w:tc>
          <w:tcPr>
            <w:tcW w:w="3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23"/>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118,140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76,366</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(92,036)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(59,735)</w:t>
            </w:r>
          </w:p>
        </w:tc>
      </w:tr>
      <w:tr>
        <w:trPr>
          <w:trHeight w:val="230"/>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175"/>
        </w:trPr>
        <w:tc>
          <w:tcPr>
            <w:tcW w:w="37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Gain from change in fair value of warrant</w:t>
            </w: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43"/>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liability</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12,711</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(79,200)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(60,527)</w:t>
            </w:r>
          </w:p>
        </w:tc>
      </w:tr>
      <w:tr>
        <w:trPr>
          <w:trHeight w:val="230"/>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3"/>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(27,641)</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(31,891)</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(70,962)</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(60,711)</w:t>
            </w:r>
          </w:p>
        </w:tc>
      </w:tr>
      <w:tr>
        <w:trPr>
          <w:trHeight w:val="156"/>
        </w:trPr>
        <w:tc>
          <w:tcPr>
            <w:tcW w:w="37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Less: Net loss attributable to noncontrolling</w:t>
            </w: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r>
      <w:tr>
        <w:trPr>
          <w:trHeight w:val="24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(23,744)</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(59,936)</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Bakkt Holdings, Inc.</w:t>
            </w: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r>
      <w:tr>
        <w:trPr>
          <w:trHeight w:val="223"/>
        </w:trPr>
        <w:tc>
          <w:tcPr>
            <w:tcW w:w="3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175"/>
        </w:trPr>
        <w:tc>
          <w:tcPr>
            <w:tcW w:w="3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per share attributable to Bakkt Holdings,</w:t>
            </w: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3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4"/>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stockholders per share:</w:t>
            </w: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30"/>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230"/>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r>
    </w:tbl>
    <w:p>
      <w:pPr>
        <w:spacing w:after="0" w:line="306" w:lineRule="exact"/>
        <w:rPr>
          <w:sz w:val="20"/>
          <w:szCs w:val="20"/>
          <w:color w:val="auto"/>
        </w:rPr>
      </w:pPr>
    </w:p>
    <w:p>
      <w:pPr>
        <w:ind w:left="660" w:hanging="328"/>
        <w:spacing w:after="0" w:line="289" w:lineRule="auto"/>
        <w:tabs>
          <w:tab w:leader="none" w:pos="6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for the three and six months ended June 30, 2022 includes net revenues from related party of $14 and $34, respectively. The revenue for the three and six months ended June 30, 2021 includes net revenues from affiliate of $(17) and $(43), respectively.</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Business Combination, ICE and its affiliates are no longer our affiliates.</w:t>
      </w:r>
    </w:p>
    <w:p>
      <w:pPr>
        <w:spacing w:after="0" w:line="3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and diluted loss per share is not presented for the Predecessor period due to lack of comparability with the Successor period.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Three Months Ended June 30, 2022 (Successor) compared to Three Months Ended June 30, 2021 (Predecessor)</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Financial Summary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The three months ended June 30, 2022 included the following notable items relative to the three months ended June 30, 2021:</w:t>
      </w:r>
    </w:p>
    <w:p>
      <w:pPr>
        <w:spacing w:after="0" w:line="104"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Revenue increased $5.1 million, or 60%, primarily driven by strong transaction revenue from the loyalty redemption business; and</w:t>
      </w:r>
    </w:p>
    <w:p>
      <w:pPr>
        <w:spacing w:after="0" w:line="36"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Operating expenses increased $17.3 million, or 43%, primarily driven by increases in non-cash compensation and headcount.</w:t>
      </w:r>
    </w:p>
    <w:p>
      <w:pPr>
        <w:spacing w:after="0" w:line="2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231F20"/>
        </w:rPr>
        <w:t>Revenue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0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Predecessor</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0" w:type="dxa"/>
            <w:vAlign w:val="bottom"/>
            <w:tcBorders>
              <w:top w:val="single" w:sz="8" w:color="auto"/>
            </w:tcBorders>
            <w:gridSpan w:val="2"/>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tcBorders>
              <w:top w:val="single" w:sz="8" w:color="auto"/>
            </w:tcBorders>
            <w:gridSpan w:val="2"/>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3820" w:type="dxa"/>
            <w:vAlign w:val="bottom"/>
            <w:tcBorders>
              <w:bottom w:val="single" w:sz="8" w:color="auto"/>
            </w:tcBorders>
            <w:vMerge w:val="continue"/>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30, 2022</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30, 2021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5,086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59.9 %</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Net Revenues</w:t>
      </w:r>
    </w:p>
    <w:p>
      <w:pPr>
        <w:spacing w:after="0" w:line="256"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18"/>
          <w:szCs w:val="18"/>
          <w:color w:val="auto"/>
        </w:rPr>
        <w:t>Net revenues consist of transaction revenue and subscription and service revenue. We receive revenue when consumers use our services to buy, sell, and spend digital assets. We generate revenue across our platform in the following key areas:</w:t>
      </w:r>
    </w:p>
    <w:p>
      <w:pPr>
        <w:spacing w:after="0" w:line="148" w:lineRule="exact"/>
        <w:rPr>
          <w:sz w:val="20"/>
          <w:szCs w:val="20"/>
          <w:color w:val="auto"/>
        </w:rPr>
      </w:pPr>
    </w:p>
    <w:p>
      <w:pPr>
        <w:ind w:left="660" w:hanging="328"/>
        <w:spacing w:after="0" w:line="284"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and service revenue. We receive a recurring subscription revenue stream from partner platform fees as well as service revenue from software development fees and call center support.</w:t>
      </w:r>
    </w:p>
    <w:p>
      <w:pPr>
        <w:ind w:left="660" w:right="40" w:hanging="328"/>
        <w:spacing w:after="0" w:line="245"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revenue. We generate transaction revenue though loyalty redemption volumes where we receive a percentage fee based on the volume and from crypto buy/sell where we make a spread on both legs of the transaction.</w:t>
      </w:r>
    </w:p>
    <w:p>
      <w:pPr>
        <w:spacing w:after="0" w:line="207"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Our revenue has seasonality and is typically higher in the fourth quarter, driven by holiday spending and the booking of travel. Revenue generated from our service offerings in the digital asset marketplace and payments has been immaterial to date. However, we expect that revenues from cryptoasset trades, spending digital assets and other transactions and subscription fees will be significant drivers of our business, and we expect those revenues to increase as we grow our partner base and our users. As a result, over time, we expect loyalty revenue, which has been the source of substantially all of our revenue historically, to decrease as a percentage of overall revenue as the revenue from our other product and service offerings grows.</w:t>
      </w:r>
    </w:p>
    <w:p>
      <w:pPr>
        <w:spacing w:after="0" w:line="191"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Transaction revenue is net of incentives, rebates and liquidity payments, reductions in connection with the contribution agreement entered into between Bakkt and ICE in connection with ICE’s formation of Bakkt (the “Contribution Agreement”), and consideration payable to a customer pursuant to an agreement with a strategic partner.</w:t>
      </w:r>
    </w:p>
    <w:p>
      <w:pPr>
        <w:spacing w:after="0" w:line="18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Net revenues increased by $5.1 million, or 59.9%, for the three months ended June 30, 2022 compared to the three months ended June 30, 2021. The increase was comprised of $3.5 million of increased transaction revenue and $1.6 million of increased subscription and service revenue. The increase in transaction revenue was primarily driven by $2.3 million from higher customer activity in our loyalty redemption services business. The increase in subscription and service revenue was primarily related to the addition of new services for an existing loyalty customer.</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Operating Expenses</w:t>
      </w:r>
    </w:p>
    <w:p>
      <w:pPr>
        <w:spacing w:after="0" w:line="270"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Operating expenses consist of compensation and benefits, professional services, technology and communication expenses, selling, general and administrative expense, acquisition-related expenses, depreciation and amortization, affiliate expenses, impairment of long-lived assets, and other operating expenses.</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8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Compensation and Benefits</w:t>
            </w:r>
          </w:p>
        </w:tc>
        <w:tc>
          <w:tcPr>
            <w:tcW w:w="4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9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20" w:type="dxa"/>
            <w:vAlign w:val="bottom"/>
          </w:tcPr>
          <w:p>
            <w:pPr>
              <w:spacing w:after="0"/>
              <w:rPr>
                <w:sz w:val="23"/>
                <w:szCs w:val="23"/>
                <w:color w:val="auto"/>
              </w:rPr>
            </w:pPr>
          </w:p>
        </w:tc>
        <w:tc>
          <w:tcPr>
            <w:tcW w:w="80" w:type="dxa"/>
            <w:vAlign w:val="bottom"/>
            <w:vMerge w:val="restart"/>
          </w:tcPr>
          <w:p>
            <w:pPr>
              <w:spacing w:after="0"/>
              <w:rPr>
                <w:sz w:val="23"/>
                <w:szCs w:val="23"/>
                <w:color w:val="auto"/>
              </w:rPr>
            </w:pPr>
          </w:p>
        </w:tc>
        <w:tc>
          <w:tcPr>
            <w:tcW w:w="380" w:type="dxa"/>
            <w:vAlign w:val="bottom"/>
          </w:tcPr>
          <w:p>
            <w:pPr>
              <w:spacing w:after="0"/>
              <w:rPr>
                <w:sz w:val="23"/>
                <w:szCs w:val="23"/>
                <w:color w:val="auto"/>
              </w:rPr>
            </w:pPr>
          </w:p>
        </w:tc>
        <w:tc>
          <w:tcPr>
            <w:tcW w:w="19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2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800" w:type="dxa"/>
            <w:vAlign w:val="bottom"/>
            <w:vMerge w:val="continue"/>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30, 2022</w:t>
            </w:r>
          </w:p>
        </w:tc>
        <w:tc>
          <w:tcPr>
            <w:tcW w:w="100" w:type="dxa"/>
            <w:vAlign w:val="bottom"/>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30, 2021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34,247</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14,331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231F20"/>
        </w:rPr>
        <w:t>Compensation and benefits expense include all salaries and benefits, compensation for contract labor, incentive programs for employees, payroll taxes, unit-based compensation and other employee related costs. Compensation and benefits expense is the most significant component of our operating expenses, and we expect that our compensation and benefits expense will continue to increase in absolute dollars as we continue to expand our business, as described below.</w:t>
      </w:r>
    </w:p>
    <w:p>
      <w:pPr>
        <w:spacing w:after="0" w:line="173"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18"/>
          <w:szCs w:val="18"/>
          <w:color w:val="231F20"/>
        </w:rPr>
        <w:t>Headcount has increased, and will continue to increase, across functions to further strengthen our service offerings and enhance our systems, processes, and controls. We intend to grant equity awards as part of the compensation package for new employees. We expect that our compensation and expenses will decrease as a percentage of our revenue over time. Compensation and benefits increased by $14.3 million, or 72.0%, for the three months ended June 30, 2022 compared to the three months ended June 30, 2021. The increase was primarily due to increases of $4.7 million in additional salaries, wages and benefits, $2.7 million in contract labor for software development, and $4.6 million in non-cash compensation and incentive bonuses.</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8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Professional Services</w:t>
            </w:r>
          </w:p>
        </w:tc>
        <w:tc>
          <w:tcPr>
            <w:tcW w:w="4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8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20" w:type="dxa"/>
            <w:vAlign w:val="bottom"/>
          </w:tcPr>
          <w:p>
            <w:pPr>
              <w:spacing w:after="0"/>
              <w:rPr>
                <w:sz w:val="23"/>
                <w:szCs w:val="23"/>
                <w:color w:val="auto"/>
              </w:rPr>
            </w:pPr>
          </w:p>
        </w:tc>
        <w:tc>
          <w:tcPr>
            <w:tcW w:w="80" w:type="dxa"/>
            <w:vAlign w:val="bottom"/>
            <w:vMerge w:val="restart"/>
          </w:tcPr>
          <w:p>
            <w:pPr>
              <w:spacing w:after="0"/>
              <w:rPr>
                <w:sz w:val="23"/>
                <w:szCs w:val="23"/>
                <w:color w:val="auto"/>
              </w:rPr>
            </w:pPr>
          </w:p>
        </w:tc>
        <w:tc>
          <w:tcPr>
            <w:tcW w:w="380" w:type="dxa"/>
            <w:vAlign w:val="bottom"/>
          </w:tcPr>
          <w:p>
            <w:pPr>
              <w:spacing w:after="0"/>
              <w:rPr>
                <w:sz w:val="23"/>
                <w:szCs w:val="23"/>
                <w:color w:val="auto"/>
              </w:rPr>
            </w:pPr>
          </w:p>
        </w:tc>
        <w:tc>
          <w:tcPr>
            <w:tcW w:w="19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Predecessor</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800" w:type="dxa"/>
            <w:vAlign w:val="bottom"/>
            <w:vMerge w:val="continue"/>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30, 2022</w:t>
            </w:r>
          </w:p>
        </w:tc>
        <w:tc>
          <w:tcPr>
            <w:tcW w:w="100" w:type="dxa"/>
            <w:vAlign w:val="bottom"/>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30, 2021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1,150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Professional services expense includes fees for accounting, legal and regulatory fees. Professional services increased by $1.2 million, or 151.3%, for the three months ended June 30, 2022 compared to the three months ended June 30, 2021. The increase was primarily due to increases of $0.6 million in professional and other fees and $1.0 million in legal fees, partially offset by a decrease of $0.6 million in audit and tax fees.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8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Technology and Communication</w:t>
            </w:r>
          </w:p>
        </w:tc>
        <w:tc>
          <w:tcPr>
            <w:tcW w:w="4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20" w:type="dxa"/>
            <w:vAlign w:val="bottom"/>
          </w:tcPr>
          <w:p>
            <w:pPr>
              <w:spacing w:after="0"/>
              <w:rPr>
                <w:sz w:val="22"/>
                <w:szCs w:val="22"/>
                <w:color w:val="auto"/>
              </w:rPr>
            </w:pPr>
          </w:p>
        </w:tc>
        <w:tc>
          <w:tcPr>
            <w:tcW w:w="80" w:type="dxa"/>
            <w:vAlign w:val="bottom"/>
            <w:vMerge w:val="restart"/>
          </w:tcPr>
          <w:p>
            <w:pPr>
              <w:spacing w:after="0"/>
              <w:rPr>
                <w:sz w:val="22"/>
                <w:szCs w:val="22"/>
                <w:color w:val="auto"/>
              </w:rPr>
            </w:pPr>
          </w:p>
        </w:tc>
        <w:tc>
          <w:tcPr>
            <w:tcW w:w="380" w:type="dxa"/>
            <w:vAlign w:val="bottom"/>
          </w:tcPr>
          <w:p>
            <w:pPr>
              <w:spacing w:after="0"/>
              <w:rPr>
                <w:sz w:val="22"/>
                <w:szCs w:val="22"/>
                <w:color w:val="auto"/>
              </w:rPr>
            </w:pPr>
          </w:p>
        </w:tc>
        <w:tc>
          <w:tcPr>
            <w:tcW w:w="19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20" w:type="dxa"/>
            <w:vAlign w:val="bottom"/>
            <w:tcBorders>
              <w:top w:val="single" w:sz="8" w:color="auto"/>
            </w:tcBorders>
            <w:gridSpan w:val="2"/>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100" w:type="dxa"/>
            <w:vAlign w:val="bottom"/>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tcBorders>
              <w:top w:val="single" w:sz="8" w:color="auto"/>
            </w:tcBorders>
            <w:gridSpan w:val="2"/>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3800" w:type="dxa"/>
            <w:vAlign w:val="bottom"/>
            <w:vMerge w:val="continue"/>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30, 2022</w:t>
            </w:r>
          </w:p>
        </w:tc>
        <w:tc>
          <w:tcPr>
            <w:tcW w:w="100" w:type="dxa"/>
            <w:vAlign w:val="bottom"/>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30, 2021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Communication</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Technology and communication costs represent all non-headcount related costs to deliver technological solutions. Such costs principally include amounts paid for software licenses and software-as-a-service arrangements utilized for operating, administrative and information security activities, fees paid for third-party data center hosting arrangements, and fees paid to telecommunications service providers and for telecommunication software platforms necessary for operation of our customer support operations. These costs are driven by customer requirements, system capacity, functionality and redundancy requirements.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Technology and communications expense also includes fees paid for access to external market data and associated licensing costs, which may be impacted by growth in electronic contract volume, our capacity requirements, changes in the number of telecommunications hubs, and connections with customers to access our electronic platforms directly. Technology and communications expense increased by $0.2 million, or 6.3%, for the three months ended June 30, 2022 compared to the three months ended June 30, 2021. The increase was primarily due to an increase of $0.9 million in hardware and software license fees, partially offset by a decrease of $0.8 million in hosting fees.</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8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Selling, General and Administrative</w:t>
            </w:r>
          </w:p>
        </w:tc>
        <w:tc>
          <w:tcPr>
            <w:tcW w:w="4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20" w:type="dxa"/>
            <w:vAlign w:val="bottom"/>
          </w:tcPr>
          <w:p>
            <w:pPr>
              <w:spacing w:after="0"/>
              <w:rPr>
                <w:sz w:val="22"/>
                <w:szCs w:val="22"/>
                <w:color w:val="auto"/>
              </w:rPr>
            </w:pPr>
          </w:p>
        </w:tc>
        <w:tc>
          <w:tcPr>
            <w:tcW w:w="80" w:type="dxa"/>
            <w:vAlign w:val="bottom"/>
            <w:vMerge w:val="restart"/>
          </w:tcPr>
          <w:p>
            <w:pPr>
              <w:spacing w:after="0"/>
              <w:rPr>
                <w:sz w:val="22"/>
                <w:szCs w:val="22"/>
                <w:color w:val="auto"/>
              </w:rPr>
            </w:pPr>
          </w:p>
        </w:tc>
        <w:tc>
          <w:tcPr>
            <w:tcW w:w="380" w:type="dxa"/>
            <w:vAlign w:val="bottom"/>
          </w:tcPr>
          <w:p>
            <w:pPr>
              <w:spacing w:after="0"/>
              <w:rPr>
                <w:sz w:val="22"/>
                <w:szCs w:val="22"/>
                <w:color w:val="auto"/>
              </w:rPr>
            </w:pPr>
          </w:p>
        </w:tc>
        <w:tc>
          <w:tcPr>
            <w:tcW w:w="19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20" w:type="dxa"/>
            <w:vAlign w:val="bottom"/>
            <w:tcBorders>
              <w:top w:val="single" w:sz="8" w:color="auto"/>
            </w:tcBorders>
            <w:gridSpan w:val="2"/>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100" w:type="dxa"/>
            <w:vAlign w:val="bottom"/>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tcBorders>
              <w:top w:val="single" w:sz="8" w:color="auto"/>
            </w:tcBorders>
            <w:gridSpan w:val="2"/>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3800" w:type="dxa"/>
            <w:vAlign w:val="bottom"/>
            <w:vMerge w:val="continue"/>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30, 2022</w:t>
            </w:r>
          </w:p>
        </w:tc>
        <w:tc>
          <w:tcPr>
            <w:tcW w:w="100" w:type="dxa"/>
            <w:vAlign w:val="bottom"/>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30, 2021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9,769</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231F20"/>
        </w:rPr>
        <w:t>Selling, general and administrative expenses include marketing, advertising, business insurance, rent and occupancy, bank service charges, dues and subscriptions, travel and entertainment, rent and occupancy, and other general and administrative costs. Our marketing activities primarily consist of web-based promotional campaigns, promotional activities with partners, conferences and user events, and brand-building activities. Selling, general and administrative expenses do not include any headcount cost, which is reflected in the compensation and benefits financial statement line item. Our selling, general and administrative expenses will continue to increase in absolute dollars to support the projected growth in our business and requirements of being a public company, including increased insurance premiums and disclosure processes. However, we expect these costs will decrease as a percentage of our revenue in future years as we gain improved operating leverage from our projected revenue growth.</w:t>
      </w:r>
    </w:p>
    <w:p>
      <w:pPr>
        <w:spacing w:after="0" w:line="19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Selling, general and administrative costs increased by $0.8 million, or 9.1%, for the three months ended June 30, 2022 compared to the three months ended June 30, 2021. The increase was primarily due to increases of $4.0 million in insurance expense and $0.5 million in rent, partially offset by a reduction of marketing expenses of $4.3 million. The majority of marketing expenses are web-based promotional campaigns. We expect to increase marketing efforts as part of our broader growth initiatives, which is expected to result in increased selling, general and administrative expenses in future periods.</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8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Acquisition-related Expenses</w:t>
            </w:r>
          </w:p>
        </w:tc>
        <w:tc>
          <w:tcPr>
            <w:tcW w:w="4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6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20" w:type="dxa"/>
            <w:vAlign w:val="bottom"/>
          </w:tcPr>
          <w:p>
            <w:pPr>
              <w:spacing w:after="0"/>
              <w:rPr>
                <w:sz w:val="23"/>
                <w:szCs w:val="23"/>
                <w:color w:val="auto"/>
              </w:rPr>
            </w:pPr>
          </w:p>
        </w:tc>
        <w:tc>
          <w:tcPr>
            <w:tcW w:w="80" w:type="dxa"/>
            <w:vAlign w:val="bottom"/>
            <w:vMerge w:val="restart"/>
          </w:tcPr>
          <w:p>
            <w:pPr>
              <w:spacing w:after="0"/>
              <w:rPr>
                <w:sz w:val="23"/>
                <w:szCs w:val="23"/>
                <w:color w:val="auto"/>
              </w:rPr>
            </w:pPr>
          </w:p>
        </w:tc>
        <w:tc>
          <w:tcPr>
            <w:tcW w:w="380" w:type="dxa"/>
            <w:vAlign w:val="bottom"/>
          </w:tcPr>
          <w:p>
            <w:pPr>
              <w:spacing w:after="0"/>
              <w:rPr>
                <w:sz w:val="23"/>
                <w:szCs w:val="23"/>
                <w:color w:val="auto"/>
              </w:rPr>
            </w:pPr>
          </w:p>
        </w:tc>
        <w:tc>
          <w:tcPr>
            <w:tcW w:w="19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Predecessor</w:t>
            </w: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8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800" w:type="dxa"/>
            <w:vAlign w:val="bottom"/>
            <w:vMerge w:val="continue"/>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30, 2022</w:t>
            </w:r>
          </w:p>
        </w:tc>
        <w:tc>
          <w:tcPr>
            <w:tcW w:w="80" w:type="dxa"/>
            <w:vAlign w:val="bottom"/>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30, 2021</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(2,311)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firstLine="648"/>
        <w:spacing w:after="0" w:line="302" w:lineRule="auto"/>
        <w:rPr>
          <w:sz w:val="20"/>
          <w:szCs w:val="20"/>
          <w:color w:val="auto"/>
        </w:rPr>
      </w:pPr>
      <w:r>
        <w:rPr>
          <w:rFonts w:ascii="Times New Roman" w:cs="Times New Roman" w:eastAsia="Times New Roman" w:hAnsi="Times New Roman"/>
          <w:sz w:val="18"/>
          <w:szCs w:val="18"/>
          <w:color w:val="231F20"/>
        </w:rPr>
        <w:t xml:space="preserve">Acquisition-related expenses decreased by $2.3 million, or 92.8%, for the three months ended June 30, 2022 compared to the three months ended June 30, 2021. Acquisition-related expenses for the three months ended June 30, 2021 consist of </w:t>
      </w:r>
      <w:r>
        <w:rPr>
          <w:rFonts w:ascii="Times New Roman" w:cs="Times New Roman" w:eastAsia="Times New Roman" w:hAnsi="Times New Roman"/>
          <w:sz w:val="18"/>
          <w:szCs w:val="18"/>
          <w:color w:val="000000"/>
        </w:rPr>
        <w:t>fees for investment banking advisors, lawyers,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accountants, tax advisors and public relations firms directly related to the </w:t>
      </w:r>
      <w:r>
        <w:rPr>
          <w:rFonts w:ascii="Times New Roman" w:cs="Times New Roman" w:eastAsia="Times New Roman" w:hAnsi="Times New Roman"/>
          <w:sz w:val="18"/>
          <w:szCs w:val="18"/>
          <w:color w:val="231F20"/>
        </w:rPr>
        <w:t>Business Combination, which did not recur during the three months ended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June 30, 2022. The amount and timing of acquisition-related expenses is expected to vary across periods based on potential transaction activities.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Depreciation and Amortization</w:t>
            </w:r>
          </w:p>
        </w:tc>
        <w:tc>
          <w:tcPr>
            <w:tcW w:w="4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0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20" w:type="dxa"/>
            <w:vAlign w:val="bottom"/>
          </w:tcPr>
          <w:p>
            <w:pPr>
              <w:spacing w:after="0"/>
              <w:rPr>
                <w:sz w:val="22"/>
                <w:szCs w:val="22"/>
                <w:color w:val="auto"/>
              </w:rPr>
            </w:pPr>
          </w:p>
        </w:tc>
        <w:tc>
          <w:tcPr>
            <w:tcW w:w="100" w:type="dxa"/>
            <w:vAlign w:val="bottom"/>
            <w:vMerge w:val="restart"/>
          </w:tcPr>
          <w:p>
            <w:pPr>
              <w:spacing w:after="0"/>
              <w:rPr>
                <w:sz w:val="22"/>
                <w:szCs w:val="22"/>
                <w:color w:val="auto"/>
              </w:rPr>
            </w:pPr>
          </w:p>
        </w:tc>
        <w:tc>
          <w:tcPr>
            <w:tcW w:w="380" w:type="dxa"/>
            <w:vAlign w:val="bottom"/>
          </w:tcPr>
          <w:p>
            <w:pPr>
              <w:spacing w:after="0"/>
              <w:rPr>
                <w:sz w:val="22"/>
                <w:szCs w:val="22"/>
                <w:color w:val="auto"/>
              </w:rPr>
            </w:pPr>
          </w:p>
        </w:tc>
        <w:tc>
          <w:tcPr>
            <w:tcW w:w="19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Predecessor</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2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780" w:type="dxa"/>
            <w:vAlign w:val="bottom"/>
            <w:vMerge w:val="continue"/>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30, 2022</w:t>
            </w:r>
          </w:p>
        </w:tc>
        <w:tc>
          <w:tcPr>
            <w:tcW w:w="100" w:type="dxa"/>
            <w:vAlign w:val="bottom"/>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30, 2021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6,098</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3,064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101.0 %</w:t>
            </w:r>
          </w:p>
        </w:tc>
        <w:tc>
          <w:tcPr>
            <w:tcW w:w="0" w:type="dxa"/>
            <w:vAlign w:val="bottom"/>
          </w:tcPr>
          <w:p>
            <w:pPr>
              <w:spacing w:after="0"/>
              <w:rPr>
                <w:sz w:val="1"/>
                <w:szCs w:val="1"/>
                <w:color w:val="auto"/>
              </w:rPr>
            </w:pPr>
          </w:p>
        </w:tc>
      </w:tr>
      <w:tr>
        <w:trPr>
          <w:trHeight w:val="918"/>
        </w:trPr>
        <w:tc>
          <w:tcPr>
            <w:tcW w:w="3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7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Depreciation and amortization expense consists of amortization of intangible assets from business acquisitions, internally developed software and depreciation of purchased software and computer and office equipment over their estimated useful lives. Intangible assets subject to amortization consist primarily of acquired technology and customer relationships from the Business Combination. Depreciation and amortization increased by $3.1 million, or 101.0%, for the three months ended June 30, 2022 compared to the three months ended June 30, 2021. The increase was primarily due to increases of $3.0 million related to the step-up in basis of the technology and customer relationships acquired in connection with the Business Combination.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Gain from Change in Fair Value of Warrant Liability</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4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40" w:type="dxa"/>
            <w:vAlign w:val="bottom"/>
            <w:gridSpan w:val="3"/>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40" w:type="dxa"/>
            <w:vAlign w:val="bottom"/>
            <w:tcBorders>
              <w:top w:val="single" w:sz="8" w:color="auto"/>
            </w:tcBorders>
            <w:gridSpan w:val="2"/>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tcBorders>
              <w:top w:val="single" w:sz="8" w:color="auto"/>
            </w:tcBorders>
            <w:gridSpan w:val="2"/>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280" w:type="dxa"/>
            <w:vAlign w:val="bottom"/>
            <w:gridSpan w:val="2"/>
          </w:tcPr>
          <w:p>
            <w:pPr>
              <w:spacing w:after="0"/>
              <w:rPr>
                <w:sz w:val="15"/>
                <w:szCs w:val="15"/>
                <w:color w:val="auto"/>
              </w:rPr>
            </w:pPr>
          </w:p>
        </w:tc>
        <w:tc>
          <w:tcPr>
            <w:tcW w:w="11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3820" w:type="dxa"/>
            <w:vAlign w:val="bottom"/>
            <w:vMerge w:val="continue"/>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30, 2022</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30, 2021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Gain from change in fair value of warrant liability</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10,283</w:t>
            </w:r>
          </w:p>
        </w:tc>
        <w:tc>
          <w:tcPr>
            <w:tcW w:w="12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0" w:firstLine="648"/>
        <w:spacing w:after="0" w:line="313" w:lineRule="auto"/>
        <w:rPr>
          <w:sz w:val="20"/>
          <w:szCs w:val="20"/>
          <w:color w:val="auto"/>
        </w:rPr>
      </w:pPr>
      <w:r>
        <w:rPr>
          <w:rFonts w:ascii="Times New Roman" w:cs="Times New Roman" w:eastAsia="Times New Roman" w:hAnsi="Times New Roman"/>
          <w:sz w:val="18"/>
          <w:szCs w:val="18"/>
          <w:color w:val="231F20"/>
        </w:rPr>
        <w:t>We recorded a gain of $10.3 million during the three months ended June 30, 2022 for the change in fair value on the revaluation of our warrant liability associated with our public warrants. This is a non-cash gain and is driven by fluctuations in the market price of our warrants.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7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Other income (expense), net</w:t>
            </w:r>
          </w:p>
        </w:tc>
        <w:tc>
          <w:tcPr>
            <w:tcW w:w="4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8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20" w:type="dxa"/>
            <w:vAlign w:val="bottom"/>
          </w:tcPr>
          <w:p>
            <w:pPr>
              <w:spacing w:after="0"/>
              <w:rPr>
                <w:sz w:val="22"/>
                <w:szCs w:val="22"/>
                <w:color w:val="auto"/>
              </w:rPr>
            </w:pPr>
          </w:p>
        </w:tc>
        <w:tc>
          <w:tcPr>
            <w:tcW w:w="80" w:type="dxa"/>
            <w:vAlign w:val="bottom"/>
            <w:vMerge w:val="restart"/>
          </w:tcPr>
          <w:p>
            <w:pPr>
              <w:spacing w:after="0"/>
              <w:rPr>
                <w:sz w:val="22"/>
                <w:szCs w:val="22"/>
                <w:color w:val="auto"/>
              </w:rPr>
            </w:pPr>
          </w:p>
        </w:tc>
        <w:tc>
          <w:tcPr>
            <w:tcW w:w="360" w:type="dxa"/>
            <w:vAlign w:val="bottom"/>
          </w:tcPr>
          <w:p>
            <w:pPr>
              <w:spacing w:after="0"/>
              <w:rPr>
                <w:sz w:val="22"/>
                <w:szCs w:val="22"/>
                <w:color w:val="auto"/>
              </w:rPr>
            </w:pPr>
          </w:p>
        </w:tc>
        <w:tc>
          <w:tcPr>
            <w:tcW w:w="194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0" w:type="dxa"/>
            <w:vAlign w:val="bottom"/>
            <w:tcBorders>
              <w:top w:val="single" w:sz="8" w:color="auto"/>
            </w:tcBorders>
            <w:gridSpan w:val="2"/>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100" w:type="dxa"/>
            <w:vAlign w:val="bottom"/>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tcBorders>
              <w:top w:val="single" w:sz="8" w:color="auto"/>
            </w:tcBorders>
            <w:gridSpan w:val="2"/>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3780" w:type="dxa"/>
            <w:vAlign w:val="bottom"/>
            <w:vMerge w:val="continue"/>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30, 2022</w:t>
            </w:r>
          </w:p>
        </w:tc>
        <w:tc>
          <w:tcPr>
            <w:tcW w:w="100" w:type="dxa"/>
            <w:vAlign w:val="bottom"/>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30, 2021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685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Other expense, net primarily consists of non-operating gains and losses. During the three months ended June 30, 2022, we had other income of $0.4 million as compared to other expense of $0.3 million for the three months ended June 30, 2021. The increase in other expense of $0.7 million was primarily driven by foreign currency transaction gains and losses.</w:t>
      </w:r>
    </w:p>
    <w:p>
      <w:pPr>
        <w:spacing w:after="0" w:line="200" w:lineRule="exact"/>
        <w:rPr>
          <w:sz w:val="20"/>
          <w:szCs w:val="20"/>
          <w:color w:val="auto"/>
        </w:rPr>
      </w:pP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8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Income tax benefit (expense)</w:t>
            </w:r>
          </w:p>
        </w:tc>
        <w:tc>
          <w:tcPr>
            <w:tcW w:w="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2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20" w:type="dxa"/>
            <w:vAlign w:val="bottom"/>
          </w:tcPr>
          <w:p>
            <w:pPr>
              <w:spacing w:after="0"/>
              <w:rPr>
                <w:sz w:val="22"/>
                <w:szCs w:val="22"/>
                <w:color w:val="auto"/>
              </w:rPr>
            </w:pPr>
          </w:p>
        </w:tc>
        <w:tc>
          <w:tcPr>
            <w:tcW w:w="80" w:type="dxa"/>
            <w:vAlign w:val="bottom"/>
            <w:vMerge w:val="restart"/>
          </w:tcPr>
          <w:p>
            <w:pPr>
              <w:spacing w:after="0"/>
              <w:rPr>
                <w:sz w:val="22"/>
                <w:szCs w:val="22"/>
                <w:color w:val="auto"/>
              </w:rPr>
            </w:pPr>
          </w:p>
        </w:tc>
        <w:tc>
          <w:tcPr>
            <w:tcW w:w="380" w:type="dxa"/>
            <w:vAlign w:val="bottom"/>
          </w:tcPr>
          <w:p>
            <w:pPr>
              <w:spacing w:after="0"/>
              <w:rPr>
                <w:sz w:val="22"/>
                <w:szCs w:val="22"/>
                <w:color w:val="auto"/>
              </w:rPr>
            </w:pPr>
          </w:p>
        </w:tc>
        <w:tc>
          <w:tcPr>
            <w:tcW w:w="196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2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9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8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40" w:type="dxa"/>
            <w:vAlign w:val="bottom"/>
            <w:tcBorders>
              <w:top w:val="single" w:sz="8" w:color="auto"/>
            </w:tcBorders>
            <w:gridSpan w:val="2"/>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100" w:type="dxa"/>
            <w:vAlign w:val="bottom"/>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tcBorders>
              <w:top w:val="single" w:sz="8" w:color="auto"/>
            </w:tcBorders>
            <w:gridSpan w:val="2"/>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3860" w:type="dxa"/>
            <w:vAlign w:val="bottom"/>
            <w:vMerge w:val="continue"/>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30, 2022</w:t>
            </w:r>
          </w:p>
        </w:tc>
        <w:tc>
          <w:tcPr>
            <w:tcW w:w="100" w:type="dxa"/>
            <w:vAlign w:val="bottom"/>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30, 2021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5,261</w:t>
            </w:r>
          </w:p>
        </w:tc>
        <w:tc>
          <w:tcPr>
            <w:tcW w:w="12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640" w:firstLine="648"/>
        <w:spacing w:after="0" w:line="297" w:lineRule="auto"/>
        <w:rPr>
          <w:sz w:val="20"/>
          <w:szCs w:val="20"/>
          <w:color w:val="auto"/>
        </w:rPr>
      </w:pPr>
      <w:r>
        <w:rPr>
          <w:rFonts w:ascii="Times New Roman" w:cs="Times New Roman" w:eastAsia="Times New Roman" w:hAnsi="Times New Roman"/>
          <w:sz w:val="18"/>
          <w:szCs w:val="18"/>
          <w:color w:val="231F20"/>
        </w:rPr>
        <w:t>Income tax benefit during the three months ended June 30, 2022 primarily consists of deferred tax benefit from net loss allocated to Bakkt Holdings, Inc. during the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Six Months Ended June 30, 2022 (Successor) compared to Six Months Ended June 30, 2021 (Predecessor)</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Financial Summary</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The six months ended June 30, 2022 included the following notable items relative to the six months ended June 30, 2021:</w:t>
      </w:r>
    </w:p>
    <w:p>
      <w:pPr>
        <w:spacing w:after="0" w:line="90"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Revenue increased $9.5 million, or 57%, primarily driven by strong transaction revenue from the loyalty redemption business; and</w:t>
      </w:r>
    </w:p>
    <w:p>
      <w:pPr>
        <w:spacing w:after="0" w:line="200" w:lineRule="exact"/>
        <w:rPr>
          <w:rFonts w:ascii="Times New Roman" w:cs="Times New Roman" w:eastAsia="Times New Roman" w:hAnsi="Times New Roman"/>
          <w:sz w:val="18"/>
          <w:szCs w:val="18"/>
          <w:color w:val="231F20"/>
        </w:rPr>
      </w:pPr>
    </w:p>
    <w:p>
      <w:pPr>
        <w:spacing w:after="0" w:line="200" w:lineRule="exact"/>
        <w:rPr>
          <w:rFonts w:ascii="Times New Roman" w:cs="Times New Roman" w:eastAsia="Times New Roman" w:hAnsi="Times New Roman"/>
          <w:sz w:val="18"/>
          <w:szCs w:val="18"/>
          <w:color w:val="231F20"/>
        </w:rPr>
      </w:pPr>
    </w:p>
    <w:p>
      <w:pPr>
        <w:spacing w:after="0" w:line="243" w:lineRule="exact"/>
        <w:rPr>
          <w:rFonts w:ascii="Times New Roman" w:cs="Times New Roman" w:eastAsia="Times New Roman" w:hAnsi="Times New Roman"/>
          <w:sz w:val="18"/>
          <w:szCs w:val="18"/>
          <w:color w:val="231F20"/>
        </w:rPr>
      </w:pPr>
    </w:p>
    <w:p>
      <w:pPr>
        <w:ind w:left="5540"/>
        <w:spacing w:after="0"/>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Operating expenses increased $41.8 million, or 55%, primarily driven by increases in non-cash compensation and headcount.</w:t>
      </w:r>
    </w:p>
    <w:p>
      <w:pPr>
        <w:spacing w:after="0" w:line="2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231F20"/>
        </w:rPr>
        <w:t>Revenue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Predecessor</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tcPr>
          <w:p>
            <w:pPr>
              <w:jc w:val="center"/>
              <w:ind w:right="1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8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208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8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16,631</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9,473</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57.0 %</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Net Revenues</w:t>
      </w:r>
    </w:p>
    <w:p>
      <w:pPr>
        <w:spacing w:after="0" w:line="25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Net revenues increased by $9.5 million, or 57.0%, for the six months ended June 30, 2022 compared to the six months ended June 30, 2021. The increase was comprised of $6.7 million of increased transaction revenue and $2.8 million of increased subscription and service revenue. The increase in transaction revenue was driven by $4.8 million from higher customer activity in our loyalty redemption services business and $1.4 million from lower incentives and rebates. The increase in subscription and service revenue was primarily related to the addition of new services for an existing loyalty customer.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Operating Expenses</w:t>
      </w:r>
    </w:p>
    <w:p>
      <w:pPr>
        <w:spacing w:after="0" w:line="256"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231F20"/>
        </w:rPr>
        <w:t>Operating expenses consist of compensation and benefits, professional services, technology and communication expenses, selling, general and administrative expense, acquisition-related expenses, depreciation and amortization, affiliate expenses, impairment of long-lived assets, and other operating expenses.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8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Compensation and Benefits</w:t>
            </w: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20" w:type="dxa"/>
            <w:vAlign w:val="bottom"/>
          </w:tcPr>
          <w:p>
            <w:pPr>
              <w:spacing w:after="0"/>
              <w:rPr>
                <w:sz w:val="23"/>
                <w:szCs w:val="23"/>
                <w:color w:val="auto"/>
              </w:rPr>
            </w:pPr>
          </w:p>
        </w:tc>
        <w:tc>
          <w:tcPr>
            <w:tcW w:w="80" w:type="dxa"/>
            <w:vAlign w:val="bottom"/>
            <w:vMerge w:val="restart"/>
          </w:tcPr>
          <w:p>
            <w:pPr>
              <w:spacing w:after="0"/>
              <w:rPr>
                <w:sz w:val="23"/>
                <w:szCs w:val="23"/>
                <w:color w:val="auto"/>
              </w:rPr>
            </w:pPr>
          </w:p>
        </w:tc>
        <w:tc>
          <w:tcPr>
            <w:tcW w:w="240" w:type="dxa"/>
            <w:vAlign w:val="bottom"/>
          </w:tcPr>
          <w:p>
            <w:pPr>
              <w:spacing w:after="0"/>
              <w:rPr>
                <w:sz w:val="23"/>
                <w:szCs w:val="23"/>
                <w:color w:val="auto"/>
              </w:rPr>
            </w:pPr>
          </w:p>
        </w:tc>
        <w:tc>
          <w:tcPr>
            <w:tcW w:w="20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tcPr>
          <w:p>
            <w:pPr>
              <w:jc w:val="center"/>
              <w:ind w:right="1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tcPr>
          <w:p>
            <w:pPr>
              <w:jc w:val="center"/>
              <w:ind w:right="1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8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c>
          <w:tcPr>
            <w:tcW w:w="18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69,335</w:t>
            </w: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35,150</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34,185</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Compensation and benefits increased by $34.2 million, or 97.3%, for the six months ended June 30, 2022 compared to the six months ended June 30, 2021. The increase was primarily due to increases of $8.7 million in additional salaries, wages and benefits, $4.1 million in contract labor for software development, and $17.2 million in non-cash compensation and incentive bonuses. As a newly public company, we issued restricted stock units (“RSUs”) in the fourth quarter of 2021 that vested in the second quarter of 2022. These awards accounted for $9.9 million of the total share-based compensation during the six months ended June 30, 2022. As we typically grant RSUs with a three-year vesting period, the impact of share-based compensation expenses is expected to be reduced in future periods.</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8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Professional Services</w:t>
            </w:r>
          </w:p>
        </w:tc>
        <w:tc>
          <w:tcPr>
            <w:tcW w:w="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20" w:type="dxa"/>
            <w:vAlign w:val="bottom"/>
          </w:tcPr>
          <w:p>
            <w:pPr>
              <w:spacing w:after="0"/>
              <w:rPr>
                <w:sz w:val="23"/>
                <w:szCs w:val="23"/>
                <w:color w:val="auto"/>
              </w:rPr>
            </w:pPr>
          </w:p>
        </w:tc>
        <w:tc>
          <w:tcPr>
            <w:tcW w:w="80" w:type="dxa"/>
            <w:vAlign w:val="bottom"/>
            <w:vMerge w:val="restart"/>
          </w:tcPr>
          <w:p>
            <w:pPr>
              <w:spacing w:after="0"/>
              <w:rPr>
                <w:sz w:val="23"/>
                <w:szCs w:val="23"/>
                <w:color w:val="auto"/>
              </w:rPr>
            </w:pPr>
          </w:p>
        </w:tc>
        <w:tc>
          <w:tcPr>
            <w:tcW w:w="260" w:type="dxa"/>
            <w:vAlign w:val="bottom"/>
          </w:tcPr>
          <w:p>
            <w:pPr>
              <w:spacing w:after="0"/>
              <w:rPr>
                <w:sz w:val="23"/>
                <w:szCs w:val="23"/>
                <w:color w:val="auto"/>
              </w:rPr>
            </w:pPr>
          </w:p>
        </w:tc>
        <w:tc>
          <w:tcPr>
            <w:tcW w:w="20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8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tcPr>
          <w:p>
            <w:pPr>
              <w:jc w:val="center"/>
              <w:ind w:right="19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8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c>
          <w:tcPr>
            <w:tcW w:w="18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4,912</w:t>
            </w:r>
          </w:p>
        </w:tc>
        <w:tc>
          <w:tcPr>
            <w:tcW w:w="122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231F20"/>
        </w:rPr>
        <w:t>Professional services increased by $4.9 million for the six months ended June 30, 2022 compared to the six months ended June 30, 2021. The increase was primarily due to increases of $1.6 million in professional and other fees, $1.5 million in audit and tax fees, and $1.8 million in legal fees.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8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Technology and Communication</w:t>
            </w: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20" w:type="dxa"/>
            <w:vAlign w:val="bottom"/>
          </w:tcPr>
          <w:p>
            <w:pPr>
              <w:spacing w:after="0"/>
              <w:rPr>
                <w:sz w:val="23"/>
                <w:szCs w:val="23"/>
                <w:color w:val="auto"/>
              </w:rPr>
            </w:pPr>
          </w:p>
        </w:tc>
        <w:tc>
          <w:tcPr>
            <w:tcW w:w="80" w:type="dxa"/>
            <w:vAlign w:val="bottom"/>
            <w:vMerge w:val="restart"/>
          </w:tcPr>
          <w:p>
            <w:pPr>
              <w:spacing w:after="0"/>
              <w:rPr>
                <w:sz w:val="23"/>
                <w:szCs w:val="23"/>
                <w:color w:val="auto"/>
              </w:rPr>
            </w:pPr>
          </w:p>
        </w:tc>
        <w:tc>
          <w:tcPr>
            <w:tcW w:w="240" w:type="dxa"/>
            <w:vAlign w:val="bottom"/>
          </w:tcPr>
          <w:p>
            <w:pPr>
              <w:spacing w:after="0"/>
              <w:rPr>
                <w:sz w:val="23"/>
                <w:szCs w:val="23"/>
                <w:color w:val="auto"/>
              </w:rPr>
            </w:pPr>
          </w:p>
        </w:tc>
        <w:tc>
          <w:tcPr>
            <w:tcW w:w="20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tcPr>
          <w:p>
            <w:pPr>
              <w:jc w:val="center"/>
              <w:ind w:right="1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tcPr>
          <w:p>
            <w:pPr>
              <w:jc w:val="center"/>
              <w:ind w:right="1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8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c>
          <w:tcPr>
            <w:tcW w:w="18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Communication</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8,521</w:t>
            </w: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1,819</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Technology and communications expense increased by $1.8 million, or 27.1%, for the six months ended June 30, 2022 compared to the six months ended June 30, 2021. The increase was primarily due to an increase of $2.3 million in hardware and software license fees, partially offset by a decrease of $0.7 million in hosting fees.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8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Selling, General and Administrative</w:t>
            </w: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20" w:type="dxa"/>
            <w:vAlign w:val="bottom"/>
          </w:tcPr>
          <w:p>
            <w:pPr>
              <w:spacing w:after="0"/>
              <w:rPr>
                <w:sz w:val="22"/>
                <w:szCs w:val="22"/>
                <w:color w:val="auto"/>
              </w:rPr>
            </w:pPr>
          </w:p>
        </w:tc>
        <w:tc>
          <w:tcPr>
            <w:tcW w:w="80" w:type="dxa"/>
            <w:vAlign w:val="bottom"/>
            <w:vMerge w:val="restart"/>
          </w:tcPr>
          <w:p>
            <w:pPr>
              <w:spacing w:after="0"/>
              <w:rPr>
                <w:sz w:val="22"/>
                <w:szCs w:val="22"/>
                <w:color w:val="auto"/>
              </w:rPr>
            </w:pPr>
          </w:p>
        </w:tc>
        <w:tc>
          <w:tcPr>
            <w:tcW w:w="240" w:type="dxa"/>
            <w:vAlign w:val="bottom"/>
          </w:tcPr>
          <w:p>
            <w:pPr>
              <w:spacing w:after="0"/>
              <w:rPr>
                <w:sz w:val="22"/>
                <w:szCs w:val="22"/>
                <w:color w:val="auto"/>
              </w:rPr>
            </w:pPr>
          </w:p>
        </w:tc>
        <w:tc>
          <w:tcPr>
            <w:tcW w:w="20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tcPr>
          <w:p>
            <w:pPr>
              <w:jc w:val="center"/>
              <w:ind w:right="170"/>
              <w:spacing w:after="0" w:line="174"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 w:type="dxa"/>
            <w:vAlign w:val="bottom"/>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tcPr>
          <w:p>
            <w:pPr>
              <w:jc w:val="center"/>
              <w:ind w:right="170"/>
              <w:spacing w:after="0" w:line="174"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38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c>
          <w:tcPr>
            <w:tcW w:w="18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19,203</w:t>
            </w: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4,138</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Selling, general and administrative costs increased by $4.1 million, or 27.5%, for the six months ended June 30, 2022 compared to the six months ended June 30, 2021. The increase was primarily due to increases of $8.0 million in insurance expense and $0.9 million in rent, partially offset by a reduction of marketing expenses of $6.0 million.</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8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Acquisition-related Expenses</w:t>
            </w:r>
          </w:p>
        </w:tc>
        <w:tc>
          <w:tcPr>
            <w:tcW w:w="1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800" w:type="dxa"/>
            <w:vAlign w:val="bottom"/>
          </w:tcPr>
          <w:p>
            <w:pPr>
              <w:spacing w:after="0"/>
              <w:rPr>
                <w:sz w:val="22"/>
                <w:szCs w:val="22"/>
                <w:color w:val="auto"/>
              </w:rPr>
            </w:pPr>
          </w:p>
        </w:tc>
        <w:tc>
          <w:tcPr>
            <w:tcW w:w="1820" w:type="dxa"/>
            <w:vAlign w:val="bottom"/>
            <w:vMerge w:val="restart"/>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Predecessor</w:t>
            </w: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19"/>
                <w:szCs w:val="19"/>
                <w:color w:val="auto"/>
              </w:rPr>
            </w:pPr>
          </w:p>
        </w:tc>
        <w:tc>
          <w:tcPr>
            <w:tcW w:w="18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820" w:type="dxa"/>
            <w:vAlign w:val="bottom"/>
            <w:tcBorders>
              <w:top w:val="single" w:sz="8" w:color="auto"/>
            </w:tcBorders>
          </w:tcPr>
          <w:p>
            <w:pPr>
              <w:jc w:val="center"/>
              <w:ind w:left="2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380" w:type="dxa"/>
            <w:vAlign w:val="bottom"/>
            <w:tcBorders>
              <w:top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tcPr>
          <w:p>
            <w:pPr>
              <w:jc w:val="center"/>
              <w:ind w:right="1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800" w:type="dxa"/>
            <w:vAlign w:val="bottom"/>
            <w:vMerge w:val="continue"/>
          </w:tcPr>
          <w:p>
            <w:pPr>
              <w:spacing w:after="0"/>
              <w:rPr>
                <w:sz w:val="21"/>
                <w:szCs w:val="21"/>
                <w:color w:val="auto"/>
              </w:rPr>
            </w:pPr>
          </w:p>
        </w:tc>
        <w:tc>
          <w:tcPr>
            <w:tcW w:w="182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38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6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820" w:type="dxa"/>
            <w:vAlign w:val="bottom"/>
            <w:tcBorders>
              <w:top w:val="single" w:sz="8" w:color="auto"/>
            </w:tcBorders>
          </w:tcPr>
          <w:p>
            <w:pPr>
              <w:jc w:val="right"/>
              <w:ind w:right="163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10,309</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(9,615)</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 xml:space="preserve">Acquisition-related expenses decreased by $9.6 million, or 93.3%, for the six months ended June 30, 2022 compared to the six months ended June 30, 2021. Acquisition-related expenses for the six months ended June 30, 2021 consist of </w:t>
      </w:r>
      <w:r>
        <w:rPr>
          <w:rFonts w:ascii="Times New Roman" w:cs="Times New Roman" w:eastAsia="Times New Roman" w:hAnsi="Times New Roman"/>
          <w:sz w:val="18"/>
          <w:szCs w:val="18"/>
          <w:color w:val="000000"/>
        </w:rPr>
        <w:t>fees for investment banking advisors, lawyers, accountants,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tax advisors and public relations firms directly related to the </w:t>
      </w:r>
      <w:r>
        <w:rPr>
          <w:rFonts w:ascii="Times New Roman" w:cs="Times New Roman" w:eastAsia="Times New Roman" w:hAnsi="Times New Roman"/>
          <w:sz w:val="18"/>
          <w:szCs w:val="18"/>
          <w:color w:val="231F20"/>
        </w:rPr>
        <w:t>Business Combination, which did not recur during the six months ended June 30, 2022.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amount and timing of acquisition-related expenses is expected to vary across periods based on potential transaction activities.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8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Depreciation and Amortization</w:t>
            </w: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20" w:type="dxa"/>
            <w:vAlign w:val="bottom"/>
          </w:tcPr>
          <w:p>
            <w:pPr>
              <w:spacing w:after="0"/>
              <w:rPr>
                <w:sz w:val="22"/>
                <w:szCs w:val="22"/>
                <w:color w:val="auto"/>
              </w:rPr>
            </w:pPr>
          </w:p>
        </w:tc>
        <w:tc>
          <w:tcPr>
            <w:tcW w:w="80" w:type="dxa"/>
            <w:vAlign w:val="bottom"/>
            <w:vMerge w:val="restart"/>
          </w:tcPr>
          <w:p>
            <w:pPr>
              <w:spacing w:after="0"/>
              <w:rPr>
                <w:sz w:val="22"/>
                <w:szCs w:val="22"/>
                <w:color w:val="auto"/>
              </w:rPr>
            </w:pPr>
          </w:p>
        </w:tc>
        <w:tc>
          <w:tcPr>
            <w:tcW w:w="260" w:type="dxa"/>
            <w:vAlign w:val="bottom"/>
          </w:tcPr>
          <w:p>
            <w:pPr>
              <w:spacing w:after="0"/>
              <w:rPr>
                <w:sz w:val="22"/>
                <w:szCs w:val="22"/>
                <w:color w:val="auto"/>
              </w:rPr>
            </w:pPr>
          </w:p>
        </w:tc>
        <w:tc>
          <w:tcPr>
            <w:tcW w:w="20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Predecessor</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tcPr>
          <w:p>
            <w:pPr>
              <w:jc w:val="center"/>
              <w:ind w:right="130"/>
              <w:spacing w:after="0" w:line="174"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 w:type="dxa"/>
            <w:vAlign w:val="bottom"/>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tcPr>
          <w:p>
            <w:pPr>
              <w:jc w:val="center"/>
              <w:ind w:right="170"/>
              <w:spacing w:after="0" w:line="174"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38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8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11,949</w:t>
            </w: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6,121</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231F20"/>
        </w:rPr>
        <w:t>Depreciation and amortization increased by $6.1 million, or 105.0%, for the six months ended June 30, 2022 compared to the six months ended June 30, 2021. The increase was primarily due to increases of $6.2 million related to the step-up in basis of the technology and customer relationships acquired in connection with the Business Combination, partially offset by a decrease of $0.1 million related to amortization of trade names during the six months ended June 30, 2021, which is no longer amortizable following the Business Combination in 2021.</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300" w:type="dxa"/>
            <w:vAlign w:val="bottom"/>
            <w:gridSpan w:val="6"/>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Gain from Change in Fair Value of Warrant Liability</w:t>
            </w:r>
          </w:p>
        </w:tc>
        <w:tc>
          <w:tcPr>
            <w:tcW w:w="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8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100" w:type="dxa"/>
            <w:vAlign w:val="bottom"/>
            <w:vMerge w:val="restart"/>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vMerge w:val="restart"/>
          </w:tcPr>
          <w:p>
            <w:pPr>
              <w:spacing w:after="0"/>
              <w:rPr>
                <w:sz w:val="23"/>
                <w:szCs w:val="23"/>
                <w:color w:val="auto"/>
              </w:rPr>
            </w:pPr>
          </w:p>
        </w:tc>
        <w:tc>
          <w:tcPr>
            <w:tcW w:w="260" w:type="dxa"/>
            <w:vAlign w:val="bottom"/>
          </w:tcPr>
          <w:p>
            <w:pPr>
              <w:spacing w:after="0"/>
              <w:rPr>
                <w:sz w:val="23"/>
                <w:szCs w:val="23"/>
                <w:color w:val="auto"/>
              </w:rPr>
            </w:pPr>
          </w:p>
        </w:tc>
        <w:tc>
          <w:tcPr>
            <w:tcW w:w="198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280" w:type="dxa"/>
            <w:vAlign w:val="bottom"/>
            <w:gridSpan w:val="2"/>
            <w:vMerge w:val="restart"/>
          </w:tcPr>
          <w:p>
            <w:pPr>
              <w:spacing w:after="0"/>
              <w:rPr>
                <w:sz w:val="23"/>
                <w:szCs w:val="23"/>
                <w:color w:val="auto"/>
              </w:rPr>
            </w:pPr>
          </w:p>
        </w:tc>
        <w:tc>
          <w:tcPr>
            <w:tcW w:w="1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8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98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tcPr>
          <w:p>
            <w:pPr>
              <w:jc w:val="center"/>
              <w:ind w:right="19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80" w:type="dxa"/>
            <w:vAlign w:val="bottom"/>
            <w:gridSpan w:val="2"/>
          </w:tcPr>
          <w:p>
            <w:pPr>
              <w:spacing w:after="0"/>
              <w:rPr>
                <w:sz w:val="14"/>
                <w:szCs w:val="14"/>
                <w:color w:val="auto"/>
              </w:rPr>
            </w:pPr>
          </w:p>
        </w:tc>
        <w:tc>
          <w:tcPr>
            <w:tcW w:w="11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4120" w:type="dxa"/>
            <w:vAlign w:val="bottom"/>
            <w:gridSpan w:val="2"/>
            <w:vMerge w:val="continue"/>
          </w:tcPr>
          <w:p>
            <w:pPr>
              <w:spacing w:after="0"/>
              <w:rPr>
                <w:sz w:val="21"/>
                <w:szCs w:val="21"/>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60" w:type="dxa"/>
            <w:vAlign w:val="bottom"/>
            <w:gridSpan w:val="3"/>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c>
          <w:tcPr>
            <w:tcW w:w="118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Gain from change in fair value of warrant liability</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12,711</w:t>
            </w: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12,711</w:t>
            </w:r>
          </w:p>
        </w:tc>
        <w:tc>
          <w:tcPr>
            <w:tcW w:w="122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231F20"/>
        </w:rPr>
        <w:t>We recorded a gain of $12.7 million during the six months ended June 30, 2022 for the change in fair value on the revaluation of our warrant liability associated with our public warrants. This is a non-cash gain and is driven by fluctuations in the market price of our warrants.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7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Other income (expense), net</w:t>
            </w:r>
          </w:p>
        </w:tc>
        <w:tc>
          <w:tcPr>
            <w:tcW w:w="2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20" w:type="dxa"/>
            <w:vAlign w:val="bottom"/>
          </w:tcPr>
          <w:p>
            <w:pPr>
              <w:spacing w:after="0"/>
              <w:rPr>
                <w:sz w:val="23"/>
                <w:szCs w:val="23"/>
                <w:color w:val="auto"/>
              </w:rPr>
            </w:pPr>
          </w:p>
        </w:tc>
        <w:tc>
          <w:tcPr>
            <w:tcW w:w="80" w:type="dxa"/>
            <w:vAlign w:val="bottom"/>
            <w:vMerge w:val="restart"/>
          </w:tcPr>
          <w:p>
            <w:pPr>
              <w:spacing w:after="0"/>
              <w:rPr>
                <w:sz w:val="23"/>
                <w:szCs w:val="23"/>
                <w:color w:val="auto"/>
              </w:rPr>
            </w:pPr>
          </w:p>
        </w:tc>
        <w:tc>
          <w:tcPr>
            <w:tcW w:w="240" w:type="dxa"/>
            <w:vAlign w:val="bottom"/>
          </w:tcPr>
          <w:p>
            <w:pPr>
              <w:spacing w:after="0"/>
              <w:rPr>
                <w:sz w:val="23"/>
                <w:szCs w:val="23"/>
                <w:color w:val="auto"/>
              </w:rPr>
            </w:pPr>
          </w:p>
        </w:tc>
        <w:tc>
          <w:tcPr>
            <w:tcW w:w="20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tcPr>
          <w:p>
            <w:pPr>
              <w:jc w:val="center"/>
              <w:ind w:right="1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7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c>
          <w:tcPr>
            <w:tcW w:w="18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560</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231F20"/>
        </w:rPr>
        <w:t>During the six months ended June 30, 2022, we had other expense of $0.1 million as compared to other expense of $0.6 million for the six months ended June 30, 2021. The decrease in other expense of $0.6 million was primarily driven by foreign currency transaction gains and losses.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8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Income tax benefit (expense)</w:t>
            </w:r>
          </w:p>
        </w:tc>
        <w:tc>
          <w:tcPr>
            <w:tcW w:w="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20" w:type="dxa"/>
            <w:vAlign w:val="bottom"/>
          </w:tcPr>
          <w:p>
            <w:pPr>
              <w:spacing w:after="0"/>
              <w:rPr>
                <w:sz w:val="22"/>
                <w:szCs w:val="22"/>
                <w:color w:val="auto"/>
              </w:rPr>
            </w:pPr>
          </w:p>
        </w:tc>
        <w:tc>
          <w:tcPr>
            <w:tcW w:w="80" w:type="dxa"/>
            <w:vAlign w:val="bottom"/>
            <w:vMerge w:val="restart"/>
          </w:tcPr>
          <w:p>
            <w:pPr>
              <w:spacing w:after="0"/>
              <w:rPr>
                <w:sz w:val="22"/>
                <w:szCs w:val="22"/>
                <w:color w:val="auto"/>
              </w:rPr>
            </w:pPr>
          </w:p>
        </w:tc>
        <w:tc>
          <w:tcPr>
            <w:tcW w:w="260" w:type="dxa"/>
            <w:vAlign w:val="bottom"/>
          </w:tcPr>
          <w:p>
            <w:pPr>
              <w:spacing w:after="0"/>
              <w:rPr>
                <w:sz w:val="22"/>
                <w:szCs w:val="22"/>
                <w:color w:val="auto"/>
              </w:rPr>
            </w:pPr>
          </w:p>
        </w:tc>
        <w:tc>
          <w:tcPr>
            <w:tcW w:w="20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8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tcPr>
          <w:p>
            <w:pPr>
              <w:jc w:val="center"/>
              <w:ind w:right="19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8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c>
          <w:tcPr>
            <w:tcW w:w="18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8,238</w:t>
            </w: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8,422</w:t>
            </w:r>
          </w:p>
        </w:tc>
        <w:tc>
          <w:tcPr>
            <w:tcW w:w="122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right="40" w:firstLine="648"/>
        <w:spacing w:after="0" w:line="297" w:lineRule="auto"/>
        <w:rPr>
          <w:sz w:val="20"/>
          <w:szCs w:val="20"/>
          <w:color w:val="auto"/>
        </w:rPr>
      </w:pPr>
      <w:r>
        <w:rPr>
          <w:rFonts w:ascii="Times New Roman" w:cs="Times New Roman" w:eastAsia="Times New Roman" w:hAnsi="Times New Roman"/>
          <w:sz w:val="18"/>
          <w:szCs w:val="18"/>
          <w:color w:val="231F20"/>
        </w:rPr>
        <w:t>Income tax benefit during the six months ended June 30, 2022 primarily consists of deferred tax benefit from net loss allocated to Bakkt Holdings, Inc. during the period.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Liquidity and Capital Resources</w:t>
      </w:r>
    </w:p>
    <w:p>
      <w:pPr>
        <w:spacing w:after="0" w:line="27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Our predecessor principally financed its operations through equity financings in the form of capital contributions from its members and, to a lesser degree, from customer revenues. In addition, in 2018, ICE contributed certain developed assets and rights to use exchange and clearing licenses enabling Bakkt to commence operations. In connection with the closing of the Business Combination, our predecessor’s cash position was supplemented by $532.4 million, which included $325.0 million in proceeds from the closing of a private placement of shares of our Class A common stock and $207.4 million that had previously been held in trust.</w:t>
      </w:r>
    </w:p>
    <w:p>
      <w:pPr>
        <w:spacing w:after="0" w:line="191"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231F20"/>
        </w:rPr>
        <w:t>As of June 30, 2022, we had $126.8 million and $16.5 million of cash and cash equivalents and restricted cash, respectively, which included the net proceeds raised in connection with the Business Combination, the amounts used to fund redemptions in connection with the Business Combination and the amounts received upon exercise of the public warrants through such date, partially offset by cash used in operations and investments in available for sale debt securities of $189.2 million during the three and six months ended June 30, 2022. As of June 30, 2022, we had $188.7 million of available for sale debt securities that mature over the next 5 to 15 months. Cash and cash equivalents consist of cash deposits at banks and money market funds. Restricted cash is held to satisfy certain minimum capital requirements pursuant to regulatory requirements.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We intend to use our unrestricted cash and expected proceeds from maturity of available for sale debt securities to (i) increase our sales and marketing efforts, (ii) expand our research and product development efforts, and (iii) maintain and expand our technology infrastructure and operational support. In addition, we may in the future enter into arrangements to acquire or invest in complementary businesses, services, technologies or intellectual property rights. However, we have no agreements or commitments with respect to any such acquisitions or investments at this time.</w:t>
      </w:r>
    </w:p>
    <w:p>
      <w:pPr>
        <w:spacing w:after="0" w:line="17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Our expected uses of available funds are based upon our present plans, objectives and business condition. We have not determined all of the particular uses for the available funds, and management has not estimated the amount of funds, or the range of funds, to be used for any particular purpose. As a result, our management retain broad discretion over the available funds.</w:t>
      </w:r>
    </w:p>
    <w:p>
      <w:pPr>
        <w:spacing w:after="0" w:line="18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Our future cash requirements will depend on many factors, including our revenue growth rate, the timing and extent of hiring and associated overhead to support projected growth in our business, sales and marketing costs to drive revenue growth, and software development investments to continue adding features and functionality to our technology platforms to align with market needs. We continue to accelerate our hiring plans along with increasing our marketing and promotional efforts, which we expect to continue in the near future. We may also enter into arrangements to acquire or invest in complementary businesses, services, and technologies which will likely require us to increase our cash consumption.</w:t>
      </w:r>
    </w:p>
    <w:p>
      <w:pPr>
        <w:spacing w:after="0" w:line="177"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18"/>
          <w:szCs w:val="18"/>
          <w:color w:val="231F20"/>
        </w:rPr>
        <w:t>In addition, we have evaluated the impact of the COVID-19 pandemic on our liquidity and capital needs, and we anticipate that its effects will be largely neutral.</w:t>
      </w:r>
    </w:p>
    <w:p>
      <w:pPr>
        <w:spacing w:after="0" w:line="148"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231F20"/>
        </w:rPr>
        <w:t>Depending on the foregoing and other factors that may affect our business in the future, we may be required to seek additional capital contributions or debt financing in the future. In the event that additional financing is required from outside sources, we may not be able to raise it on terms acceptable to us or at all.</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ind w:left="440"/>
              <w:spacing w:after="0"/>
              <w:rPr>
                <w:sz w:val="20"/>
                <w:szCs w:val="20"/>
                <w:color w:val="auto"/>
              </w:rPr>
            </w:pPr>
            <w:r>
              <w:rPr>
                <w:rFonts w:ascii="Times New Roman" w:cs="Times New Roman" w:eastAsia="Times New Roman" w:hAnsi="Times New Roman"/>
                <w:sz w:val="18"/>
                <w:szCs w:val="18"/>
                <w:color w:val="231F20"/>
              </w:rPr>
              <w:t>The following table summarizes our cash flows for the periods presented (</w:t>
            </w:r>
            <w:r>
              <w:rPr>
                <w:rFonts w:ascii="Times New Roman" w:cs="Times New Roman" w:eastAsia="Times New Roman" w:hAnsi="Times New Roman"/>
                <w:sz w:val="18"/>
                <w:szCs w:val="18"/>
                <w:color w:val="000000"/>
              </w:rPr>
              <w:t>in thousands)</w:t>
            </w:r>
            <w:r>
              <w:rPr>
                <w:rFonts w:ascii="Times New Roman" w:cs="Times New Roman" w:eastAsia="Times New Roman" w:hAnsi="Times New Roman"/>
                <w:sz w:val="18"/>
                <w:szCs w:val="18"/>
                <w:color w:val="231F20"/>
              </w:rPr>
              <w:t>:</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20" w:type="dxa"/>
            <w:vAlign w:val="bottom"/>
          </w:tcPr>
          <w:p>
            <w:pPr>
              <w:spacing w:after="0"/>
              <w:rPr>
                <w:sz w:val="23"/>
                <w:szCs w:val="23"/>
                <w:color w:val="auto"/>
              </w:rPr>
            </w:pPr>
          </w:p>
        </w:tc>
        <w:tc>
          <w:tcPr>
            <w:tcW w:w="100" w:type="dxa"/>
            <w:vAlign w:val="bottom"/>
            <w:vMerge w:val="restart"/>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0" w:type="dxa"/>
            <w:vAlign w:val="bottom"/>
          </w:tcPr>
          <w:p>
            <w:pPr>
              <w:spacing w:after="0"/>
              <w:rPr>
                <w:sz w:val="1"/>
                <w:szCs w:val="1"/>
                <w:color w:val="auto"/>
              </w:rPr>
            </w:pPr>
          </w:p>
        </w:tc>
      </w:tr>
      <w:tr>
        <w:trPr>
          <w:trHeight w:val="230"/>
        </w:trPr>
        <w:tc>
          <w:tcPr>
            <w:tcW w:w="7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6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41"/>
        </w:trPr>
        <w:tc>
          <w:tcPr>
            <w:tcW w:w="7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20" w:type="dxa"/>
            <w:vAlign w:val="bottom"/>
            <w:shd w:val="clear" w:color="auto" w:fill="000000"/>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c>
          <w:tcPr>
            <w:tcW w:w="0" w:type="dxa"/>
            <w:vAlign w:val="bottom"/>
          </w:tcPr>
          <w:p>
            <w:pPr>
              <w:spacing w:after="0"/>
              <w:rPr>
                <w:sz w:val="1"/>
                <w:szCs w:val="1"/>
                <w:color w:val="auto"/>
              </w:rPr>
            </w:pPr>
          </w:p>
        </w:tc>
      </w:tr>
      <w:tr>
        <w:trPr>
          <w:trHeight w:val="225"/>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(18,662)</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(203,937)</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(6,482)</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provided by (used in) financing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Operating Activities</w:t>
      </w:r>
    </w:p>
    <w:p>
      <w:pPr>
        <w:spacing w:after="0" w:line="270"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Since our inception, we have yet to achieve positive cash flow from operations. Our primary uses of cash include compensation and benefits for headcount-related expenses, investment in software and product development of our technology platforms, most significantly our platform, and associated non-headcount technology and communication cost to develop, operate and support our customer-facing technology platforms.</w:t>
      </w:r>
    </w:p>
    <w:p>
      <w:pPr>
        <w:spacing w:after="0" w:line="169"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Net cash flows used in operating activities of $60.4 million for the six months ended June 30, 2022 was primarily related to our net loss of $71.0 million and changes in our operating assets and liabilities of $2.1 million, offset by non-cash charges of $12.6 million. The non-cash charges primarily consisted of share-based compensation of $21.2 million and depreciation and amortization of $11.9 million, offset by a gain from change in fair value of warrant liability of $12.7 million. Net cash outflows from changes in our operating assets and liabilities for the six months ended June 30, 2022 resulted primarily from an increase in accounts receivables of $3.3 million, a decrease of accounts payable and accrued liabilities of $2.6 million and an increase in other assets and liabilities of $4.0 million, which were partially offset by a decrease in prepaid insurance of $8.6 million.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 xml:space="preserve">Net cash flows used in operating activities of $18.7 million for the six months ended June 30, 2021 is primarily attributable to our net loss of $60.7 million, offset by non-cash charges of $9.9 million and changes in our operating assets and liabilities of approximately $32.2 million. Non-cash charges primarily consisted of $2.5 million of unit-based compensation expenses and $5.8 million of depreciation and amortization. Net cash inflows from changes in operating assets and liabilities resulted from the return of a deposit with our clearinghouse affiliate of $20.2 million, a $14.5 million increase in accounts payable and accruals and a $2.0 million increase in other assets and liabilities, which were partially offset by a $1.5 million increase in accounts receivables and a </w:t>
      </w:r>
      <w:r>
        <w:rPr>
          <w:rFonts w:ascii="Times New Roman" w:cs="Times New Roman" w:eastAsia="Times New Roman" w:hAnsi="Times New Roman"/>
          <w:sz w:val="18"/>
          <w:szCs w:val="18"/>
          <w:color w:val="000000"/>
        </w:rPr>
        <w:t>$1.3 million</w:t>
      </w:r>
      <w:r>
        <w:rPr>
          <w:rFonts w:ascii="Times New Roman" w:cs="Times New Roman" w:eastAsia="Times New Roman" w:hAnsi="Times New Roman"/>
          <w:sz w:val="18"/>
          <w:szCs w:val="18"/>
          <w:color w:val="231F20"/>
        </w:rPr>
        <w:t xml:space="preserve"> decrease in amounts due to affiliates.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Investing Activities</w:t>
      </w:r>
    </w:p>
    <w:p>
      <w:pPr>
        <w:spacing w:after="0" w:line="270"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231F20"/>
        </w:rPr>
        <w:t>Net cash flows used in investing activities of $203.9 million for the six months ended June 30, 2022 consisted of $189.2 million related to the purchase of available for sale debt securities and $14.8 million of capitalized costs of internally developed software for our technology platforms.</w:t>
      </w:r>
    </w:p>
    <w:p>
      <w:pPr>
        <w:spacing w:after="0" w:line="176"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231F20"/>
        </w:rPr>
        <w:t>Net cash flows used in investing activities of $6.5 million for the six months ended June 30, 2021 consisted of $8.2 million of capitalized costs of internally developed software, partially offset by $1.8 million related to the p</w:t>
      </w:r>
      <w:r>
        <w:rPr>
          <w:rFonts w:ascii="Times New Roman" w:cs="Times New Roman" w:eastAsia="Times New Roman" w:hAnsi="Times New Roman"/>
          <w:sz w:val="18"/>
          <w:szCs w:val="18"/>
          <w:color w:val="000000"/>
        </w:rPr>
        <w:t>roceeds from sale of shares of affiliate stock</w:t>
      </w:r>
      <w:r>
        <w:rPr>
          <w:rFonts w:ascii="Times New Roman" w:cs="Times New Roman" w:eastAsia="Times New Roman" w:hAnsi="Times New Roman"/>
          <w:sz w:val="18"/>
          <w:szCs w:val="18"/>
          <w:color w:val="231F20"/>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Financing Activities</w:t>
      </w:r>
    </w:p>
    <w:p>
      <w:pPr>
        <w:spacing w:after="0" w:line="256"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231F20"/>
        </w:rPr>
        <w:t>Net cash flows provided by financing activities of less than $0.1 million for the six months ended June 30, 2022 resulted from proceeds from the exercise of public warrants.</w:t>
      </w:r>
    </w:p>
    <w:p>
      <w:pPr>
        <w:spacing w:after="0" w:line="148"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18"/>
          <w:szCs w:val="18"/>
          <w:color w:val="231F20"/>
        </w:rPr>
        <w:t>Net cash flows used in financing activities of less than $0.1 million for the six months ended June 30, 2021 resulted from payments for capital leases during the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Tax Receivable Agreement</w:t>
      </w:r>
    </w:p>
    <w:p>
      <w:pPr>
        <w:spacing w:after="0" w:line="25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Concurrently with the completion of the Business Combination, we entered into a TRA with certain Bakkt Equity Holders. Pursuant to the TRA, among other things, holders of Bakkt Common Units may, subject to certain conditions, from and after April 16, 2022, exchange such Common Units (along with a corresponding number of shares of our Common Stock), for Class A common stock on a one-for-one basis, subject to the terms of the Exchange Agreement, including our right to elect to deliver cash in lieu of Class A common stock and, in certain cases, adjustments as set forth therein. Bakkt will have in effect an election under Section 754 of the Internal Revenue Code for each taxable year in which an exchange of Bakkt Common Units for Class A common stock (or cash) occurs.</w:t>
      </w:r>
    </w:p>
    <w:p>
      <w:pPr>
        <w:spacing w:after="0" w:line="178" w:lineRule="exact"/>
        <w:rPr>
          <w:sz w:val="20"/>
          <w:szCs w:val="20"/>
          <w:color w:val="auto"/>
        </w:rPr>
      </w:pPr>
    </w:p>
    <w:p>
      <w:pPr>
        <w:jc w:val="both"/>
        <w:ind w:right="20" w:firstLine="648"/>
        <w:spacing w:after="0" w:line="305" w:lineRule="auto"/>
        <w:rPr>
          <w:sz w:val="20"/>
          <w:szCs w:val="20"/>
          <w:color w:val="auto"/>
        </w:rPr>
      </w:pPr>
      <w:r>
        <w:rPr>
          <w:rFonts w:ascii="Times New Roman" w:cs="Times New Roman" w:eastAsia="Times New Roman" w:hAnsi="Times New Roman"/>
          <w:sz w:val="18"/>
          <w:szCs w:val="18"/>
          <w:color w:val="auto"/>
        </w:rPr>
        <w:t>The exchanges are expected to result in increases in the tax basis of the tangible and intangible assets of Bakkt.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83"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The TRA provides for the payment by us to exchanging holders of Bakkt Common Units of 85% of certain net income tax benefits, if any, that we realize (or in certain cases is deemed to realize) as a result of these increases in tax basis related to entering into the TRA, including tax benefits attributable to payments under the TRA. This payment obligation is an obligation of the Company and not of Bakkt. For purposes of the TRA, the cash tax savings in income tax will be computed by comparing our actual income tax liability (calculated with certain assumptions) to the amount of such taxes that we would have been required to pay had there been no increase to the tax basis of the assets of Bakkt as a result of Bakkt having an election in effect under Section 754 of the Code for each taxable year in which an exchange of Bakkt Common Units for Class A common stock occurs and had we not entered into the TRA. Such change will be calculated under the TRA without regard to any transfers of Bakkt Common Units or distributions with respect to such Bakkt Common Units before the exchange under the Exchange Agreement to which Section 743(b) or 734(b) of the Code applies. As of June 30, 2022, 17,554,639 Opco common units were exchanged for Class A common stock. Based on the Company's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history of taxable losses, the Company has concluded that it is not probable to expect cash tax payments in the foreseeable future and as such, no value has been recorded under the TRA.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Contractual Obligations and Commitments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The following is a summary of our significant contractual obligations and commitments as of June </w:t>
      </w:r>
      <w:r>
        <w:rPr>
          <w:rFonts w:ascii="Times New Roman" w:cs="Times New Roman" w:eastAsia="Times New Roman" w:hAnsi="Times New Roman"/>
          <w:sz w:val="18"/>
          <w:szCs w:val="18"/>
          <w:color w:val="000000"/>
        </w:rPr>
        <w:t>30, 2022</w:t>
      </w:r>
      <w:r>
        <w:rPr>
          <w:rFonts w:ascii="Times New Roman" w:cs="Times New Roman" w:eastAsia="Times New Roman" w:hAnsi="Times New Roman"/>
          <w:sz w:val="18"/>
          <w:szCs w:val="18"/>
          <w:color w:val="231F20"/>
        </w:rPr>
        <w:t xml:space="preserve"> (in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4"/>
          </w:tcPr>
          <w:p>
            <w:pPr>
              <w:ind w:left="110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0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77"/>
        </w:trPr>
        <w:tc>
          <w:tcPr>
            <w:tcW w:w="35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7"/>
              </w:rPr>
              <w:t>Less than 1 year</w:t>
            </w: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6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More than 5 years</w:t>
            </w: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2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Future minimum operating lease payments(2)</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9,209</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13,797</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29,406</w:t>
            </w: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1,367</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17,959</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16,283</w:t>
            </w:r>
          </w:p>
        </w:tc>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13,797</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49,406</w:t>
            </w:r>
          </w:p>
        </w:tc>
      </w:tr>
    </w:tbl>
    <w:p>
      <w:pPr>
        <w:spacing w:after="0" w:line="306"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minimum commitment payments under a four-year cloud computing arrangement.</w:t>
      </w:r>
    </w:p>
    <w:p>
      <w:pPr>
        <w:spacing w:after="0" w:line="3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rental payments under operating leases with remaining non-cancellable terms in excess of one year.</w:t>
      </w:r>
    </w:p>
    <w:p>
      <w:pPr>
        <w:spacing w:after="0" w:line="266"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231F20"/>
        </w:rPr>
        <w:t xml:space="preserve">Additionally, we, through our loyalty business, have a purchasing card facility with a bank that we utilize for redemption purchases made from merchant partners as part of our loyalty redemption platform. Expenditures made using the purchasing card facility are payable monthly, are not subject to formula-based restrictions and do not bear interest if amounts outstanding are paid when due and in full. Among other covenants, the purchasing card facility requires that we maintain a month-end cash balance of $40.0 million. In January 2021, the purchasing card facility was extended to April 15, 2022 in order to facilitate a long-term agreement on more favorable terms for us. </w:t>
      </w:r>
      <w:r>
        <w:rPr>
          <w:rFonts w:ascii="Times New Roman" w:cs="Times New Roman" w:eastAsia="Times New Roman" w:hAnsi="Times New Roman"/>
          <w:sz w:val="18"/>
          <w:szCs w:val="18"/>
          <w:color w:val="000000"/>
        </w:rPr>
        <w:t>In April 2022, we further extended the maturity date of the purchasing card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facility to August 12, 2022, which may be extended to the extent necessary to transition over to the purchasing card facility with Bank of America described below.</w:t>
      </w:r>
    </w:p>
    <w:p>
      <w:pPr>
        <w:spacing w:after="0" w:line="196"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On April 7, 2022, we entered into a corporate card services agreement with Bank of America to provide a new purchasing card facility. Total borrowing capacity under the facility is $35 million and there is no defined maturity date. Expenditures made using the purchasing card facility are payable monthly, are not subject to formula-based restrictions and do not bear interest if amounts outstanding are paid when due and in full. The purchasing card facility requires us to maintain a concentration account with the lender subject to a minimum liquidity maintenance requirement of $7.0 million as collateral along with the accounts receivable of our subsidiary, within the loyalty business. Bakkt Holdings, Inc. serves as the guarantor on behalf of our subsidiary under the commercial purchasing card facility.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Non-GAAP Financial Measures</w:t>
      </w:r>
    </w:p>
    <w:p>
      <w:pPr>
        <w:spacing w:after="0" w:line="25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We use non-GAAP financial measures to assist in comparing our performance on a consistent basis for purposes of business decision-making by removing the impact of certain items that management believes do not directly reflect our core operations. We believe that presenting non-GAAP financial measures is useful to investors 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decisions, and evaluate historical performance, and (c) otherwise provides supplemental information that may be useful to investors in evaluating our results.</w:t>
      </w:r>
    </w:p>
    <w:p>
      <w:pPr>
        <w:spacing w:after="0" w:line="178"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231F20"/>
        </w:rPr>
        <w:t>We believe that the presentation of the following non-GAAP financial measures, when considered together with the corresponding GAAP financial measures and the reconciliations to those measures provided herein, provides investors with an additional understanding of the factors and trends affecting our business that could not be obtained absent these disclosures.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Adjusted EBITDA</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We present Adjusted EBITDA as a non-GAAP financial measure.</w:t>
      </w:r>
    </w:p>
    <w:p>
      <w:pPr>
        <w:spacing w:after="0" w:line="252"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231F20"/>
        </w:rPr>
        <w:t>We believe that Adjusted EBITDA provides relevant and useful information, which is used by management in assessing the performance of our business. Adjusted EBITDA is defined as earnings before interest, income taxes, depreciation, amortization and certain non-cash and/or non-recurring items that do not contribute directly to our evaluation of operating results. Adjusted EBITDA provides management with an understanding of earnings before the impact of investing and financing transactions and income taxes, and the effects of aforementioned items that do not reflect the ordinary earnings of our operations. This measure may be useful to an investor in evaluating our performance. Adjusted EBITDA is not a measure of our financial performance under GAAP and should not be considered as an alternative to net income (loss) or other performance measures derived in accordance with GAAP. Our definition of Adjusted EBITDA may not be comparable to similarly titled measures used by other companies.</w:t>
      </w:r>
    </w:p>
    <w:p>
      <w:pPr>
        <w:spacing w:after="0" w:line="196" w:lineRule="exact"/>
        <w:rPr>
          <w:sz w:val="20"/>
          <w:szCs w:val="20"/>
          <w:color w:val="auto"/>
        </w:rPr>
      </w:pPr>
    </w:p>
    <w:p>
      <w:pPr>
        <w:jc w:val="both"/>
        <w:ind w:right="20" w:firstLine="648"/>
        <w:spacing w:after="0" w:line="313" w:lineRule="auto"/>
        <w:rPr>
          <w:sz w:val="20"/>
          <w:szCs w:val="20"/>
          <w:color w:val="auto"/>
        </w:rPr>
      </w:pPr>
      <w:r>
        <w:rPr>
          <w:rFonts w:ascii="Times New Roman" w:cs="Times New Roman" w:eastAsia="Times New Roman" w:hAnsi="Times New Roman"/>
          <w:sz w:val="18"/>
          <w:szCs w:val="18"/>
          <w:color w:val="231F20"/>
        </w:rPr>
        <w:t>In addition to the items above, Adjusted EBITDA as a non-GAAP financial measure also excludes interest income (expense) and other income (expense), and income tax (expense) benefit, as these items are not components of our core business operations.</w:t>
      </w:r>
    </w:p>
    <w:p>
      <w:pPr>
        <w:spacing w:after="0" w:line="176"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231F20"/>
        </w:rPr>
        <w:t>Non-GAAP financial measures like Adjusted EBITDA have limitations, should be considered as supplemental in nature and are not meant as a substitute for the related financial information prepared in accordance with GAAP. These limitations include the following:</w:t>
      </w:r>
    </w:p>
    <w:p>
      <w:pPr>
        <w:spacing w:after="0" w:line="176" w:lineRule="exact"/>
        <w:rPr>
          <w:sz w:val="20"/>
          <w:szCs w:val="20"/>
          <w:color w:val="auto"/>
        </w:rPr>
      </w:pPr>
    </w:p>
    <w:p>
      <w:pPr>
        <w:jc w:val="both"/>
        <w:ind w:left="340" w:hanging="332"/>
        <w:spacing w:after="0" w:line="302"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Share-based and unit-based compensation expense, including changes in the fair value of our participation unit liability, which has been excluded from Adjusted EBITDA because the amount of such expenses in any specific period may not directly correlate to the underlying performance of our business operations, has been, and will continue to be for the foreseeable future, a significant recurring expense in our business and an important part of our compensation strategy;</w:t>
      </w:r>
    </w:p>
    <w:p>
      <w:pPr>
        <w:spacing w:after="0" w:line="65" w:lineRule="exact"/>
        <w:rPr>
          <w:rFonts w:ascii="Times New Roman" w:cs="Times New Roman" w:eastAsia="Times New Roman" w:hAnsi="Times New Roman"/>
          <w:sz w:val="18"/>
          <w:szCs w:val="18"/>
          <w:color w:val="auto"/>
        </w:rPr>
      </w:pPr>
    </w:p>
    <w:p>
      <w:pPr>
        <w:ind w:left="340" w:hanging="332"/>
        <w:spacing w:after="0" w:line="329"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of our warrant liability, which in any specific period may not directly correlate to the underlying performance of our business operations, and do not necessarily reflect future cash outlays as the liability is remeasured at each reporting date;</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intangible assets being amortized, and property and equipment being depreciated, may have to be replaced in the future, and the non-GAAP</w:t>
      </w:r>
    </w:p>
    <w:p>
      <w:pPr>
        <w:spacing w:after="0" w:line="49" w:lineRule="exact"/>
        <w:rPr>
          <w:rFonts w:ascii="Times New Roman" w:cs="Times New Roman" w:eastAsia="Times New Roman" w:hAnsi="Times New Roman"/>
          <w:sz w:val="18"/>
          <w:szCs w:val="18"/>
          <w:color w:val="auto"/>
        </w:rPr>
      </w:pPr>
    </w:p>
    <w:p>
      <w:pPr>
        <w:ind w:left="3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financial measures do not reflect cash capital expenditure requirements for such replacements or for new capital expenditures or other capital commitments; and</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non-GAAP measures do not reflect changes in, or cash requirements for, our working capital needs.</w:t>
      </w:r>
    </w:p>
    <w:p>
      <w:pPr>
        <w:spacing w:after="0" w:line="252" w:lineRule="exact"/>
        <w:rPr>
          <w:sz w:val="20"/>
          <w:szCs w:val="20"/>
          <w:color w:val="auto"/>
        </w:rPr>
      </w:pPr>
    </w:p>
    <w:p>
      <w:pPr>
        <w:ind w:firstLine="648"/>
        <w:spacing w:after="0" w:line="329" w:lineRule="auto"/>
        <w:rPr>
          <w:sz w:val="20"/>
          <w:szCs w:val="20"/>
          <w:color w:val="auto"/>
        </w:rPr>
      </w:pPr>
      <w:r>
        <w:rPr>
          <w:rFonts w:ascii="Times New Roman" w:cs="Times New Roman" w:eastAsia="Times New Roman" w:hAnsi="Times New Roman"/>
          <w:sz w:val="18"/>
          <w:szCs w:val="18"/>
          <w:color w:val="231F20"/>
        </w:rPr>
        <w:t>Because of these limitations, the non-GAAP financial measures should be considered alongside other financial performance measures, including net loss and our other financial results presented in accordance with GAAP.</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18"/>
          <w:szCs w:val="18"/>
          <w:color w:val="231F20"/>
        </w:rPr>
        <w:t>The following table presents a reconciliation of net loss, the most directly comparable GAAP operating performance measure, to our Adjusted EBITDA for each of the periods indicated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20" w:type="dxa"/>
            <w:vAlign w:val="bottom"/>
          </w:tcPr>
          <w:p>
            <w:pPr>
              <w:spacing w:after="0"/>
              <w:rPr>
                <w:sz w:val="19"/>
                <w:szCs w:val="19"/>
                <w:color w:val="auto"/>
              </w:rPr>
            </w:pPr>
          </w:p>
        </w:tc>
        <w:tc>
          <w:tcPr>
            <w:tcW w:w="1800" w:type="dxa"/>
            <w:vAlign w:val="bottom"/>
            <w:tcBorders>
              <w:right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19"/>
                <w:szCs w:val="19"/>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1800" w:type="dxa"/>
            <w:vAlign w:val="bottom"/>
            <w:tcBorders>
              <w:right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r>
      <w:tr>
        <w:trPr>
          <w:trHeight w:val="169"/>
        </w:trPr>
        <w:tc>
          <w:tcPr>
            <w:tcW w:w="4020" w:type="dxa"/>
            <w:vAlign w:val="bottom"/>
          </w:tcPr>
          <w:p>
            <w:pPr>
              <w:spacing w:after="0"/>
              <w:rPr>
                <w:sz w:val="14"/>
                <w:szCs w:val="14"/>
                <w:color w:val="auto"/>
              </w:rPr>
            </w:pPr>
          </w:p>
        </w:tc>
        <w:tc>
          <w:tcPr>
            <w:tcW w:w="16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14"/>
                <w:szCs w:val="14"/>
                <w:color w:val="auto"/>
              </w:rPr>
            </w:pPr>
          </w:p>
        </w:tc>
        <w:tc>
          <w:tcPr>
            <w:tcW w:w="16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1"/>
        </w:trPr>
        <w:tc>
          <w:tcPr>
            <w:tcW w:w="4020" w:type="dxa"/>
            <w:vAlign w:val="bottom"/>
          </w:tcPr>
          <w:p>
            <w:pPr>
              <w:spacing w:after="0"/>
              <w:rPr>
                <w:sz w:val="20"/>
                <w:szCs w:val="20"/>
                <w:color w:val="auto"/>
              </w:rPr>
            </w:pPr>
          </w:p>
        </w:tc>
        <w:tc>
          <w:tcPr>
            <w:tcW w:w="1800" w:type="dxa"/>
            <w:vAlign w:val="bottom"/>
            <w:tcBorders>
              <w:right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8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c>
          <w:tcPr>
            <w:tcW w:w="1800" w:type="dxa"/>
            <w:vAlign w:val="bottom"/>
            <w:tcBorders>
              <w:right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8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r>
      <w:tr>
        <w:trPr>
          <w:trHeight w:val="225"/>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(27,641)</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(31,891)</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(70,962)</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(60,711)</w:t>
            </w: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w:t>
            </w: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expense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9"/>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(8,238)</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(54,556)</w:t>
            </w: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10,309</w:t>
            </w: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and Unit-based compensation expense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w:t>
            </w: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from change in fair value of warrant liability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ICE transition services expense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Cancellation of common units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(29,587)</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(58,514)</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(41,735)</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231F20"/>
        </w:rPr>
        <w:t>Adjusted EBITDA for the three months ended June 30, 2022 decreased by $4.7 million or 19.0% as compared to the three months ended June 30, 2021. The decrease was primarily due to a $8.6 million increase in compensation and benefits resulting from an increase in headcount to support the projected growth in our business, a $1.2 million increase professional services including fees for accounting, legal and regulatory fees, and a $0.8 million increase in selling, general and administrative expenses to support the projected growth in our business and requirements of being a public company, including increased insurance premiums and disclosure processes. The increases in these expenses were partially offset by the increase in revenue of $5.1 million over the same periods.</w:t>
      </w:r>
    </w:p>
    <w:p>
      <w:pPr>
        <w:spacing w:after="0" w:line="19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Adjusted EBITDA for the six ended June 30, 2022 decreased by $16.8 million or 40.2% as compared to the six months ended June 30, 2021. The decrease was primarily due to a $16.5 million increase in compensation and benefits resulting from an increase in headcount to support the projected growth in our business, a $4.9 million increase professional services including fees for accounting, legal and regulatory fees, and a $4.1 million increase in selling, general and administrative expenses to support the projected growth in our business and requirements of being a public company, including increased insurance premiums and disclosure processes. The increases in these expenses were partially offset by the increase in revenue of $9.5 million over the same periods.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Critical Accounting Policies and Estimates</w:t>
      </w:r>
    </w:p>
    <w:p>
      <w:pPr>
        <w:spacing w:after="0" w:line="270"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231F20"/>
        </w:rPr>
        <w:t>Our consolidated financial statements are prepared in accordance with GAAP, which requires us to make estimates and apply judgments that affect the reported amounts. We base our estimates on historical experience, as appropriate, and on various other assumptions that we believe to be reasonable under the circumstances. Changes in the accounting estimates are reasonably likely to occur from period to period. Accordingly, actual results could differ significantly from the estimates made by our management. We evaluate our estimates and assumptions on an ongoing basis. To the extent that there are material differences between these estimates and actual results, our future financial statement presentation, financial condition, results of operations and cash flows may be affected.</w:t>
      </w:r>
    </w:p>
    <w:p>
      <w:pPr>
        <w:spacing w:after="0" w:line="19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Due to the COVID-19 pandemic and the military conflict in Eastern Europe, there has been uncertainty and disruption in the global economy and financial markets, which requires us to make certain estimates and assumptions that affect the amounts reported in our consolidated financial statements. The significant estimates and assumptions that affect the financial statements may include, but are not limited to, those that are related to income tax valuation allowances, useful lives of intangible assets and property, equipment and software, fair value of financial assets and liabilities,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231F20"/>
        </w:rPr>
        <w:t>determining provision for doubtful accounts, valuation of acquired tangible and intangible assets, the impairment of intangible assets and goodwill, and fair market value of Bakkt common units, incentive units and participation units. We have assessed the impact and are not aware of any specific events or circumstances that required an update to our estimates and assumptions or materially affected the carrying value of our assets or liabilities as of the date of issuance of this Report. These estimates may change as new events occur and additional information is obtained. Actual results could differ materially from these estimates under different assumptions or conditions.</w:t>
      </w:r>
    </w:p>
    <w:p>
      <w:pPr>
        <w:spacing w:after="0" w:line="191"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231F20"/>
        </w:rPr>
        <w:t>For a description of our critical accounting policies and estimates, refer to “Item 7. Management’s Discussion and Analysis of Financial Condition and Results of Operations” in our Form 10-K. There have been no material changes to our critical accounting policies and estimates since our Form 10-K.</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Recently Issued and Adopted Accounting Pronouncements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 xml:space="preserve">Recently issued and adopted accounting pronouncements are described in Note 2 </w:t>
      </w:r>
      <w:r>
        <w:rPr>
          <w:rFonts w:ascii="Times New Roman" w:cs="Times New Roman" w:eastAsia="Times New Roman" w:hAnsi="Times New Roman"/>
          <w:sz w:val="18"/>
          <w:szCs w:val="18"/>
          <w:color w:val="000000"/>
        </w:rPr>
        <w:t>included in this Report</w:t>
      </w:r>
      <w:r>
        <w:rPr>
          <w:rFonts w:ascii="Times New Roman" w:cs="Times New Roman" w:eastAsia="Times New Roman" w:hAnsi="Times New Roman"/>
          <w:sz w:val="18"/>
          <w:szCs w:val="18"/>
          <w:color w:val="231F20"/>
        </w:rPr>
        <w: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70"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As required by Rule 13a-15(b) under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 13a-15(e) and 15d-15(e) under the Exchange Act) as of the end of the period covered by this Report. Based on such evaluation, our principal executive officer and principal financial officer have concluded that as of such date, our disclosure controls and procedures were effective. Our disclosure controls and procedures are designed to provide reasonable assurance that the information required to be disclosed by us in reports that we file under the Exchange Act is accumulated and communicated to management, including our principal executive officer and principal financial officer, as appropriate, to allow timely decisions regarding required disclosure and is recorded, processed, summarized, and reported within the time periods specified in the rules and forms of the SEC.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8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There were no changes in the system of internal control over financial reporting (as defined in Rule 13a-15(f) and Rule 15d-15(f) under the Exchange Act) during the quarter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70" w:lineRule="exact"/>
        <w:rPr>
          <w:sz w:val="20"/>
          <w:szCs w:val="20"/>
          <w:color w:val="auto"/>
        </w:rPr>
      </w:pPr>
    </w:p>
    <w:p>
      <w:pPr>
        <w:jc w:val="both"/>
        <w:ind w:firstLine="441"/>
        <w:spacing w:after="0" w:line="305" w:lineRule="auto"/>
        <w:rPr>
          <w:sz w:val="20"/>
          <w:szCs w:val="20"/>
          <w:color w:val="auto"/>
        </w:rPr>
      </w:pPr>
      <w:r>
        <w:rPr>
          <w:rFonts w:ascii="Times New Roman" w:cs="Times New Roman" w:eastAsia="Times New Roman" w:hAnsi="Times New Roman"/>
          <w:sz w:val="18"/>
          <w:szCs w:val="18"/>
          <w:color w:val="auto"/>
        </w:rPr>
        <w:t>From time to time we are subject to legal proceedings and claims arising in the ordinary course of business. Based on our current knowledge, we believe that the amount or range of reasonably possible losses will not, either individually or in the aggregate, have a material adverse effect on our business, results of operations, or financial condition.</w:t>
      </w:r>
    </w:p>
    <w:p>
      <w:pPr>
        <w:spacing w:after="0" w:line="169" w:lineRule="exact"/>
        <w:rPr>
          <w:sz w:val="20"/>
          <w:szCs w:val="20"/>
          <w:color w:val="auto"/>
        </w:rPr>
      </w:pPr>
    </w:p>
    <w:p>
      <w:pPr>
        <w:jc w:val="both"/>
        <w:ind w:firstLine="441"/>
        <w:spacing w:after="0" w:line="302" w:lineRule="auto"/>
        <w:rPr>
          <w:sz w:val="20"/>
          <w:szCs w:val="20"/>
          <w:color w:val="auto"/>
        </w:rPr>
      </w:pPr>
      <w:r>
        <w:rPr>
          <w:rFonts w:ascii="Times New Roman" w:cs="Times New Roman" w:eastAsia="Times New Roman" w:hAnsi="Times New Roman"/>
          <w:sz w:val="18"/>
          <w:szCs w:val="18"/>
          <w:color w:val="auto"/>
        </w:rPr>
        <w:t>The results of any litigation cannot be predicted with certainty, and an unfavorable resolution in any legal proceedings could materially affect our future business, results of operations, or financial condition. Regardless of the outcome, litigation can have an adverse impact on us because of defense and settlement costs, diversion of management resources, and other factors. For additional information on our ongoing legal proceedings, please refer to Note 13 Commitments and Contingencies in our unaudited consolidated financials included in this Report on Form 10-Q.</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441"/>
        <w:spacing w:after="0" w:line="297" w:lineRule="auto"/>
        <w:rPr>
          <w:sz w:val="20"/>
          <w:szCs w:val="20"/>
          <w:color w:val="auto"/>
        </w:rPr>
      </w:pPr>
      <w:r>
        <w:rPr>
          <w:rFonts w:ascii="Times New Roman" w:cs="Times New Roman" w:eastAsia="Times New Roman" w:hAnsi="Times New Roman"/>
          <w:sz w:val="18"/>
          <w:szCs w:val="18"/>
          <w:color w:val="auto"/>
        </w:rPr>
        <w:t>In addition to the information set forth in this Report on Form 10-Q, you should carefully consider the risk factors and other cautionary statements described under the heading “Item 1A. Risk Factors” included in our Form 10-K, which could materially affect our businesses, financial condition, or future results. Additional risks and uncertainties not currently known to us or that we currently deem to be immaterial also may materially adversely affect our business, financial condition, or future results. There have been no material changes in our risk factors from those described in our Form 10-K other than as set forth below:</w:t>
      </w:r>
    </w:p>
    <w:p>
      <w:pPr>
        <w:spacing w:after="0" w:line="187" w:lineRule="exact"/>
        <w:rPr>
          <w:sz w:val="20"/>
          <w:szCs w:val="20"/>
          <w:color w:val="auto"/>
        </w:rPr>
      </w:pPr>
    </w:p>
    <w:p>
      <w:pPr>
        <w:jc w:val="both"/>
        <w:ind w:right="20" w:firstLine="441"/>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The obligations associated with safeguarding cryptoassets involve unique risks and uncertainties, including the the risk of loss and lack of legal precedent regarding how cryptoassets would be treated in the event of our bankruptcy.</w:t>
      </w:r>
    </w:p>
    <w:p>
      <w:pPr>
        <w:spacing w:after="0" w:line="211" w:lineRule="exact"/>
        <w:rPr>
          <w:sz w:val="20"/>
          <w:szCs w:val="20"/>
          <w:color w:val="auto"/>
        </w:rPr>
      </w:pPr>
    </w:p>
    <w:p>
      <w:pPr>
        <w:jc w:val="both"/>
        <w:ind w:firstLine="441"/>
        <w:spacing w:after="0" w:line="294" w:lineRule="auto"/>
        <w:rPr>
          <w:sz w:val="20"/>
          <w:szCs w:val="20"/>
          <w:color w:val="auto"/>
        </w:rPr>
      </w:pPr>
      <w:r>
        <w:rPr>
          <w:rFonts w:ascii="Times New Roman" w:cs="Times New Roman" w:eastAsia="Times New Roman" w:hAnsi="Times New Roman"/>
          <w:sz w:val="18"/>
          <w:szCs w:val="18"/>
          <w:color w:val="auto"/>
        </w:rPr>
        <w:t>The obligations associated with custodial and other arrangements to safeguard cryptoassets involve unique risks and uncertainties. Nonetheless, our contractual arrangements state that our customers and trading partners retain legal ownership of the cryptoassets custodied by us on their behalf; they have the right to sell, pledge, or transfer the cryptoassets; and they also benefit from the rewards and bear the risks associated with the ownership, including as a result of any price fluctuations of the cryptoassets. Accordingly, based on the terms of our user agreement and applicable law, we believe that the cryptoassets we hold in custody for users of our platform should be respected as users’ property (and should not be available to satisfy the claims of our general creditors) in the event of our bankruptcy. To our knowledge, however, no court has considered the issues that would be presented in such a case. Accordingly, the lack of precedent and the fact-dependent nature of the determination of such claims in bankruptcy could delay or preclude the return of such cryptoassets to our customers. Although we are well-capitalized, to the extent users are concerned that cryptoassets might not be secure in a bankruptcy generally, their willingness to hold crypto in custodial accounts and their general interest in trading cryptoassets might decline. Further, to the extent prospective partners share these same concerns, their willingness to enter into relationships with us whereby they market our crypto services to their customers, may decline.</w:t>
      </w:r>
    </w:p>
    <w:p>
      <w:pPr>
        <w:spacing w:after="0" w:line="179" w:lineRule="exact"/>
        <w:rPr>
          <w:sz w:val="20"/>
          <w:szCs w:val="20"/>
          <w:color w:val="auto"/>
        </w:rPr>
      </w:pPr>
    </w:p>
    <w:p>
      <w:pPr>
        <w:jc w:val="both"/>
        <w:ind w:firstLine="441"/>
        <w:spacing w:after="0" w:line="331" w:lineRule="auto"/>
        <w:rPr>
          <w:sz w:val="20"/>
          <w:szCs w:val="20"/>
          <w:color w:val="auto"/>
        </w:rPr>
      </w:pPr>
      <w:r>
        <w:rPr>
          <w:rFonts w:ascii="Times New Roman" w:cs="Times New Roman" w:eastAsia="Times New Roman" w:hAnsi="Times New Roman"/>
          <w:sz w:val="18"/>
          <w:szCs w:val="18"/>
          <w:color w:val="auto"/>
        </w:rPr>
        <w:t>In addition, our cryptocurrency product offerings could have the effect of heightening or exacerbating many of the risk factors described in “</w:t>
      </w:r>
      <w:r>
        <w:rPr>
          <w:rFonts w:ascii="Times New Roman" w:cs="Times New Roman" w:eastAsia="Times New Roman" w:hAnsi="Times New Roman"/>
          <w:sz w:val="18"/>
          <w:szCs w:val="18"/>
          <w:i w:val="1"/>
          <w:iCs w:val="1"/>
          <w:color w:val="auto"/>
        </w:rPr>
        <w:t>Item 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Form 10-K, and may adversely affect our business, financial condition and results of operations.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49" w:right="1440"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8"/>
        </w:trPr>
        <w:tc>
          <w:tcPr>
            <w:tcW w:w="68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820" w:type="dxa"/>
            <w:vAlign w:val="bottom"/>
          </w:tcPr>
          <w:p>
            <w:pPr>
              <w:spacing w:after="0"/>
              <w:rPr>
                <w:sz w:val="20"/>
                <w:szCs w:val="20"/>
                <w:color w:val="auto"/>
              </w:rPr>
            </w:pPr>
          </w:p>
        </w:tc>
        <w:tc>
          <w:tcPr>
            <w:tcW w:w="3580" w:type="dxa"/>
            <w:vAlign w:val="bottom"/>
            <w:gridSpan w:val="3"/>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230"/>
        </w:trPr>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126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5160" w:type="dxa"/>
            <w:vAlign w:val="bottom"/>
            <w:gridSpan w:val="12"/>
            <w:vMerge w:val="restart"/>
          </w:tcPr>
          <w:p>
            <w:pPr>
              <w:ind w:left="19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9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238"/>
        </w:trPr>
        <w:tc>
          <w:tcPr>
            <w:tcW w:w="1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00" w:type="dxa"/>
            <w:vAlign w:val="bottom"/>
            <w:tcBorders>
              <w:bottom w:val="single" w:sz="8" w:color="auto"/>
            </w:tcBorders>
          </w:tcPr>
          <w:p>
            <w:pPr>
              <w:spacing w:after="0"/>
              <w:rPr>
                <w:sz w:val="20"/>
                <w:szCs w:val="20"/>
                <w:color w:val="auto"/>
              </w:rPr>
            </w:pPr>
          </w:p>
        </w:tc>
        <w:tc>
          <w:tcPr>
            <w:tcW w:w="5160" w:type="dxa"/>
            <w:vAlign w:val="bottom"/>
            <w:tcBorders>
              <w:bottom w:val="single" w:sz="8" w:color="auto"/>
            </w:tcBorders>
            <w:gridSpan w:val="12"/>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474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Certificate of Incorporation of the Company, as currently in effect</w:t>
              </w:r>
            </w:hyperlink>
          </w:p>
        </w:tc>
        <w:tc>
          <w:tcPr>
            <w:tcW w:w="820" w:type="dxa"/>
            <w:vAlign w:val="bottom"/>
            <w:gridSpan w:val="8"/>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21, 2021</w:t>
            </w:r>
          </w:p>
        </w:tc>
        <w:tc>
          <w:tcPr>
            <w:tcW w:w="0" w:type="dxa"/>
            <w:vAlign w:val="bottom"/>
          </w:tcPr>
          <w:p>
            <w:pPr>
              <w:spacing w:after="0"/>
              <w:rPr>
                <w:sz w:val="1"/>
                <w:szCs w:val="1"/>
                <w:color w:val="auto"/>
              </w:rPr>
            </w:pPr>
          </w:p>
        </w:tc>
      </w:tr>
      <w:tr>
        <w:trPr>
          <w:trHeight w:val="358"/>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336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8"/>
              </w:rPr>
            </w:pPr>
            <w:hyperlink r:id="rId91">
              <w:r>
                <w:rPr>
                  <w:rFonts w:ascii="Times New Roman" w:cs="Times New Roman" w:eastAsia="Times New Roman" w:hAnsi="Times New Roman"/>
                  <w:sz w:val="18"/>
                  <w:szCs w:val="18"/>
                  <w:color w:val="0000FF"/>
                  <w:w w:val="98"/>
                </w:rPr>
                <w:t>By-laws of the Company, as currently in effect</w:t>
              </w:r>
            </w:hyperlink>
          </w:p>
        </w:tc>
        <w:tc>
          <w:tcPr>
            <w:tcW w:w="2200" w:type="dxa"/>
            <w:vAlign w:val="bottom"/>
            <w:gridSpan w:val="11"/>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21, 2021</w:t>
            </w:r>
          </w:p>
        </w:tc>
        <w:tc>
          <w:tcPr>
            <w:tcW w:w="0" w:type="dxa"/>
            <w:vAlign w:val="bottom"/>
          </w:tcPr>
          <w:p>
            <w:pPr>
              <w:spacing w:after="0"/>
              <w:rPr>
                <w:sz w:val="1"/>
                <w:szCs w:val="1"/>
                <w:color w:val="auto"/>
              </w:rPr>
            </w:pPr>
          </w:p>
        </w:tc>
      </w:tr>
      <w:tr>
        <w:trPr>
          <w:trHeight w:val="372"/>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5560" w:type="dxa"/>
            <w:vAlign w:val="bottom"/>
            <w:gridSpan w:val="13"/>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Amended and Restated Exchange Agreement dated May 3, 2022 by and</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4, 2022</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5520" w:type="dxa"/>
            <w:vAlign w:val="bottom"/>
            <w:tcBorders>
              <w:top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between Bakkt Holdings, Inc. and the other parties named therein.</w:t>
              </w:r>
            </w:hyperlink>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45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Bakkt Holdings, Inc. Outside Director Compensation Program</w:t>
            </w:r>
          </w:p>
        </w:tc>
        <w:tc>
          <w:tcPr>
            <w:tcW w:w="260" w:type="dxa"/>
            <w:vAlign w:val="bottom"/>
            <w:tcBorders>
              <w:top w:val="single" w:sz="8" w:color="0000FF"/>
            </w:tcBorders>
            <w:gridSpan w:val="2"/>
          </w:tcPr>
          <w:p>
            <w:pPr>
              <w:spacing w:after="0"/>
              <w:rPr>
                <w:sz w:val="24"/>
                <w:szCs w:val="24"/>
                <w:color w:val="auto"/>
              </w:rPr>
            </w:pPr>
          </w:p>
        </w:tc>
        <w:tc>
          <w:tcPr>
            <w:tcW w:w="800" w:type="dxa"/>
            <w:vAlign w:val="bottom"/>
            <w:gridSpan w:val="7"/>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55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w:t>
            </w: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548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15d-14(a) under the Securities Exchange Act of 1934, as Adopted Pursuant</w:t>
            </w:r>
          </w:p>
        </w:tc>
        <w:tc>
          <w:tcPr>
            <w:tcW w:w="8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to Section 302 of the Sarbanes-Oxley Act of 2002.</w:t>
            </w:r>
          </w:p>
        </w:tc>
        <w:tc>
          <w:tcPr>
            <w:tcW w:w="178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55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w:t>
            </w: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544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w w:val="99"/>
              </w:rPr>
              <w:t>15d-14(a) under the Securities Exchange Act of 1934, as Adopted Pursuant</w:t>
            </w:r>
          </w:p>
        </w:tc>
        <w:tc>
          <w:tcPr>
            <w:tcW w:w="120" w:type="dxa"/>
            <w:vAlign w:val="bottom"/>
            <w:gridSpan w:val="3"/>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to Section 302 of the Sarbanes-Oxley Act of 2002.</w:t>
            </w:r>
          </w:p>
        </w:tc>
        <w:tc>
          <w:tcPr>
            <w:tcW w:w="1780" w:type="dxa"/>
            <w:vAlign w:val="bottom"/>
            <w:tcBorders>
              <w:top w:val="single" w:sz="8" w:color="0000FF"/>
            </w:tcBorders>
            <w:gridSpan w:val="6"/>
          </w:tcPr>
          <w:p>
            <w:pPr>
              <w:spacing w:after="0"/>
              <w:rPr>
                <w:sz w:val="13"/>
                <w:szCs w:val="13"/>
                <w:color w:val="auto"/>
              </w:rPr>
            </w:pPr>
          </w:p>
        </w:tc>
        <w:tc>
          <w:tcPr>
            <w:tcW w:w="140" w:type="dxa"/>
            <w:vAlign w:val="bottom"/>
            <w:gridSpan w:val="4"/>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55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w:t>
            </w: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532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240" w:type="dxa"/>
            <w:vAlign w:val="bottom"/>
            <w:gridSpan w:val="5"/>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3"/>
              </w:rPr>
              <w:t>2002.</w:t>
            </w:r>
          </w:p>
        </w:tc>
        <w:tc>
          <w:tcPr>
            <w:tcW w:w="29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ectPr>
          <w:pgSz w:w="11900" w:h="16838" w:orient="portrait"/>
          <w:cols w:equalWidth="0" w:num="1">
            <w:col w:w="11240"/>
          </w:cols>
          <w:pgMar w:left="320" w:top="1022"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18 U.S.C. Section</w:t>
      </w:r>
    </w:p>
    <w:p>
      <w:pPr>
        <w:spacing w:after="0" w:line="205" w:lineRule="auto"/>
        <w:rPr>
          <w:sz w:val="20"/>
          <w:szCs w:val="20"/>
          <w:color w:val="auto"/>
        </w:rPr>
      </w:pPr>
      <w:r>
        <w:rPr>
          <w:rFonts w:ascii="Times New Roman" w:cs="Times New Roman" w:eastAsia="Times New Roman" w:hAnsi="Times New Roman"/>
          <w:sz w:val="18"/>
          <w:szCs w:val="18"/>
          <w:u w:val="single" w:color="auto"/>
          <w:color w:val="0000FF"/>
        </w:rPr>
        <w:t>1350, as Adopted Pursuant to Section 906 of the Sarbanes-Oxley Act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2002.</w:t>
      </w:r>
    </w:p>
    <w:p>
      <w:pPr>
        <w:spacing w:after="0" w:line="138" w:lineRule="exact"/>
        <w:rPr>
          <w:sz w:val="20"/>
          <w:szCs w:val="20"/>
          <w:color w:val="auto"/>
        </w:rPr>
      </w:pPr>
    </w:p>
    <w:p>
      <w:pPr>
        <w:jc w:val="both"/>
        <w:ind w:right="4460"/>
        <w:spacing w:after="0" w:line="266"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 within the Inline XBRL document.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185" w:lineRule="exact"/>
        <w:rPr>
          <w:sz w:val="20"/>
          <w:szCs w:val="20"/>
          <w:color w:val="auto"/>
        </w:rPr>
      </w:pPr>
    </w:p>
    <w:p>
      <w:pPr>
        <w:jc w:val="both"/>
        <w:ind w:right="4460"/>
        <w:spacing w:after="0" w:line="282" w:lineRule="auto"/>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800" w:space="460"/>
            <w:col w:w="9980"/>
          </w:cols>
          <w:pgMar w:left="320" w:top="1022" w:right="339" w:bottom="1440" w:gutter="0" w:footer="0" w:header="0"/>
          <w:type w:val="continuous"/>
        </w:sectPr>
      </w:pPr>
    </w:p>
    <w:p>
      <w:pPr>
        <w:spacing w:after="0" w:line="164"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77" w:lineRule="exact"/>
        <w:rPr>
          <w:sz w:val="20"/>
          <w:szCs w:val="20"/>
          <w:color w:val="auto"/>
        </w:rPr>
      </w:pPr>
    </w:p>
    <w:p>
      <w:pPr>
        <w:ind w:left="440" w:hanging="432"/>
        <w:spacing w:after="0" w:line="305" w:lineRule="auto"/>
        <w:tabs>
          <w:tab w:leader="none" w:pos="28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exhibits are furnished with this Quarterly Report on Form 10-Q and are not deemed filed with the Securities and Exchange Commission and are not incorporated by reference in any filing of Bakkt Holdings, Inc. under the Securities Act of 1933, as amended, or the Securities Exchange Act of 1934, as amended, whether made before or after the date hereof and irrespective of any general incorporation language contained in such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543560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type w:val="continuous"/>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39" w:lineRule="exact"/>
        <w:rPr>
          <w:sz w:val="20"/>
          <w:szCs w:val="20"/>
          <w:color w:val="auto"/>
        </w:rPr>
      </w:pPr>
    </w:p>
    <w:p>
      <w:pPr>
        <w:ind w:left="20"/>
        <w:spacing w:after="0"/>
        <w:tabs>
          <w:tab w:leader="none" w:pos="5120" w:val="left"/>
          <w:tab w:leader="none" w:pos="7720" w:val="left"/>
        </w:tabs>
        <w:rPr>
          <w:sz w:val="20"/>
          <w:szCs w:val="20"/>
          <w:color w:val="auto"/>
        </w:rPr>
      </w:pPr>
      <w:r>
        <w:rPr>
          <w:rFonts w:ascii="Times New Roman" w:cs="Times New Roman" w:eastAsia="Times New Roman" w:hAnsi="Times New Roman"/>
          <w:sz w:val="18"/>
          <w:szCs w:val="18"/>
          <w:color w:val="auto"/>
        </w:rPr>
        <w:t>Date: August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17145</wp:posOffset>
            </wp:positionV>
            <wp:extent cx="36087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16"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Gavin Michael</w:t>
      </w:r>
    </w:p>
    <w:p>
      <w:pPr>
        <w:spacing w:after="0" w:line="25"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ind w:left="73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19" w:lineRule="exact"/>
        <w:rPr>
          <w:sz w:val="20"/>
          <w:szCs w:val="20"/>
          <w:color w:val="auto"/>
        </w:rPr>
      </w:pPr>
    </w:p>
    <w:p>
      <w:pPr>
        <w:ind w:left="20"/>
        <w:spacing w:after="0"/>
        <w:tabs>
          <w:tab w:leader="none" w:pos="5120" w:val="left"/>
          <w:tab w:leader="none" w:pos="7640" w:val="left"/>
        </w:tabs>
        <w:rPr>
          <w:sz w:val="20"/>
          <w:szCs w:val="20"/>
          <w:color w:val="auto"/>
        </w:rPr>
      </w:pPr>
      <w:r>
        <w:rPr>
          <w:rFonts w:ascii="Times New Roman" w:cs="Times New Roman" w:eastAsia="Times New Roman" w:hAnsi="Times New Roman"/>
          <w:sz w:val="18"/>
          <w:szCs w:val="18"/>
          <w:color w:val="auto"/>
        </w:rPr>
        <w:t>Date: August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17145</wp:posOffset>
            </wp:positionV>
            <wp:extent cx="36087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16"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Karen Alexander</w:t>
      </w:r>
    </w:p>
    <w:p>
      <w:pPr>
        <w:spacing w:after="0" w:line="25"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Chief Financial Officer and</w:t>
      </w:r>
    </w:p>
    <w:p>
      <w:pPr>
        <w:jc w:val="center"/>
        <w:ind w:left="5520"/>
        <w:spacing w:after="0" w:line="203" w:lineRule="auto"/>
        <w:rPr>
          <w:sz w:val="20"/>
          <w:szCs w:val="20"/>
          <w:color w:val="auto"/>
        </w:rPr>
      </w:pPr>
      <w:r>
        <w:rPr>
          <w:rFonts w:ascii="Times New Roman" w:cs="Times New Roman" w:eastAsia="Times New Roman" w:hAnsi="Times New Roman"/>
          <w:sz w:val="18"/>
          <w:szCs w:val="18"/>
          <w:color w:val="auto"/>
        </w:rPr>
        <w:t>Chief Accounting Officer</w:t>
      </w:r>
    </w:p>
    <w:p>
      <w:pPr>
        <w:jc w:val="center"/>
        <w:ind w:left="55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914" w:right="339" w:bottom="1440" w:gutter="0" w:footer="0" w:header="0"/>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BAKKT HOLDINGS, INC.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OUTSIDE DIRECTOR COMPENSATION PROGRAM</w:t>
      </w:r>
    </w:p>
    <w:p>
      <w:pPr>
        <w:sectPr>
          <w:pgSz w:w="11900" w:h="16838" w:orient="portrait"/>
          <w:cols w:equalWidth="0" w:num="1">
            <w:col w:w="9019"/>
          </w:cols>
          <w:pgMar w:left="1440" w:top="1440" w:right="144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97"/>
        </w:trPr>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0" w:type="dxa"/>
            <w:vAlign w:val="bottom"/>
          </w:tcPr>
          <w:p>
            <w:pPr>
              <w:ind w:left="3840"/>
              <w:spacing w:after="0"/>
              <w:rPr>
                <w:sz w:val="20"/>
                <w:szCs w:val="20"/>
                <w:color w:val="auto"/>
              </w:rPr>
            </w:pPr>
            <w:r>
              <w:rPr>
                <w:rFonts w:ascii="Arial" w:cs="Arial" w:eastAsia="Arial" w:hAnsi="Arial"/>
                <w:sz w:val="22"/>
                <w:szCs w:val="22"/>
                <w:b w:val="1"/>
                <w:bCs w:val="1"/>
                <w:color w:val="auto"/>
              </w:rPr>
              <w:t>Table of Contents</w:t>
            </w:r>
          </w:p>
        </w:tc>
        <w:tc>
          <w:tcPr>
            <w:tcW w:w="760" w:type="dxa"/>
            <w:vAlign w:val="bottom"/>
          </w:tcPr>
          <w:p>
            <w:pPr>
              <w:spacing w:after="0"/>
              <w:rPr>
                <w:sz w:val="24"/>
                <w:szCs w:val="24"/>
                <w:color w:val="auto"/>
              </w:rPr>
            </w:pPr>
          </w:p>
        </w:tc>
      </w:tr>
      <w:tr>
        <w:trPr>
          <w:trHeight w:val="366"/>
        </w:trPr>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Page(s)</w:t>
            </w:r>
          </w:p>
        </w:tc>
      </w:tr>
      <w:tr>
        <w:trPr>
          <w:trHeight w:val="505"/>
        </w:trPr>
        <w:tc>
          <w:tcPr>
            <w:tcW w:w="280" w:type="dxa"/>
            <w:vAlign w:val="bottom"/>
          </w:tcPr>
          <w:p>
            <w:pPr>
              <w:jc w:val="right"/>
              <w:spacing w:after="0"/>
              <w:rPr>
                <w:sz w:val="20"/>
                <w:szCs w:val="20"/>
                <w:color w:val="auto"/>
              </w:rPr>
            </w:pPr>
            <w:r>
              <w:rPr>
                <w:rFonts w:ascii="Arial" w:cs="Arial" w:eastAsia="Arial" w:hAnsi="Arial"/>
                <w:sz w:val="22"/>
                <w:szCs w:val="22"/>
                <w:color w:val="auto"/>
                <w:w w:val="86"/>
              </w:rPr>
              <w:t>1.</w:t>
            </w:r>
          </w:p>
        </w:tc>
        <w:tc>
          <w:tcPr>
            <w:tcW w:w="10120" w:type="dxa"/>
            <w:vAlign w:val="bottom"/>
            <w:gridSpan w:val="2"/>
          </w:tcPr>
          <w:p>
            <w:pPr>
              <w:ind w:left="140"/>
              <w:spacing w:after="0"/>
              <w:rPr>
                <w:sz w:val="20"/>
                <w:szCs w:val="20"/>
                <w:color w:val="auto"/>
              </w:rPr>
            </w:pPr>
            <w:r>
              <w:rPr>
                <w:rFonts w:ascii="Arial" w:cs="Arial" w:eastAsia="Arial" w:hAnsi="Arial"/>
                <w:sz w:val="22"/>
                <w:szCs w:val="22"/>
                <w:b w:val="1"/>
                <w:bCs w:val="1"/>
                <w:color w:val="auto"/>
              </w:rPr>
              <w:t>Effective Date</w:t>
            </w:r>
          </w:p>
        </w:tc>
        <w:tc>
          <w:tcPr>
            <w:tcW w:w="7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70"/>
        </w:trPr>
        <w:tc>
          <w:tcPr>
            <w:tcW w:w="280" w:type="dxa"/>
            <w:vAlign w:val="bottom"/>
          </w:tcPr>
          <w:p>
            <w:pPr>
              <w:jc w:val="right"/>
              <w:spacing w:after="0"/>
              <w:rPr>
                <w:sz w:val="20"/>
                <w:szCs w:val="20"/>
                <w:color w:val="auto"/>
              </w:rPr>
            </w:pPr>
            <w:r>
              <w:rPr>
                <w:rFonts w:ascii="Arial" w:cs="Arial" w:eastAsia="Arial" w:hAnsi="Arial"/>
                <w:sz w:val="22"/>
                <w:szCs w:val="22"/>
                <w:color w:val="auto"/>
                <w:w w:val="86"/>
              </w:rPr>
              <w:t>2.</w:t>
            </w:r>
          </w:p>
        </w:tc>
        <w:tc>
          <w:tcPr>
            <w:tcW w:w="10120" w:type="dxa"/>
            <w:vAlign w:val="bottom"/>
            <w:gridSpan w:val="2"/>
          </w:tcPr>
          <w:p>
            <w:pPr>
              <w:ind w:left="140"/>
              <w:spacing w:after="0"/>
              <w:rPr>
                <w:sz w:val="20"/>
                <w:szCs w:val="20"/>
                <w:color w:val="auto"/>
              </w:rPr>
            </w:pPr>
            <w:r>
              <w:rPr>
                <w:rFonts w:ascii="Arial" w:cs="Arial" w:eastAsia="Arial" w:hAnsi="Arial"/>
                <w:sz w:val="22"/>
                <w:szCs w:val="22"/>
                <w:b w:val="1"/>
                <w:bCs w:val="1"/>
                <w:color w:val="auto"/>
              </w:rPr>
              <w:t>Cash Compensation</w:t>
            </w:r>
          </w:p>
        </w:tc>
        <w:tc>
          <w:tcPr>
            <w:tcW w:w="7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70"/>
        </w:trPr>
        <w:tc>
          <w:tcPr>
            <w:tcW w:w="280" w:type="dxa"/>
            <w:vAlign w:val="bottom"/>
          </w:tcPr>
          <w:p>
            <w:pPr>
              <w:spacing w:after="0"/>
              <w:rPr>
                <w:sz w:val="23"/>
                <w:szCs w:val="23"/>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2.1</w:t>
            </w:r>
          </w:p>
        </w:tc>
        <w:tc>
          <w:tcPr>
            <w:tcW w:w="9600" w:type="dxa"/>
            <w:vAlign w:val="bottom"/>
          </w:tcPr>
          <w:p>
            <w:pPr>
              <w:ind w:left="120"/>
              <w:spacing w:after="0"/>
              <w:rPr>
                <w:sz w:val="20"/>
                <w:szCs w:val="20"/>
                <w:color w:val="auto"/>
              </w:rPr>
            </w:pPr>
            <w:r>
              <w:rPr>
                <w:rFonts w:ascii="Arial" w:cs="Arial" w:eastAsia="Arial" w:hAnsi="Arial"/>
                <w:sz w:val="22"/>
                <w:szCs w:val="22"/>
                <w:b w:val="1"/>
                <w:bCs w:val="1"/>
                <w:color w:val="auto"/>
              </w:rPr>
              <w:t>Board Member Annual Cash Retainer</w:t>
            </w:r>
          </w:p>
        </w:tc>
        <w:tc>
          <w:tcPr>
            <w:tcW w:w="7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70"/>
        </w:trPr>
        <w:tc>
          <w:tcPr>
            <w:tcW w:w="280" w:type="dxa"/>
            <w:vAlign w:val="bottom"/>
          </w:tcPr>
          <w:p>
            <w:pPr>
              <w:spacing w:after="0"/>
              <w:rPr>
                <w:sz w:val="23"/>
                <w:szCs w:val="23"/>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2.2</w:t>
            </w:r>
          </w:p>
        </w:tc>
        <w:tc>
          <w:tcPr>
            <w:tcW w:w="9600" w:type="dxa"/>
            <w:vAlign w:val="bottom"/>
          </w:tcPr>
          <w:p>
            <w:pPr>
              <w:ind w:left="120"/>
              <w:spacing w:after="0"/>
              <w:rPr>
                <w:sz w:val="20"/>
                <w:szCs w:val="20"/>
                <w:color w:val="auto"/>
              </w:rPr>
            </w:pPr>
            <w:r>
              <w:rPr>
                <w:rFonts w:ascii="Arial" w:cs="Arial" w:eastAsia="Arial" w:hAnsi="Arial"/>
                <w:sz w:val="22"/>
                <w:szCs w:val="22"/>
                <w:b w:val="1"/>
                <w:bCs w:val="1"/>
                <w:color w:val="auto"/>
              </w:rPr>
              <w:t>Additional Annual Cash Retainers</w:t>
            </w:r>
          </w:p>
        </w:tc>
        <w:tc>
          <w:tcPr>
            <w:tcW w:w="7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70"/>
        </w:trPr>
        <w:tc>
          <w:tcPr>
            <w:tcW w:w="280" w:type="dxa"/>
            <w:vAlign w:val="bottom"/>
          </w:tcPr>
          <w:p>
            <w:pPr>
              <w:spacing w:after="0"/>
              <w:rPr>
                <w:sz w:val="23"/>
                <w:szCs w:val="23"/>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2.3</w:t>
            </w:r>
          </w:p>
        </w:tc>
        <w:tc>
          <w:tcPr>
            <w:tcW w:w="9600" w:type="dxa"/>
            <w:vAlign w:val="bottom"/>
          </w:tcPr>
          <w:p>
            <w:pPr>
              <w:ind w:left="120"/>
              <w:spacing w:after="0"/>
              <w:rPr>
                <w:sz w:val="20"/>
                <w:szCs w:val="20"/>
                <w:color w:val="auto"/>
              </w:rPr>
            </w:pPr>
            <w:r>
              <w:rPr>
                <w:rFonts w:ascii="Arial" w:cs="Arial" w:eastAsia="Arial" w:hAnsi="Arial"/>
                <w:sz w:val="22"/>
                <w:szCs w:val="22"/>
                <w:b w:val="1"/>
                <w:bCs w:val="1"/>
                <w:color w:val="auto"/>
              </w:rPr>
              <w:t>Payment Timing and Proration</w:t>
            </w:r>
          </w:p>
        </w:tc>
        <w:tc>
          <w:tcPr>
            <w:tcW w:w="76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70"/>
        </w:trPr>
        <w:tc>
          <w:tcPr>
            <w:tcW w:w="280" w:type="dxa"/>
            <w:vAlign w:val="bottom"/>
          </w:tcPr>
          <w:p>
            <w:pPr>
              <w:spacing w:after="0"/>
              <w:rPr>
                <w:sz w:val="23"/>
                <w:szCs w:val="23"/>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2.4</w:t>
            </w:r>
          </w:p>
        </w:tc>
        <w:tc>
          <w:tcPr>
            <w:tcW w:w="9600" w:type="dxa"/>
            <w:vAlign w:val="bottom"/>
          </w:tcPr>
          <w:p>
            <w:pPr>
              <w:ind w:left="120"/>
              <w:spacing w:after="0"/>
              <w:rPr>
                <w:sz w:val="20"/>
                <w:szCs w:val="20"/>
                <w:color w:val="auto"/>
              </w:rPr>
            </w:pPr>
            <w:r>
              <w:rPr>
                <w:rFonts w:ascii="Arial" w:cs="Arial" w:eastAsia="Arial" w:hAnsi="Arial"/>
                <w:sz w:val="22"/>
                <w:szCs w:val="22"/>
                <w:b w:val="1"/>
                <w:bCs w:val="1"/>
                <w:color w:val="auto"/>
              </w:rPr>
              <w:t>Form of Payment</w:t>
            </w:r>
          </w:p>
        </w:tc>
        <w:tc>
          <w:tcPr>
            <w:tcW w:w="76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70"/>
        </w:trPr>
        <w:tc>
          <w:tcPr>
            <w:tcW w:w="280" w:type="dxa"/>
            <w:vAlign w:val="bottom"/>
          </w:tcPr>
          <w:p>
            <w:pPr>
              <w:jc w:val="right"/>
              <w:spacing w:after="0"/>
              <w:rPr>
                <w:sz w:val="20"/>
                <w:szCs w:val="20"/>
                <w:color w:val="auto"/>
              </w:rPr>
            </w:pPr>
            <w:r>
              <w:rPr>
                <w:rFonts w:ascii="Arial" w:cs="Arial" w:eastAsia="Arial" w:hAnsi="Arial"/>
                <w:sz w:val="22"/>
                <w:szCs w:val="22"/>
                <w:color w:val="auto"/>
                <w:w w:val="86"/>
              </w:rPr>
              <w:t>3.</w:t>
            </w:r>
          </w:p>
        </w:tc>
        <w:tc>
          <w:tcPr>
            <w:tcW w:w="10120" w:type="dxa"/>
            <w:vAlign w:val="bottom"/>
            <w:gridSpan w:val="2"/>
          </w:tcPr>
          <w:p>
            <w:pPr>
              <w:ind w:left="140"/>
              <w:spacing w:after="0"/>
              <w:rPr>
                <w:sz w:val="20"/>
                <w:szCs w:val="20"/>
                <w:color w:val="auto"/>
              </w:rPr>
            </w:pPr>
            <w:r>
              <w:rPr>
                <w:rFonts w:ascii="Arial" w:cs="Arial" w:eastAsia="Arial" w:hAnsi="Arial"/>
                <w:sz w:val="22"/>
                <w:szCs w:val="22"/>
                <w:b w:val="1"/>
                <w:bCs w:val="1"/>
                <w:color w:val="auto"/>
              </w:rPr>
              <w:t>Equity Compensation</w:t>
            </w:r>
          </w:p>
        </w:tc>
        <w:tc>
          <w:tcPr>
            <w:tcW w:w="76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70"/>
        </w:trPr>
        <w:tc>
          <w:tcPr>
            <w:tcW w:w="280" w:type="dxa"/>
            <w:vAlign w:val="bottom"/>
          </w:tcPr>
          <w:p>
            <w:pPr>
              <w:spacing w:after="0"/>
              <w:rPr>
                <w:sz w:val="23"/>
                <w:szCs w:val="23"/>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3.1</w:t>
            </w:r>
          </w:p>
        </w:tc>
        <w:tc>
          <w:tcPr>
            <w:tcW w:w="9600" w:type="dxa"/>
            <w:vAlign w:val="bottom"/>
          </w:tcPr>
          <w:p>
            <w:pPr>
              <w:ind w:left="120"/>
              <w:spacing w:after="0"/>
              <w:rPr>
                <w:sz w:val="20"/>
                <w:szCs w:val="20"/>
                <w:color w:val="auto"/>
              </w:rPr>
            </w:pPr>
            <w:r>
              <w:rPr>
                <w:rFonts w:ascii="Arial" w:cs="Arial" w:eastAsia="Arial" w:hAnsi="Arial"/>
                <w:sz w:val="22"/>
                <w:szCs w:val="22"/>
                <w:b w:val="1"/>
                <w:bCs w:val="1"/>
                <w:color w:val="auto"/>
              </w:rPr>
              <w:t>No Discretion</w:t>
            </w:r>
          </w:p>
        </w:tc>
        <w:tc>
          <w:tcPr>
            <w:tcW w:w="76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70"/>
        </w:trPr>
        <w:tc>
          <w:tcPr>
            <w:tcW w:w="280" w:type="dxa"/>
            <w:vAlign w:val="bottom"/>
          </w:tcPr>
          <w:p>
            <w:pPr>
              <w:spacing w:after="0"/>
              <w:rPr>
                <w:sz w:val="23"/>
                <w:szCs w:val="23"/>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3.2</w:t>
            </w:r>
          </w:p>
        </w:tc>
        <w:tc>
          <w:tcPr>
            <w:tcW w:w="9600" w:type="dxa"/>
            <w:vAlign w:val="bottom"/>
          </w:tcPr>
          <w:p>
            <w:pPr>
              <w:ind w:left="120"/>
              <w:spacing w:after="0"/>
              <w:rPr>
                <w:sz w:val="20"/>
                <w:szCs w:val="20"/>
                <w:color w:val="auto"/>
              </w:rPr>
            </w:pPr>
            <w:r>
              <w:rPr>
                <w:rFonts w:ascii="Arial" w:cs="Arial" w:eastAsia="Arial" w:hAnsi="Arial"/>
                <w:sz w:val="22"/>
                <w:szCs w:val="22"/>
                <w:b w:val="1"/>
                <w:bCs w:val="1"/>
                <w:color w:val="auto"/>
              </w:rPr>
              <w:t>Annual Award</w:t>
            </w:r>
          </w:p>
        </w:tc>
        <w:tc>
          <w:tcPr>
            <w:tcW w:w="76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70"/>
        </w:trPr>
        <w:tc>
          <w:tcPr>
            <w:tcW w:w="280" w:type="dxa"/>
            <w:vAlign w:val="bottom"/>
          </w:tcPr>
          <w:p>
            <w:pPr>
              <w:spacing w:after="0"/>
              <w:rPr>
                <w:sz w:val="23"/>
                <w:szCs w:val="23"/>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3.3</w:t>
            </w:r>
          </w:p>
        </w:tc>
        <w:tc>
          <w:tcPr>
            <w:tcW w:w="9600" w:type="dxa"/>
            <w:vAlign w:val="bottom"/>
          </w:tcPr>
          <w:p>
            <w:pPr>
              <w:ind w:left="120"/>
              <w:spacing w:after="0"/>
              <w:rPr>
                <w:sz w:val="20"/>
                <w:szCs w:val="20"/>
                <w:color w:val="auto"/>
              </w:rPr>
            </w:pPr>
            <w:r>
              <w:rPr>
                <w:rFonts w:ascii="Arial" w:cs="Arial" w:eastAsia="Arial" w:hAnsi="Arial"/>
                <w:sz w:val="22"/>
                <w:szCs w:val="22"/>
                <w:b w:val="1"/>
                <w:bCs w:val="1"/>
                <w:color w:val="auto"/>
              </w:rPr>
              <w:t>Additional Terms of Annual Awards</w:t>
            </w:r>
          </w:p>
        </w:tc>
        <w:tc>
          <w:tcPr>
            <w:tcW w:w="76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70"/>
        </w:trPr>
        <w:tc>
          <w:tcPr>
            <w:tcW w:w="280" w:type="dxa"/>
            <w:vAlign w:val="bottom"/>
          </w:tcPr>
          <w:p>
            <w:pPr>
              <w:jc w:val="right"/>
              <w:spacing w:after="0"/>
              <w:rPr>
                <w:sz w:val="20"/>
                <w:szCs w:val="20"/>
                <w:color w:val="auto"/>
              </w:rPr>
            </w:pPr>
            <w:r>
              <w:rPr>
                <w:rFonts w:ascii="Arial" w:cs="Arial" w:eastAsia="Arial" w:hAnsi="Arial"/>
                <w:sz w:val="22"/>
                <w:szCs w:val="22"/>
                <w:color w:val="auto"/>
                <w:w w:val="86"/>
              </w:rPr>
              <w:t>4.</w:t>
            </w:r>
          </w:p>
        </w:tc>
        <w:tc>
          <w:tcPr>
            <w:tcW w:w="10120" w:type="dxa"/>
            <w:vAlign w:val="bottom"/>
            <w:gridSpan w:val="2"/>
          </w:tcPr>
          <w:p>
            <w:pPr>
              <w:ind w:left="140"/>
              <w:spacing w:after="0"/>
              <w:rPr>
                <w:sz w:val="20"/>
                <w:szCs w:val="20"/>
                <w:color w:val="auto"/>
              </w:rPr>
            </w:pPr>
            <w:r>
              <w:rPr>
                <w:rFonts w:ascii="Arial" w:cs="Arial" w:eastAsia="Arial" w:hAnsi="Arial"/>
                <w:sz w:val="22"/>
                <w:szCs w:val="22"/>
                <w:b w:val="1"/>
                <w:bCs w:val="1"/>
                <w:color w:val="auto"/>
              </w:rPr>
              <w:t>Change in Control</w:t>
            </w:r>
          </w:p>
        </w:tc>
        <w:tc>
          <w:tcPr>
            <w:tcW w:w="76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70"/>
        </w:trPr>
        <w:tc>
          <w:tcPr>
            <w:tcW w:w="280" w:type="dxa"/>
            <w:vAlign w:val="bottom"/>
          </w:tcPr>
          <w:p>
            <w:pPr>
              <w:jc w:val="right"/>
              <w:spacing w:after="0"/>
              <w:rPr>
                <w:sz w:val="20"/>
                <w:szCs w:val="20"/>
                <w:color w:val="auto"/>
              </w:rPr>
            </w:pPr>
            <w:r>
              <w:rPr>
                <w:rFonts w:ascii="Arial" w:cs="Arial" w:eastAsia="Arial" w:hAnsi="Arial"/>
                <w:sz w:val="22"/>
                <w:szCs w:val="22"/>
                <w:color w:val="auto"/>
                <w:w w:val="86"/>
              </w:rPr>
              <w:t>5.</w:t>
            </w:r>
          </w:p>
        </w:tc>
        <w:tc>
          <w:tcPr>
            <w:tcW w:w="10120" w:type="dxa"/>
            <w:vAlign w:val="bottom"/>
            <w:gridSpan w:val="2"/>
          </w:tcPr>
          <w:p>
            <w:pPr>
              <w:ind w:left="140"/>
              <w:spacing w:after="0"/>
              <w:rPr>
                <w:sz w:val="20"/>
                <w:szCs w:val="20"/>
                <w:color w:val="auto"/>
              </w:rPr>
            </w:pPr>
            <w:r>
              <w:rPr>
                <w:rFonts w:ascii="Arial" w:cs="Arial" w:eastAsia="Arial" w:hAnsi="Arial"/>
                <w:sz w:val="22"/>
                <w:szCs w:val="22"/>
                <w:b w:val="1"/>
                <w:bCs w:val="1"/>
                <w:color w:val="auto"/>
              </w:rPr>
              <w:t>Annual Compensation Limit</w:t>
            </w:r>
          </w:p>
        </w:tc>
        <w:tc>
          <w:tcPr>
            <w:tcW w:w="76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70"/>
        </w:trPr>
        <w:tc>
          <w:tcPr>
            <w:tcW w:w="280" w:type="dxa"/>
            <w:vAlign w:val="bottom"/>
          </w:tcPr>
          <w:p>
            <w:pPr>
              <w:jc w:val="right"/>
              <w:spacing w:after="0"/>
              <w:rPr>
                <w:sz w:val="20"/>
                <w:szCs w:val="20"/>
                <w:color w:val="auto"/>
              </w:rPr>
            </w:pPr>
            <w:r>
              <w:rPr>
                <w:rFonts w:ascii="Arial" w:cs="Arial" w:eastAsia="Arial" w:hAnsi="Arial"/>
                <w:sz w:val="22"/>
                <w:szCs w:val="22"/>
                <w:color w:val="auto"/>
                <w:w w:val="86"/>
              </w:rPr>
              <w:t>6.</w:t>
            </w:r>
          </w:p>
        </w:tc>
        <w:tc>
          <w:tcPr>
            <w:tcW w:w="10120" w:type="dxa"/>
            <w:vAlign w:val="bottom"/>
            <w:gridSpan w:val="2"/>
          </w:tcPr>
          <w:p>
            <w:pPr>
              <w:ind w:left="140"/>
              <w:spacing w:after="0"/>
              <w:rPr>
                <w:sz w:val="20"/>
                <w:szCs w:val="20"/>
                <w:color w:val="auto"/>
              </w:rPr>
            </w:pPr>
            <w:r>
              <w:rPr>
                <w:rFonts w:ascii="Arial" w:cs="Arial" w:eastAsia="Arial" w:hAnsi="Arial"/>
                <w:sz w:val="22"/>
                <w:szCs w:val="22"/>
                <w:b w:val="1"/>
                <w:bCs w:val="1"/>
                <w:color w:val="auto"/>
              </w:rPr>
              <w:t>Travel Expenses</w:t>
            </w:r>
          </w:p>
        </w:tc>
        <w:tc>
          <w:tcPr>
            <w:tcW w:w="76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70"/>
        </w:trPr>
        <w:tc>
          <w:tcPr>
            <w:tcW w:w="280" w:type="dxa"/>
            <w:vAlign w:val="bottom"/>
          </w:tcPr>
          <w:p>
            <w:pPr>
              <w:jc w:val="right"/>
              <w:spacing w:after="0"/>
              <w:rPr>
                <w:sz w:val="20"/>
                <w:szCs w:val="20"/>
                <w:color w:val="auto"/>
              </w:rPr>
            </w:pPr>
            <w:r>
              <w:rPr>
                <w:rFonts w:ascii="Arial" w:cs="Arial" w:eastAsia="Arial" w:hAnsi="Arial"/>
                <w:sz w:val="22"/>
                <w:szCs w:val="22"/>
                <w:color w:val="auto"/>
                <w:w w:val="86"/>
              </w:rPr>
              <w:t>7.</w:t>
            </w:r>
          </w:p>
        </w:tc>
        <w:tc>
          <w:tcPr>
            <w:tcW w:w="10120" w:type="dxa"/>
            <w:vAlign w:val="bottom"/>
            <w:gridSpan w:val="2"/>
          </w:tcPr>
          <w:p>
            <w:pPr>
              <w:ind w:left="140"/>
              <w:spacing w:after="0"/>
              <w:rPr>
                <w:sz w:val="20"/>
                <w:szCs w:val="20"/>
                <w:color w:val="auto"/>
              </w:rPr>
            </w:pPr>
            <w:r>
              <w:rPr>
                <w:rFonts w:ascii="Arial" w:cs="Arial" w:eastAsia="Arial" w:hAnsi="Arial"/>
                <w:sz w:val="22"/>
                <w:szCs w:val="22"/>
                <w:b w:val="1"/>
                <w:bCs w:val="1"/>
                <w:color w:val="auto"/>
              </w:rPr>
              <w:t>Section 409A</w:t>
            </w:r>
          </w:p>
        </w:tc>
        <w:tc>
          <w:tcPr>
            <w:tcW w:w="76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280" w:type="dxa"/>
            <w:vAlign w:val="bottom"/>
          </w:tcPr>
          <w:p>
            <w:pPr>
              <w:jc w:val="right"/>
              <w:spacing w:after="0"/>
              <w:rPr>
                <w:sz w:val="20"/>
                <w:szCs w:val="20"/>
                <w:color w:val="auto"/>
              </w:rPr>
            </w:pPr>
            <w:r>
              <w:rPr>
                <w:rFonts w:ascii="Arial" w:cs="Arial" w:eastAsia="Arial" w:hAnsi="Arial"/>
                <w:sz w:val="22"/>
                <w:szCs w:val="22"/>
                <w:color w:val="auto"/>
                <w:w w:val="86"/>
              </w:rPr>
              <w:t>8.</w:t>
            </w:r>
          </w:p>
        </w:tc>
        <w:tc>
          <w:tcPr>
            <w:tcW w:w="10120" w:type="dxa"/>
            <w:vAlign w:val="bottom"/>
            <w:gridSpan w:val="2"/>
          </w:tcPr>
          <w:p>
            <w:pPr>
              <w:ind w:left="140"/>
              <w:spacing w:after="0"/>
              <w:rPr>
                <w:sz w:val="20"/>
                <w:szCs w:val="20"/>
                <w:color w:val="auto"/>
              </w:rPr>
            </w:pPr>
            <w:r>
              <w:rPr>
                <w:rFonts w:ascii="Arial" w:cs="Arial" w:eastAsia="Arial" w:hAnsi="Arial"/>
                <w:sz w:val="22"/>
                <w:szCs w:val="22"/>
                <w:b w:val="1"/>
                <w:bCs w:val="1"/>
                <w:color w:val="auto"/>
              </w:rPr>
              <w:t>Revisions</w:t>
            </w:r>
          </w:p>
        </w:tc>
        <w:tc>
          <w:tcPr>
            <w:tcW w:w="760" w:type="dxa"/>
            <w:vAlign w:val="bottom"/>
          </w:tcPr>
          <w:p>
            <w:pPr>
              <w:jc w:val="right"/>
              <w:spacing w:after="0"/>
              <w:rPr>
                <w:sz w:val="20"/>
                <w:szCs w:val="20"/>
                <w:color w:val="auto"/>
              </w:rPr>
            </w:pPr>
            <w:r>
              <w:rPr>
                <w:rFonts w:ascii="Arial" w:cs="Arial" w:eastAsia="Arial" w:hAnsi="Arial"/>
                <w:sz w:val="22"/>
                <w:szCs w:val="22"/>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160"/>
          </w:cols>
          <w:pgMar w:left="400" w:top="1394" w:right="339" w:bottom="1440" w:gutter="0" w:footer="0" w:header="0"/>
        </w:sectPr>
      </w:pPr>
    </w:p>
    <w:bookmarkStart w:id="60" w:name="page61"/>
    <w:bookmarkEnd w:id="60"/>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Version #</w:t>
            </w:r>
          </w:p>
        </w:tc>
        <w:tc>
          <w:tcPr>
            <w:tcW w:w="94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Date</w:t>
            </w:r>
          </w:p>
        </w:tc>
        <w:tc>
          <w:tcPr>
            <w:tcW w:w="184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Editor</w:t>
            </w:r>
          </w:p>
        </w:tc>
        <w:tc>
          <w:tcPr>
            <w:tcW w:w="29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Changes</w:t>
            </w:r>
          </w:p>
        </w:tc>
        <w:tc>
          <w:tcPr>
            <w:tcW w:w="202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Approver</w:t>
            </w:r>
          </w:p>
        </w:tc>
        <w:tc>
          <w:tcPr>
            <w:tcW w:w="20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Approval Date</w:t>
            </w:r>
          </w:p>
        </w:tc>
      </w:tr>
      <w:tr>
        <w:trPr>
          <w:trHeight w:val="209"/>
        </w:trPr>
        <w:tc>
          <w:tcPr>
            <w:tcW w:w="1460" w:type="dxa"/>
            <w:vAlign w:val="bottom"/>
            <w:tcBorders>
              <w:left w:val="single" w:sz="8" w:color="auto"/>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r>
      <w:tr>
        <w:trPr>
          <w:trHeight w:val="237"/>
        </w:trPr>
        <w:tc>
          <w:tcPr>
            <w:tcW w:w="1460" w:type="dxa"/>
            <w:vAlign w:val="bottom"/>
            <w:tcBorders>
              <w:left w:val="single" w:sz="8" w:color="auto"/>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1260"/>
          </w:cols>
          <w:pgMar w:left="320" w:top="1440" w:right="319" w:bottom="1440" w:gutter="0" w:footer="0" w:header="0"/>
        </w:sectPr>
      </w:pPr>
    </w:p>
    <w:bookmarkStart w:id="61" w:name="page62"/>
    <w:bookmarkEnd w:id="61"/>
    <w:p>
      <w:pPr>
        <w:jc w:val="center"/>
        <w:ind w:right="20"/>
        <w:spacing w:after="0"/>
        <w:rPr>
          <w:sz w:val="20"/>
          <w:szCs w:val="20"/>
          <w:color w:val="auto"/>
        </w:rPr>
      </w:pPr>
      <w:r>
        <w:rPr>
          <w:rFonts w:ascii="Arial" w:cs="Arial" w:eastAsia="Arial" w:hAnsi="Arial"/>
          <w:sz w:val="22"/>
          <w:szCs w:val="22"/>
          <w:b w:val="1"/>
          <w:bCs w:val="1"/>
          <w:color w:val="auto"/>
        </w:rPr>
        <w:t>BAKKT HOLDINGS, INC.</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OUTSIDE DIRECTOR COMPENSATION PROGRAM</w:t>
      </w:r>
    </w:p>
    <w:p>
      <w:pPr>
        <w:spacing w:after="0" w:line="195"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2"/>
          <w:szCs w:val="22"/>
          <w:color w:val="auto"/>
        </w:rPr>
        <w:t>The Company (as defined below) believes that the granting of equity and cash compensation to members of the Company’s Board of Directors (the “</w:t>
      </w:r>
      <w:r>
        <w:rPr>
          <w:rFonts w:ascii="Arial" w:cs="Arial" w:eastAsia="Arial" w:hAnsi="Arial"/>
          <w:sz w:val="22"/>
          <w:szCs w:val="22"/>
          <w:b w:val="1"/>
          <w:bCs w:val="1"/>
          <w:color w:val="auto"/>
        </w:rPr>
        <w:t>Board</w:t>
      </w:r>
      <w:r>
        <w:rPr>
          <w:rFonts w:ascii="Arial" w:cs="Arial" w:eastAsia="Arial" w:hAnsi="Arial"/>
          <w:sz w:val="22"/>
          <w:szCs w:val="22"/>
          <w:color w:val="auto"/>
        </w:rPr>
        <w:t>,” and members of the Board, “</w:t>
      </w:r>
      <w:r>
        <w:rPr>
          <w:rFonts w:ascii="Arial" w:cs="Arial" w:eastAsia="Arial" w:hAnsi="Arial"/>
          <w:sz w:val="22"/>
          <w:szCs w:val="22"/>
          <w:b w:val="1"/>
          <w:bCs w:val="1"/>
          <w:color w:val="auto"/>
        </w:rPr>
        <w:t>Directors</w:t>
      </w:r>
      <w:r>
        <w:rPr>
          <w:rFonts w:ascii="Arial" w:cs="Arial" w:eastAsia="Arial" w:hAnsi="Arial"/>
          <w:sz w:val="22"/>
          <w:szCs w:val="22"/>
          <w:color w:val="auto"/>
        </w:rPr>
        <w:t>”) represents an effective tool to attract, retain and reward Directors who are not employees of the Company (“</w:t>
      </w:r>
      <w:r>
        <w:rPr>
          <w:rFonts w:ascii="Arial" w:cs="Arial" w:eastAsia="Arial" w:hAnsi="Arial"/>
          <w:sz w:val="22"/>
          <w:szCs w:val="22"/>
          <w:b w:val="1"/>
          <w:bCs w:val="1"/>
          <w:color w:val="auto"/>
        </w:rPr>
        <w:t>Outside Directors</w:t>
      </w:r>
      <w:r>
        <w:rPr>
          <w:rFonts w:ascii="Arial" w:cs="Arial" w:eastAsia="Arial" w:hAnsi="Arial"/>
          <w:sz w:val="22"/>
          <w:szCs w:val="22"/>
          <w:color w:val="auto"/>
        </w:rPr>
        <w:t>”). This Outside Director Compensation Program (the “</w:t>
      </w:r>
      <w:r>
        <w:rPr>
          <w:rFonts w:ascii="Arial" w:cs="Arial" w:eastAsia="Arial" w:hAnsi="Arial"/>
          <w:sz w:val="22"/>
          <w:szCs w:val="22"/>
          <w:b w:val="1"/>
          <w:bCs w:val="1"/>
          <w:color w:val="auto"/>
        </w:rPr>
        <w:t>Program</w:t>
      </w:r>
      <w:r>
        <w:rPr>
          <w:rFonts w:ascii="Arial" w:cs="Arial" w:eastAsia="Arial" w:hAnsi="Arial"/>
          <w:sz w:val="22"/>
          <w:szCs w:val="22"/>
          <w:color w:val="auto"/>
        </w:rPr>
        <w:t>”) is intended to formalize the Company’s policy regarding cash compensation and grants of equity awards to its Outside Directors. Unless otherwise defined herein, capitalized terms used in this Program will have the meaning given such term in the Company’s 2021 Omnibus Incentive Plan, as amended from time to time, or if such plan no longer is in use at the time of the grant of an equity award, the meaning given such term or similar term in the equity plan then in place under which the equity award is granted (the “</w:t>
      </w:r>
      <w:r>
        <w:rPr>
          <w:rFonts w:ascii="Arial" w:cs="Arial" w:eastAsia="Arial" w:hAnsi="Arial"/>
          <w:sz w:val="22"/>
          <w:szCs w:val="22"/>
          <w:b w:val="1"/>
          <w:bCs w:val="1"/>
          <w:color w:val="auto"/>
        </w:rPr>
        <w:t>Plan</w:t>
      </w:r>
      <w:r>
        <w:rPr>
          <w:rFonts w:ascii="Arial" w:cs="Arial" w:eastAsia="Arial" w:hAnsi="Arial"/>
          <w:sz w:val="22"/>
          <w:szCs w:val="22"/>
          <w:color w:val="auto"/>
        </w:rPr>
        <w:t>”). Each Outside Director will be solely responsible for any tax obligations incurred by such Outside Director as a result of the equity awards and cash and other compensation such Outside Director receives under this Program. “</w:t>
      </w:r>
      <w:r>
        <w:rPr>
          <w:rFonts w:ascii="Arial" w:cs="Arial" w:eastAsia="Arial" w:hAnsi="Arial"/>
          <w:sz w:val="22"/>
          <w:szCs w:val="22"/>
          <w:b w:val="1"/>
          <w:bCs w:val="1"/>
          <w:color w:val="auto"/>
        </w:rPr>
        <w:t>Company</w:t>
      </w:r>
      <w:r>
        <w:rPr>
          <w:rFonts w:ascii="Arial" w:cs="Arial" w:eastAsia="Arial" w:hAnsi="Arial"/>
          <w:sz w:val="22"/>
          <w:szCs w:val="22"/>
          <w:color w:val="auto"/>
        </w:rPr>
        <w:t>” means Bakkt Holdings, LLC (which, on or following the Closing, will be Bakkt Holdings, Inc.), a Delaware corporation, or any successor thereto.</w:t>
      </w:r>
    </w:p>
    <w:p>
      <w:pPr>
        <w:spacing w:after="0" w:line="166" w:lineRule="exact"/>
        <w:rPr>
          <w:sz w:val="20"/>
          <w:szCs w:val="20"/>
          <w:color w:val="auto"/>
        </w:rPr>
      </w:pPr>
    </w:p>
    <w:p>
      <w:pPr>
        <w:jc w:val="both"/>
        <w:ind w:right="20" w:firstLine="656"/>
        <w:spacing w:after="0" w:line="255" w:lineRule="auto"/>
        <w:tabs>
          <w:tab w:leader="none" w:pos="1287" w:val="left"/>
        </w:tabs>
        <w:numPr>
          <w:ilvl w:val="0"/>
          <w:numId w:val="33"/>
        </w:numPr>
        <w:rPr>
          <w:rFonts w:ascii="Arial" w:cs="Arial" w:eastAsia="Arial" w:hAnsi="Arial"/>
          <w:sz w:val="21"/>
          <w:szCs w:val="21"/>
          <w:color w:val="auto"/>
        </w:rPr>
      </w:pPr>
      <w:r>
        <w:rPr>
          <w:rFonts w:ascii="Arial" w:cs="Arial" w:eastAsia="Arial" w:hAnsi="Arial"/>
          <w:sz w:val="21"/>
          <w:szCs w:val="21"/>
          <w:b w:val="1"/>
          <w:bCs w:val="1"/>
          <w:color w:val="auto"/>
        </w:rPr>
        <w:t>Effective Date</w:t>
      </w:r>
      <w:r>
        <w:rPr>
          <w:rFonts w:ascii="Arial" w:cs="Arial" w:eastAsia="Arial" w:hAnsi="Arial"/>
          <w:sz w:val="21"/>
          <w:szCs w:val="21"/>
          <w:color w:val="auto"/>
        </w:rPr>
        <w:t>. This Program will be effective as of the day immediately prior to the date of the closing</w:t>
      </w:r>
      <w:r>
        <w:rPr>
          <w:rFonts w:ascii="Arial" w:cs="Arial" w:eastAsia="Arial" w:hAnsi="Arial"/>
          <w:sz w:val="21"/>
          <w:szCs w:val="21"/>
          <w:b w:val="1"/>
          <w:bCs w:val="1"/>
          <w:color w:val="auto"/>
        </w:rPr>
        <w:t xml:space="preserve"> </w:t>
      </w:r>
      <w:r>
        <w:rPr>
          <w:rFonts w:ascii="Arial" w:cs="Arial" w:eastAsia="Arial" w:hAnsi="Arial"/>
          <w:sz w:val="21"/>
          <w:szCs w:val="21"/>
          <w:color w:val="auto"/>
        </w:rPr>
        <w:t>of the merger contemplated by that certain Agreement and Plan of Merger by and among the Company, VPC Impact Acquisition Holdings, a Cayman Islands exempted company, and certain other parties, dated January 11, 2021, as amended from time to time (such closing, the “</w:t>
      </w:r>
      <w:r>
        <w:rPr>
          <w:rFonts w:ascii="Arial" w:cs="Arial" w:eastAsia="Arial" w:hAnsi="Arial"/>
          <w:sz w:val="21"/>
          <w:szCs w:val="21"/>
          <w:b w:val="1"/>
          <w:bCs w:val="1"/>
          <w:color w:val="auto"/>
        </w:rPr>
        <w:t>Closing</w:t>
      </w:r>
      <w:r>
        <w:rPr>
          <w:rFonts w:ascii="Arial" w:cs="Arial" w:eastAsia="Arial" w:hAnsi="Arial"/>
          <w:sz w:val="21"/>
          <w:szCs w:val="21"/>
          <w:color w:val="auto"/>
        </w:rPr>
        <w:t>,” and the effective date of this Program, the “</w:t>
      </w:r>
      <w:r>
        <w:rPr>
          <w:rFonts w:ascii="Arial" w:cs="Arial" w:eastAsia="Arial" w:hAnsi="Arial"/>
          <w:sz w:val="21"/>
          <w:szCs w:val="21"/>
          <w:b w:val="1"/>
          <w:bCs w:val="1"/>
          <w:color w:val="auto"/>
        </w:rPr>
        <w:t>Effective Date</w:t>
      </w:r>
      <w:r>
        <w:rPr>
          <w:rFonts w:ascii="Arial" w:cs="Arial" w:eastAsia="Arial" w:hAnsi="Arial"/>
          <w:sz w:val="21"/>
          <w:szCs w:val="21"/>
          <w:color w:val="auto"/>
        </w:rPr>
        <w:t>”).</w:t>
      </w:r>
    </w:p>
    <w:p>
      <w:pPr>
        <w:spacing w:after="0" w:line="148" w:lineRule="exact"/>
        <w:rPr>
          <w:rFonts w:ascii="Arial" w:cs="Arial" w:eastAsia="Arial" w:hAnsi="Arial"/>
          <w:sz w:val="21"/>
          <w:szCs w:val="21"/>
          <w:color w:val="auto"/>
        </w:rPr>
      </w:pPr>
    </w:p>
    <w:p>
      <w:pPr>
        <w:ind w:left="1300" w:hanging="644"/>
        <w:spacing w:after="0"/>
        <w:tabs>
          <w:tab w:leader="none" w:pos="1300"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Cash Compensation</w:t>
      </w:r>
      <w:r>
        <w:rPr>
          <w:rFonts w:ascii="Arial" w:cs="Arial" w:eastAsia="Arial" w:hAnsi="Arial"/>
          <w:sz w:val="22"/>
          <w:szCs w:val="22"/>
          <w:color w:val="auto"/>
        </w:rPr>
        <w:t>.</w:t>
      </w:r>
    </w:p>
    <w:p>
      <w:pPr>
        <w:spacing w:after="0" w:line="193" w:lineRule="exact"/>
        <w:rPr>
          <w:sz w:val="20"/>
          <w:szCs w:val="20"/>
          <w:color w:val="auto"/>
        </w:rPr>
      </w:pPr>
    </w:p>
    <w:p>
      <w:pPr>
        <w:jc w:val="both"/>
        <w:ind w:right="20" w:firstLine="1296"/>
        <w:spacing w:after="0" w:line="239"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b w:val="1"/>
          <w:bCs w:val="1"/>
          <w:color w:val="auto"/>
        </w:rPr>
        <w:t>Board Member Annual Cash Retainer</w:t>
      </w:r>
      <w:r>
        <w:rPr>
          <w:rFonts w:ascii="Arial" w:cs="Arial" w:eastAsia="Arial" w:hAnsi="Arial"/>
          <w:sz w:val="22"/>
          <w:szCs w:val="22"/>
          <w:color w:val="auto"/>
        </w:rPr>
        <w:t>. Following the Effective Date, each Outside Director will be paid an annual cash retainer of $50,000. There are no per-meeting attendance fees for attending Board meetings or meetings of any committee of the Board.</w:t>
      </w:r>
    </w:p>
    <w:p>
      <w:pPr>
        <w:spacing w:after="0" w:line="176" w:lineRule="exact"/>
        <w:rPr>
          <w:sz w:val="20"/>
          <w:szCs w:val="20"/>
          <w:color w:val="auto"/>
        </w:rPr>
      </w:pPr>
    </w:p>
    <w:p>
      <w:pPr>
        <w:jc w:val="both"/>
        <w:ind w:right="20" w:firstLine="1296"/>
        <w:spacing w:after="0" w:line="239"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b w:val="1"/>
          <w:bCs w:val="1"/>
          <w:color w:val="auto"/>
        </w:rPr>
        <w:t>Additional Annual Cash Retainers</w:t>
      </w:r>
      <w:r>
        <w:rPr>
          <w:rFonts w:ascii="Arial" w:cs="Arial" w:eastAsia="Arial" w:hAnsi="Arial"/>
          <w:sz w:val="22"/>
          <w:szCs w:val="22"/>
          <w:color w:val="auto"/>
        </w:rPr>
        <w:t xml:space="preserve"> . Following the Effective Date, each Outside Director who serves as the Chair of the Board or chair or a member of a committee of the Board, will be eligible to earn additional annual fees as follows:</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70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Non-Executive Chair of the Board:</w:t>
            </w:r>
          </w:p>
        </w:tc>
        <w:tc>
          <w:tcPr>
            <w:tcW w:w="41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$100,000</w:t>
            </w:r>
          </w:p>
        </w:tc>
      </w:tr>
      <w:tr>
        <w:trPr>
          <w:trHeight w:val="264"/>
        </w:trPr>
        <w:tc>
          <w:tcPr>
            <w:tcW w:w="7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Audit Committee Chair:</w:t>
            </w:r>
          </w:p>
        </w:tc>
        <w:tc>
          <w:tcPr>
            <w:tcW w:w="4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$25,000</w:t>
            </w:r>
          </w:p>
        </w:tc>
      </w:tr>
      <w:tr>
        <w:trPr>
          <w:trHeight w:val="263"/>
        </w:trPr>
        <w:tc>
          <w:tcPr>
            <w:tcW w:w="7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Audit Committee Member:</w:t>
            </w:r>
          </w:p>
        </w:tc>
        <w:tc>
          <w:tcPr>
            <w:tcW w:w="4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$10,000</w:t>
            </w:r>
          </w:p>
        </w:tc>
      </w:tr>
      <w:tr>
        <w:trPr>
          <w:trHeight w:val="263"/>
        </w:trPr>
        <w:tc>
          <w:tcPr>
            <w:tcW w:w="7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Compensation Committee Chair:</w:t>
            </w:r>
          </w:p>
        </w:tc>
        <w:tc>
          <w:tcPr>
            <w:tcW w:w="4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$20,000</w:t>
            </w:r>
          </w:p>
        </w:tc>
      </w:tr>
      <w:tr>
        <w:trPr>
          <w:trHeight w:val="264"/>
        </w:trPr>
        <w:tc>
          <w:tcPr>
            <w:tcW w:w="7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Compensation Committee Member:</w:t>
            </w:r>
          </w:p>
        </w:tc>
        <w:tc>
          <w:tcPr>
            <w:tcW w:w="4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$7,500</w:t>
            </w:r>
          </w:p>
        </w:tc>
      </w:tr>
      <w:tr>
        <w:trPr>
          <w:trHeight w:val="263"/>
        </w:trPr>
        <w:tc>
          <w:tcPr>
            <w:tcW w:w="7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Corporate Governance and Nominating Committee Chair:</w:t>
            </w:r>
          </w:p>
        </w:tc>
        <w:tc>
          <w:tcPr>
            <w:tcW w:w="4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$12,000</w:t>
            </w:r>
          </w:p>
        </w:tc>
      </w:tr>
      <w:tr>
        <w:trPr>
          <w:trHeight w:val="263"/>
        </w:trPr>
        <w:tc>
          <w:tcPr>
            <w:tcW w:w="7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Corporate Governance and Nominating Committee Member:</w:t>
            </w:r>
          </w:p>
        </w:tc>
        <w:tc>
          <w:tcPr>
            <w:tcW w:w="4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$5,000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60"/>
          </w:cols>
          <w:pgMar w:left="320" w:top="1394" w:right="319" w:bottom="1440" w:gutter="0" w:footer="0" w:header="0"/>
        </w:sectPr>
      </w:pPr>
    </w:p>
    <w:bookmarkStart w:id="62" w:name="page63"/>
    <w:bookmarkEnd w:id="62"/>
    <w:p>
      <w:pPr>
        <w:spacing w:after="0" w:line="18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For clarity, each Outside Director who serves as the chair of a committee will receive only the additional annual fee as the chair of the committee and not the additional annual fee as a member of such committee while serving as such chair, provided, that the Outside Director who serves as the Chair of the Board will receive the annual fee for services provided in such role as well as the annual fee as an Outside Director.</w:t>
      </w:r>
    </w:p>
    <w:p>
      <w:pPr>
        <w:spacing w:after="0" w:line="164"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b w:val="1"/>
          <w:bCs w:val="1"/>
          <w:color w:val="auto"/>
        </w:rPr>
        <w:t>Payment Timing and Proration</w:t>
      </w:r>
      <w:r>
        <w:rPr>
          <w:rFonts w:ascii="Arial" w:cs="Arial" w:eastAsia="Arial" w:hAnsi="Arial"/>
          <w:sz w:val="22"/>
          <w:szCs w:val="22"/>
          <w:color w:val="auto"/>
        </w:rPr>
        <w:t>. Each annual cash retainer under this Program will be paid quarterly in arrears on a prorated basis to each Outside Director who has served in the relevant capacity at any time during the immediately preceding fiscal quarter of the Company (“</w:t>
      </w:r>
      <w:r>
        <w:rPr>
          <w:rFonts w:ascii="Arial" w:cs="Arial" w:eastAsia="Arial" w:hAnsi="Arial"/>
          <w:sz w:val="22"/>
          <w:szCs w:val="22"/>
          <w:b w:val="1"/>
          <w:bCs w:val="1"/>
          <w:color w:val="auto"/>
        </w:rPr>
        <w:t>Fiscal Quarter</w:t>
      </w:r>
      <w:r>
        <w:rPr>
          <w:rFonts w:ascii="Arial" w:cs="Arial" w:eastAsia="Arial" w:hAnsi="Arial"/>
          <w:sz w:val="22"/>
          <w:szCs w:val="22"/>
          <w:color w:val="auto"/>
        </w:rPr>
        <w:t>”), and such payment will be made no later than 30 days following the end of such immediately preceding Fiscal Quarter. An Outside Director who has served as an Outside Director, as a member of an applicable committee (or chair thereof), or as Chair of the Board during only a portion of the relevant Fiscal Quarter will receive a prorated payment of the quarterly installment of the applicable annual cash retainer(s), calculated based on the number of days during such Fiscal Quarter such Outside Director has served in the relevant capacities. An Outside Director who has served as an Outside Director, as a member of an applicable committee (or chair thereof), or as Chair of the Board the Effective Date through the end of the Fiscal Quarter containing the Effective Date (the “</w:t>
      </w:r>
      <w:r>
        <w:rPr>
          <w:rFonts w:ascii="Arial" w:cs="Arial" w:eastAsia="Arial" w:hAnsi="Arial"/>
          <w:sz w:val="22"/>
          <w:szCs w:val="22"/>
          <w:b w:val="1"/>
          <w:bCs w:val="1"/>
          <w:color w:val="auto"/>
        </w:rPr>
        <w:t>Initial Period</w:t>
      </w:r>
      <w:r>
        <w:rPr>
          <w:rFonts w:ascii="Arial" w:cs="Arial" w:eastAsia="Arial" w:hAnsi="Arial"/>
          <w:sz w:val="22"/>
          <w:szCs w:val="22"/>
          <w:color w:val="auto"/>
        </w:rPr>
        <w:t>”), as applicable, will receive a prorated payment of the quarterly installment of the applicable annual cash retainer(s), calculated based on the number of days during the Initial Period that such Outside Director has served in the relevant capacities.</w:t>
      </w:r>
    </w:p>
    <w:p>
      <w:pPr>
        <w:spacing w:after="0" w:line="18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b w:val="1"/>
          <w:bCs w:val="1"/>
          <w:color w:val="auto"/>
        </w:rPr>
        <w:t>Form of Payment</w:t>
      </w:r>
      <w:r>
        <w:rPr>
          <w:rFonts w:ascii="Arial" w:cs="Arial" w:eastAsia="Arial" w:hAnsi="Arial"/>
          <w:sz w:val="22"/>
          <w:szCs w:val="22"/>
          <w:color w:val="auto"/>
        </w:rPr>
        <w:t>. The Company may allow Outside Directors to elect to receive all or a portion of the cash retainers in the form of restricted stock unit awards issued under the Plan.</w:t>
      </w:r>
    </w:p>
    <w:p>
      <w:pPr>
        <w:spacing w:after="0" w:line="166" w:lineRule="exact"/>
        <w:rPr>
          <w:sz w:val="20"/>
          <w:szCs w:val="20"/>
          <w:color w:val="auto"/>
        </w:rPr>
      </w:pPr>
    </w:p>
    <w:p>
      <w:pPr>
        <w:jc w:val="both"/>
        <w:ind w:firstLine="656"/>
        <w:spacing w:after="0" w:line="234" w:lineRule="auto"/>
        <w:tabs>
          <w:tab w:leader="none" w:pos="1287" w:val="left"/>
        </w:tabs>
        <w:numPr>
          <w:ilvl w:val="0"/>
          <w:numId w:val="34"/>
        </w:numPr>
        <w:rPr>
          <w:rFonts w:ascii="Arial" w:cs="Arial" w:eastAsia="Arial" w:hAnsi="Arial"/>
          <w:sz w:val="22"/>
          <w:szCs w:val="22"/>
          <w:color w:val="auto"/>
        </w:rPr>
      </w:pPr>
      <w:r>
        <w:rPr>
          <w:rFonts w:ascii="Arial" w:cs="Arial" w:eastAsia="Arial" w:hAnsi="Arial"/>
          <w:sz w:val="22"/>
          <w:szCs w:val="22"/>
          <w:b w:val="1"/>
          <w:bCs w:val="1"/>
          <w:color w:val="auto"/>
        </w:rPr>
        <w:t>Equity Compensation</w:t>
      </w:r>
      <w:r>
        <w:rPr>
          <w:rFonts w:ascii="Arial" w:cs="Arial" w:eastAsia="Arial" w:hAnsi="Arial"/>
          <w:sz w:val="22"/>
          <w:szCs w:val="22"/>
          <w:color w:val="auto"/>
        </w:rPr>
        <w:t>. Outside Directors will be eligible to receive all types of Awards (except</w:t>
      </w:r>
      <w:r>
        <w:rPr>
          <w:rFonts w:ascii="Arial" w:cs="Arial" w:eastAsia="Arial" w:hAnsi="Arial"/>
          <w:sz w:val="22"/>
          <w:szCs w:val="22"/>
          <w:b w:val="1"/>
          <w:bCs w:val="1"/>
          <w:color w:val="auto"/>
        </w:rPr>
        <w:t xml:space="preserve"> </w:t>
      </w:r>
      <w:r>
        <w:rPr>
          <w:rFonts w:ascii="Arial" w:cs="Arial" w:eastAsia="Arial" w:hAnsi="Arial"/>
          <w:sz w:val="22"/>
          <w:szCs w:val="22"/>
          <w:color w:val="auto"/>
        </w:rPr>
        <w:t>Incentive Stock Options) under the Plan, including discretionary Awards not covered under this Program. All grants of Awards to Outside Directors pursuant to Section 3.2 of this Program will be automatic and nondiscretionary, except as otherwise provided herein, and will be made in accordance with the following provisions:</w:t>
      </w:r>
    </w:p>
    <w:p>
      <w:pPr>
        <w:spacing w:after="0" w:line="174"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b w:val="1"/>
          <w:bCs w:val="1"/>
          <w:color w:val="auto"/>
        </w:rPr>
        <w:t>No Discretion</w:t>
      </w:r>
      <w:r>
        <w:rPr>
          <w:rFonts w:ascii="Arial" w:cs="Arial" w:eastAsia="Arial" w:hAnsi="Arial"/>
          <w:sz w:val="22"/>
          <w:szCs w:val="22"/>
          <w:color w:val="auto"/>
        </w:rPr>
        <w:t>. No person will have any discretion to select which Outside Directors will be granted Awards under this Program or to determine the number of Shares to be covered by such Awards (except as provided in Sections 3.2 and 8 below).</w:t>
      </w:r>
    </w:p>
    <w:p>
      <w:pPr>
        <w:spacing w:after="0" w:line="176"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b w:val="1"/>
          <w:bCs w:val="1"/>
          <w:color w:val="auto"/>
        </w:rPr>
        <w:t>Annual Award</w:t>
      </w:r>
      <w:r>
        <w:rPr>
          <w:rFonts w:ascii="Arial" w:cs="Arial" w:eastAsia="Arial" w:hAnsi="Arial"/>
          <w:sz w:val="22"/>
          <w:szCs w:val="22"/>
          <w:color w:val="auto"/>
        </w:rPr>
        <w:t>. Each Outside Director who is servicing on the Board as of the date of the Annual Meeting of the Company’s stockholders (an “</w:t>
      </w:r>
      <w:r>
        <w:rPr>
          <w:rFonts w:ascii="Arial" w:cs="Arial" w:eastAsia="Arial" w:hAnsi="Arial"/>
          <w:sz w:val="22"/>
          <w:szCs w:val="22"/>
          <w:b w:val="1"/>
          <w:bCs w:val="1"/>
          <w:color w:val="auto"/>
        </w:rPr>
        <w:t>Annual Meeting</w:t>
      </w:r>
      <w:r>
        <w:rPr>
          <w:rFonts w:ascii="Arial" w:cs="Arial" w:eastAsia="Arial" w:hAnsi="Arial"/>
          <w:sz w:val="22"/>
          <w:szCs w:val="22"/>
          <w:color w:val="auto"/>
        </w:rPr>
        <w:t>”) that occurs after the Effective Date, will be granted an award of Restricted Stock Units (the “</w:t>
      </w:r>
      <w:r>
        <w:rPr>
          <w:rFonts w:ascii="Arial" w:cs="Arial" w:eastAsia="Arial" w:hAnsi="Arial"/>
          <w:sz w:val="22"/>
          <w:szCs w:val="22"/>
          <w:b w:val="1"/>
          <w:bCs w:val="1"/>
          <w:color w:val="auto"/>
        </w:rPr>
        <w:t>Annual Award</w:t>
      </w:r>
      <w:r>
        <w:rPr>
          <w:rFonts w:ascii="Arial" w:cs="Arial" w:eastAsia="Arial" w:hAnsi="Arial"/>
          <w:sz w:val="22"/>
          <w:szCs w:val="22"/>
          <w:color w:val="auto"/>
        </w:rPr>
        <w:t>”) that will have a value $200,000. Each Annual Award shall be granted on the date of the Annual Meeting (or the first and shall cover a number of shares of Company common stock (rounded to the nearest whole Share) equal to $200,000 divided by the closing price of the Company’s common stock on the grant date. The Annual Award will be scheduled to vest on the one-year anniversary of the grant date, subject to the Outside Director remaining a Service Provider through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63" w:name="page64"/>
    <w:bookmarkEnd w:id="63"/>
    <w:p>
      <w:pPr>
        <w:jc w:val="both"/>
        <w:ind w:firstLine="1296"/>
        <w:spacing w:after="0" w:line="232"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b w:val="1"/>
          <w:bCs w:val="1"/>
          <w:color w:val="auto"/>
        </w:rPr>
        <w:t>Additional Terms of Annual Awards</w:t>
      </w:r>
      <w:r>
        <w:rPr>
          <w:rFonts w:ascii="Arial" w:cs="Arial" w:eastAsia="Arial" w:hAnsi="Arial"/>
          <w:sz w:val="22"/>
          <w:szCs w:val="22"/>
          <w:color w:val="auto"/>
        </w:rPr>
        <w:t>. The terms and conditions of each Annual Award will be as follows. Each Annual Award will be granted under and subject to the terms and conditions of the Plan and the applicable form of Award Agreement previously approved by the Board or its Committee (as defined below), as applicable, for use thereunder. The Board or its Committee, as applicable and in its discretion, may change and otherwise revise the terms of Annual Awards to be granted in the future pursuant to this Program, including without limitation the number of Shares subject thereto and type of Award.</w:t>
      </w:r>
    </w:p>
    <w:p>
      <w:pPr>
        <w:spacing w:after="0" w:line="180" w:lineRule="exact"/>
        <w:rPr>
          <w:sz w:val="20"/>
          <w:szCs w:val="20"/>
          <w:color w:val="auto"/>
        </w:rPr>
      </w:pPr>
    </w:p>
    <w:p>
      <w:pPr>
        <w:jc w:val="both"/>
        <w:ind w:firstLine="656"/>
        <w:spacing w:after="0" w:line="232" w:lineRule="auto"/>
        <w:tabs>
          <w:tab w:leader="none" w:pos="1287"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Change in Control</w:t>
      </w:r>
      <w:r>
        <w:rPr>
          <w:rFonts w:ascii="Arial" w:cs="Arial" w:eastAsia="Arial" w:hAnsi="Arial"/>
          <w:sz w:val="22"/>
          <w:szCs w:val="22"/>
          <w:color w:val="auto"/>
        </w:rPr>
        <w:t>. In the event of a Change in Control, each Outside Director will fully vest in and</w:t>
      </w:r>
      <w:r>
        <w:rPr>
          <w:rFonts w:ascii="Arial" w:cs="Arial" w:eastAsia="Arial" w:hAnsi="Arial"/>
          <w:sz w:val="22"/>
          <w:szCs w:val="22"/>
          <w:b w:val="1"/>
          <w:bCs w:val="1"/>
          <w:color w:val="auto"/>
        </w:rPr>
        <w:t xml:space="preserve"> </w:t>
      </w:r>
      <w:r>
        <w:rPr>
          <w:rFonts w:ascii="Arial" w:cs="Arial" w:eastAsia="Arial" w:hAnsi="Arial"/>
          <w:sz w:val="22"/>
          <w:szCs w:val="22"/>
          <w:color w:val="auto"/>
        </w:rPr>
        <w:t>have the right to exercise his or her outstanding equity awards and, with respect to equity awards with performance-based vesting, all performance goals or other vesting criteria will be deemed achieved at 100% of target levels and all other terms and conditions met, unless specifically provided otherwise under the applicable award agreement or other written agreement between the Outside Director and the Company or any of its Parents or Subsidiaries, as applicable, that is authorized by the Administrator.</w:t>
      </w:r>
    </w:p>
    <w:p>
      <w:pPr>
        <w:spacing w:after="0" w:line="166" w:lineRule="exact"/>
        <w:rPr>
          <w:rFonts w:ascii="Arial" w:cs="Arial" w:eastAsia="Arial" w:hAnsi="Arial"/>
          <w:sz w:val="22"/>
          <w:szCs w:val="22"/>
          <w:color w:val="auto"/>
        </w:rPr>
      </w:pPr>
    </w:p>
    <w:p>
      <w:pPr>
        <w:jc w:val="both"/>
        <w:ind w:firstLine="656"/>
        <w:spacing w:after="0" w:line="239" w:lineRule="auto"/>
        <w:tabs>
          <w:tab w:leader="none" w:pos="1287"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Annual Compensation Limit</w:t>
      </w:r>
      <w:r>
        <w:rPr>
          <w:rFonts w:ascii="Arial" w:cs="Arial" w:eastAsia="Arial" w:hAnsi="Arial"/>
          <w:sz w:val="22"/>
          <w:szCs w:val="22"/>
          <w:color w:val="auto"/>
        </w:rPr>
        <w:t>. Notwithstanding anything to the contrary in this Program, all</w:t>
      </w:r>
      <w:r>
        <w:rPr>
          <w:rFonts w:ascii="Arial" w:cs="Arial" w:eastAsia="Arial" w:hAnsi="Arial"/>
          <w:sz w:val="22"/>
          <w:szCs w:val="22"/>
          <w:b w:val="1"/>
          <w:bCs w:val="1"/>
          <w:color w:val="auto"/>
        </w:rPr>
        <w:t xml:space="preserve"> </w:t>
      </w:r>
      <w:r>
        <w:rPr>
          <w:rFonts w:ascii="Arial" w:cs="Arial" w:eastAsia="Arial" w:hAnsi="Arial"/>
          <w:sz w:val="22"/>
          <w:szCs w:val="22"/>
          <w:color w:val="auto"/>
        </w:rPr>
        <w:t>compensation payable under this Program will be subject to any limits on the maximum amount of non-employee director compensation as set forth in the Plan, as in effect from time to time.</w:t>
      </w:r>
    </w:p>
    <w:p>
      <w:pPr>
        <w:spacing w:after="0" w:line="175" w:lineRule="exact"/>
        <w:rPr>
          <w:rFonts w:ascii="Arial" w:cs="Arial" w:eastAsia="Arial" w:hAnsi="Arial"/>
          <w:sz w:val="22"/>
          <w:szCs w:val="22"/>
          <w:color w:val="auto"/>
        </w:rPr>
      </w:pPr>
    </w:p>
    <w:p>
      <w:pPr>
        <w:ind w:firstLine="656"/>
        <w:spacing w:after="0" w:line="261" w:lineRule="auto"/>
        <w:tabs>
          <w:tab w:leader="none" w:pos="1287"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Travel Expenses</w:t>
      </w:r>
      <w:r>
        <w:rPr>
          <w:rFonts w:ascii="Arial" w:cs="Arial" w:eastAsia="Arial" w:hAnsi="Arial"/>
          <w:sz w:val="22"/>
          <w:szCs w:val="22"/>
          <w:color w:val="auto"/>
        </w:rPr>
        <w:t>. Each Outside Director’s reasonable, customary and properly documented travel</w:t>
      </w:r>
      <w:r>
        <w:rPr>
          <w:rFonts w:ascii="Arial" w:cs="Arial" w:eastAsia="Arial" w:hAnsi="Arial"/>
          <w:sz w:val="22"/>
          <w:szCs w:val="22"/>
          <w:b w:val="1"/>
          <w:bCs w:val="1"/>
          <w:color w:val="auto"/>
        </w:rPr>
        <w:t xml:space="preserve"> </w:t>
      </w:r>
      <w:r>
        <w:rPr>
          <w:rFonts w:ascii="Arial" w:cs="Arial" w:eastAsia="Arial" w:hAnsi="Arial"/>
          <w:sz w:val="22"/>
          <w:szCs w:val="22"/>
          <w:color w:val="auto"/>
        </w:rPr>
        <w:t>expenses to meetings of the Board and any of its committees, as applicable, will be reimbursed by the Company.</w:t>
      </w:r>
    </w:p>
    <w:p>
      <w:pPr>
        <w:spacing w:after="0" w:line="138" w:lineRule="exact"/>
        <w:rPr>
          <w:rFonts w:ascii="Arial" w:cs="Arial" w:eastAsia="Arial" w:hAnsi="Arial"/>
          <w:sz w:val="22"/>
          <w:szCs w:val="22"/>
          <w:color w:val="auto"/>
        </w:rPr>
      </w:pPr>
    </w:p>
    <w:p>
      <w:pPr>
        <w:jc w:val="both"/>
        <w:ind w:firstLine="656"/>
        <w:spacing w:after="0" w:line="229" w:lineRule="auto"/>
        <w:tabs>
          <w:tab w:leader="none" w:pos="1287"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Section 409A</w:t>
      </w:r>
      <w:r>
        <w:rPr>
          <w:rFonts w:ascii="Arial" w:cs="Arial" w:eastAsia="Arial" w:hAnsi="Arial"/>
          <w:sz w:val="22"/>
          <w:szCs w:val="22"/>
          <w:color w:val="auto"/>
        </w:rPr>
        <w:t>. In no event will cash compensation or expense reimbursement payments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Program be paid after the later of (a) the 15th day of the 3rd month following the end of the Company’s taxable year in which the compensation is earned or expenses are incurred, as applicable, or (b) the 15th day of the 3rd month following the end of the calendar year in which the compensation is earned or expenses are incurred, as applicable, in compliance with the “short-term deferral” exception under Section 409A. It is the intent of this Program that this Program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or any of its Parents or Subsidiaries have any responsibility, liability, or obligation to reimburse, indemnify, or hold harmless an Outside Director (or any other person) for any taxes imposed, or other costs incurred, as a result of Section 409A.</w:t>
      </w:r>
    </w:p>
    <w:p>
      <w:pPr>
        <w:spacing w:after="0" w:line="179" w:lineRule="exact"/>
        <w:rPr>
          <w:rFonts w:ascii="Arial" w:cs="Arial" w:eastAsia="Arial" w:hAnsi="Arial"/>
          <w:sz w:val="22"/>
          <w:szCs w:val="22"/>
          <w:color w:val="auto"/>
        </w:rPr>
      </w:pPr>
    </w:p>
    <w:p>
      <w:pPr>
        <w:jc w:val="both"/>
        <w:ind w:firstLine="656"/>
        <w:spacing w:after="0" w:line="232" w:lineRule="auto"/>
        <w:tabs>
          <w:tab w:leader="none" w:pos="1287"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Revisions</w:t>
      </w:r>
      <w:r>
        <w:rPr>
          <w:rFonts w:ascii="Arial" w:cs="Arial" w:eastAsia="Arial" w:hAnsi="Arial"/>
          <w:sz w:val="22"/>
          <w:szCs w:val="22"/>
          <w:color w:val="auto"/>
        </w:rPr>
        <w:t>. The Board or any committee of the Board that has been designated appropriate authority</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Outside Director compensation (or with respect to any applicable element or elements thereof, authority with respect to such element or elements) (the “</w:t>
      </w:r>
      <w:r>
        <w:rPr>
          <w:rFonts w:ascii="Arial" w:cs="Arial" w:eastAsia="Arial" w:hAnsi="Arial"/>
          <w:sz w:val="22"/>
          <w:szCs w:val="22"/>
          <w:b w:val="1"/>
          <w:bCs w:val="1"/>
          <w:color w:val="auto"/>
        </w:rPr>
        <w:t>Committee</w:t>
      </w:r>
      <w:r>
        <w:rPr>
          <w:rFonts w:ascii="Arial" w:cs="Arial" w:eastAsia="Arial" w:hAnsi="Arial"/>
          <w:sz w:val="22"/>
          <w:szCs w:val="22"/>
          <w:color w:val="auto"/>
        </w:rPr>
        <w:t>”) may amend, alter, suspend or terminate this Program at any time and for any reason. Further, the Board may provide for cash, equity, or other compensation to Outside Directors in addition to the compensation provided under this Program. No amendment, alteration, suspension or termination of this Program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7" w:right="339" w:bottom="1440" w:gutter="0" w:footer="0" w:header="0"/>
        </w:sectPr>
      </w:pPr>
    </w:p>
    <w:bookmarkStart w:id="64" w:name="page65"/>
    <w:bookmarkEnd w:id="64"/>
    <w:p>
      <w:pPr>
        <w:jc w:val="both"/>
        <w:spacing w:after="0" w:line="233" w:lineRule="auto"/>
        <w:rPr>
          <w:sz w:val="20"/>
          <w:szCs w:val="20"/>
          <w:color w:val="auto"/>
        </w:rPr>
      </w:pPr>
      <w:r>
        <w:rPr>
          <w:rFonts w:ascii="Arial" w:cs="Arial" w:eastAsia="Arial" w:hAnsi="Arial"/>
          <w:sz w:val="22"/>
          <w:szCs w:val="22"/>
          <w:color w:val="auto"/>
        </w:rPr>
        <w:t>materially impair the rights of an Outside Director with respect to compensation that already has been paid or awarded, unless otherwise mutually agreed between the Outside Director and the Company. Termination of this Program will not affect the Board’s or the Committee’s ability to exercise the powers granted to it with respect to Awards granted under the Plan pursuant to this Program before the date of such termination, including without limitation such applicable powers set forth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9"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Gavin Michael, certify that:</w:t>
      </w:r>
    </w:p>
    <w:p>
      <w:pPr>
        <w:spacing w:after="0" w:line="77" w:lineRule="exact"/>
        <w:rPr>
          <w:sz w:val="20"/>
          <w:szCs w:val="20"/>
          <w:color w:val="auto"/>
        </w:rPr>
      </w:pPr>
    </w:p>
    <w:p>
      <w:pPr>
        <w:ind w:left="440" w:hanging="432"/>
        <w:spacing w:after="0"/>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Bakkt Holdings, Inc.;</w:t>
      </w:r>
    </w:p>
    <w:p>
      <w:pPr>
        <w:spacing w:after="0" w:line="76" w:lineRule="exact"/>
        <w:rPr>
          <w:rFonts w:ascii="Times New Roman" w:cs="Times New Roman" w:eastAsia="Times New Roman" w:hAnsi="Times New Roman"/>
          <w:sz w:val="18"/>
          <w:szCs w:val="18"/>
          <w:color w:val="auto"/>
        </w:rPr>
      </w:pPr>
    </w:p>
    <w:p>
      <w:pPr>
        <w:jc w:val="both"/>
        <w:ind w:left="440" w:right="340" w:hanging="432"/>
        <w:spacing w:after="0" w:line="231" w:lineRule="auto"/>
        <w:tabs>
          <w:tab w:leader="none" w:pos="43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Times New Roman" w:cs="Times New Roman" w:eastAsia="Times New Roman" w:hAnsi="Times New Roman"/>
          <w:sz w:val="18"/>
          <w:szCs w:val="18"/>
          <w:color w:val="auto"/>
        </w:rPr>
      </w:pPr>
    </w:p>
    <w:p>
      <w:pPr>
        <w:ind w:left="440" w:right="300" w:hanging="432"/>
        <w:spacing w:after="0" w:line="250" w:lineRule="auto"/>
        <w:tabs>
          <w:tab w:leader="none" w:pos="43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8"/>
          <w:szCs w:val="18"/>
          <w:color w:val="auto"/>
        </w:rPr>
      </w:pPr>
    </w:p>
    <w:p>
      <w:pPr>
        <w:ind w:left="440" w:right="320" w:hanging="432"/>
        <w:spacing w:after="0" w:line="231" w:lineRule="auto"/>
        <w:tabs>
          <w:tab w:leader="none" w:pos="43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0" w:lineRule="exact"/>
        <w:rPr>
          <w:rFonts w:ascii="Times New Roman" w:cs="Times New Roman" w:eastAsia="Times New Roman" w:hAnsi="Times New Roman"/>
          <w:sz w:val="18"/>
          <w:szCs w:val="18"/>
          <w:color w:val="auto"/>
        </w:rPr>
      </w:pPr>
    </w:p>
    <w:p>
      <w:pPr>
        <w:jc w:val="both"/>
        <w:ind w:left="900" w:right="200" w:hanging="451"/>
        <w:spacing w:after="0" w:line="231" w:lineRule="auto"/>
        <w:tabs>
          <w:tab w:leader="none" w:pos="83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8"/>
          <w:szCs w:val="18"/>
          <w:color w:val="auto"/>
        </w:rPr>
      </w:pPr>
    </w:p>
    <w:p>
      <w:pPr>
        <w:ind w:left="900" w:right="460" w:hanging="451"/>
        <w:spacing w:after="0" w:line="231" w:lineRule="auto"/>
        <w:tabs>
          <w:tab w:leader="none" w:pos="84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ind w:left="900" w:right="620" w:hanging="451"/>
        <w:spacing w:after="0" w:line="263" w:lineRule="auto"/>
        <w:tabs>
          <w:tab w:leader="none" w:pos="839"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Times New Roman" w:cs="Times New Roman" w:eastAsia="Times New Roman" w:hAnsi="Times New Roman"/>
          <w:sz w:val="17"/>
          <w:szCs w:val="17"/>
          <w:color w:val="auto"/>
        </w:rPr>
      </w:pPr>
    </w:p>
    <w:p>
      <w:pPr>
        <w:ind w:left="900" w:right="220" w:hanging="451"/>
        <w:spacing w:after="0" w:line="226" w:lineRule="auto"/>
        <w:tabs>
          <w:tab w:leader="none" w:pos="84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8"/>
          <w:szCs w:val="18"/>
          <w:color w:val="auto"/>
        </w:rPr>
      </w:pPr>
    </w:p>
    <w:p>
      <w:pPr>
        <w:ind w:left="440" w:right="40" w:hanging="432"/>
        <w:spacing w:after="0" w:line="237" w:lineRule="auto"/>
        <w:tabs>
          <w:tab w:leader="none" w:pos="43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left="900" w:right="120" w:hanging="451"/>
        <w:spacing w:after="0" w:line="250" w:lineRule="auto"/>
        <w:tabs>
          <w:tab w:leader="none" w:pos="82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8"/>
          <w:szCs w:val="18"/>
          <w:color w:val="auto"/>
        </w:rPr>
      </w:pPr>
    </w:p>
    <w:p>
      <w:pPr>
        <w:ind w:left="900" w:right="80" w:hanging="451"/>
        <w:spacing w:after="0" w:line="237" w:lineRule="auto"/>
        <w:tabs>
          <w:tab w:leader="none" w:pos="83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1" w:lineRule="exact"/>
        <w:rPr>
          <w:sz w:val="20"/>
          <w:szCs w:val="20"/>
          <w:color w:val="auto"/>
        </w:rPr>
      </w:pPr>
    </w:p>
    <w:p>
      <w:pPr>
        <w:ind w:left="20"/>
        <w:spacing w:after="0"/>
        <w:tabs>
          <w:tab w:leader="none" w:pos="5200" w:val="left"/>
          <w:tab w:leader="none" w:pos="7800" w:val="left"/>
        </w:tabs>
        <w:rPr>
          <w:sz w:val="20"/>
          <w:szCs w:val="20"/>
          <w:color w:val="auto"/>
        </w:rPr>
      </w:pPr>
      <w:r>
        <w:rPr>
          <w:rFonts w:ascii="Times New Roman" w:cs="Times New Roman" w:eastAsia="Times New Roman" w:hAnsi="Times New Roman"/>
          <w:sz w:val="16"/>
          <w:szCs w:val="16"/>
          <w:color w:val="auto"/>
        </w:rPr>
        <w:t>Date: August 11, 2022</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37465</wp:posOffset>
            </wp:positionV>
            <wp:extent cx="35833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66"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6"/>
          <w:szCs w:val="16"/>
          <w:color w:val="auto"/>
        </w:rPr>
        <w:t>Gavin Michael</w:t>
      </w:r>
    </w:p>
    <w:p>
      <w:pPr>
        <w:spacing w:after="0" w:line="55"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6"/>
          <w:szCs w:val="16"/>
          <w:color w:val="auto"/>
        </w:rPr>
        <w:t>Chief Executive Officer</w:t>
      </w:r>
    </w:p>
    <w:p>
      <w:pPr>
        <w:ind w:left="746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40"/>
          </w:cols>
          <w:pgMar w:left="320" w:top="1400"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Alexander, certify that:</w:t>
      </w:r>
    </w:p>
    <w:p>
      <w:pPr>
        <w:spacing w:after="0" w:line="77" w:lineRule="exact"/>
        <w:rPr>
          <w:sz w:val="20"/>
          <w:szCs w:val="20"/>
          <w:color w:val="auto"/>
        </w:rPr>
      </w:pPr>
    </w:p>
    <w:p>
      <w:pPr>
        <w:ind w:left="440" w:hanging="432"/>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Bakkt Holdings, Inc.;</w:t>
      </w:r>
    </w:p>
    <w:p>
      <w:pPr>
        <w:spacing w:after="0" w:line="76" w:lineRule="exact"/>
        <w:rPr>
          <w:rFonts w:ascii="Times New Roman" w:cs="Times New Roman" w:eastAsia="Times New Roman" w:hAnsi="Times New Roman"/>
          <w:sz w:val="18"/>
          <w:szCs w:val="18"/>
          <w:color w:val="auto"/>
        </w:rPr>
      </w:pPr>
    </w:p>
    <w:p>
      <w:pPr>
        <w:jc w:val="both"/>
        <w:ind w:left="440" w:right="340" w:hanging="432"/>
        <w:spacing w:after="0" w:line="231" w:lineRule="auto"/>
        <w:tabs>
          <w:tab w:leader="none" w:pos="43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Times New Roman" w:cs="Times New Roman" w:eastAsia="Times New Roman" w:hAnsi="Times New Roman"/>
          <w:sz w:val="18"/>
          <w:szCs w:val="18"/>
          <w:color w:val="auto"/>
        </w:rPr>
      </w:pPr>
    </w:p>
    <w:p>
      <w:pPr>
        <w:ind w:left="440" w:right="300" w:hanging="432"/>
        <w:spacing w:after="0" w:line="250" w:lineRule="auto"/>
        <w:tabs>
          <w:tab w:leader="none" w:pos="43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8"/>
          <w:szCs w:val="18"/>
          <w:color w:val="auto"/>
        </w:rPr>
      </w:pPr>
    </w:p>
    <w:p>
      <w:pPr>
        <w:ind w:left="440" w:right="320" w:hanging="432"/>
        <w:spacing w:after="0" w:line="231" w:lineRule="auto"/>
        <w:tabs>
          <w:tab w:leader="none" w:pos="43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0" w:lineRule="exact"/>
        <w:rPr>
          <w:rFonts w:ascii="Times New Roman" w:cs="Times New Roman" w:eastAsia="Times New Roman" w:hAnsi="Times New Roman"/>
          <w:sz w:val="18"/>
          <w:szCs w:val="18"/>
          <w:color w:val="auto"/>
        </w:rPr>
      </w:pPr>
    </w:p>
    <w:p>
      <w:pPr>
        <w:jc w:val="both"/>
        <w:ind w:left="900" w:right="200" w:hanging="451"/>
        <w:spacing w:after="0" w:line="231" w:lineRule="auto"/>
        <w:tabs>
          <w:tab w:leader="none" w:pos="83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8"/>
          <w:szCs w:val="18"/>
          <w:color w:val="auto"/>
        </w:rPr>
      </w:pPr>
    </w:p>
    <w:p>
      <w:pPr>
        <w:ind w:left="900" w:right="460" w:hanging="451"/>
        <w:spacing w:after="0" w:line="231" w:lineRule="auto"/>
        <w:tabs>
          <w:tab w:leader="none" w:pos="84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ind w:left="900" w:right="620" w:hanging="451"/>
        <w:spacing w:after="0" w:line="263" w:lineRule="auto"/>
        <w:tabs>
          <w:tab w:leader="none" w:pos="839"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Times New Roman" w:cs="Times New Roman" w:eastAsia="Times New Roman" w:hAnsi="Times New Roman"/>
          <w:sz w:val="17"/>
          <w:szCs w:val="17"/>
          <w:color w:val="auto"/>
        </w:rPr>
      </w:pPr>
    </w:p>
    <w:p>
      <w:pPr>
        <w:ind w:left="900" w:right="220" w:hanging="451"/>
        <w:spacing w:after="0" w:line="226" w:lineRule="auto"/>
        <w:tabs>
          <w:tab w:leader="none" w:pos="84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8"/>
          <w:szCs w:val="18"/>
          <w:color w:val="auto"/>
        </w:rPr>
      </w:pPr>
    </w:p>
    <w:p>
      <w:pPr>
        <w:ind w:left="440" w:right="40" w:hanging="432"/>
        <w:spacing w:after="0" w:line="237" w:lineRule="auto"/>
        <w:tabs>
          <w:tab w:leader="none" w:pos="43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left="900" w:right="120" w:hanging="451"/>
        <w:spacing w:after="0" w:line="250" w:lineRule="auto"/>
        <w:tabs>
          <w:tab w:leader="none" w:pos="82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8"/>
          <w:szCs w:val="18"/>
          <w:color w:val="auto"/>
        </w:rPr>
      </w:pPr>
    </w:p>
    <w:p>
      <w:pPr>
        <w:ind w:left="900" w:right="80" w:hanging="451"/>
        <w:spacing w:after="0" w:line="237" w:lineRule="auto"/>
        <w:tabs>
          <w:tab w:leader="none" w:pos="83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1" w:lineRule="exact"/>
        <w:rPr>
          <w:sz w:val="20"/>
          <w:szCs w:val="20"/>
          <w:color w:val="auto"/>
        </w:rPr>
      </w:pPr>
    </w:p>
    <w:p>
      <w:pPr>
        <w:ind w:left="20"/>
        <w:spacing w:after="0"/>
        <w:tabs>
          <w:tab w:leader="none" w:pos="5200" w:val="left"/>
          <w:tab w:leader="none" w:pos="7740" w:val="left"/>
        </w:tabs>
        <w:rPr>
          <w:sz w:val="20"/>
          <w:szCs w:val="20"/>
          <w:color w:val="auto"/>
        </w:rPr>
      </w:pPr>
      <w:r>
        <w:rPr>
          <w:rFonts w:ascii="Times New Roman" w:cs="Times New Roman" w:eastAsia="Times New Roman" w:hAnsi="Times New Roman"/>
          <w:sz w:val="16"/>
          <w:szCs w:val="16"/>
          <w:color w:val="auto"/>
        </w:rPr>
        <w:t>Date: August 11, 2022</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37465</wp:posOffset>
            </wp:positionV>
            <wp:extent cx="35833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66"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6"/>
          <w:szCs w:val="16"/>
          <w:color w:val="auto"/>
        </w:rPr>
        <w:t>Karen Alexander</w:t>
      </w:r>
    </w:p>
    <w:p>
      <w:pPr>
        <w:spacing w:after="0" w:line="55"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6"/>
          <w:szCs w:val="16"/>
          <w:color w:val="auto"/>
        </w:rPr>
        <w:t>Chief Financial Officer and Chief Accounting Officer</w:t>
      </w:r>
    </w:p>
    <w:p>
      <w:pPr>
        <w:ind w:left="7480"/>
        <w:spacing w:after="0"/>
        <w:rPr>
          <w:sz w:val="20"/>
          <w:szCs w:val="20"/>
          <w:color w:val="auto"/>
        </w:rPr>
      </w:pPr>
      <w:r>
        <w:rPr>
          <w:rFonts w:ascii="Times New Roman" w:cs="Times New Roman" w:eastAsia="Times New Roman" w:hAnsi="Times New Roman"/>
          <w:sz w:val="16"/>
          <w:szCs w:val="16"/>
          <w:color w:val="auto"/>
        </w:rPr>
        <w:t>(Principal Financial Officer)</w:t>
      </w:r>
    </w:p>
    <w:p>
      <w:pPr>
        <w:sectPr>
          <w:pgSz w:w="11900" w:h="16838" w:orient="portrait"/>
          <w:cols w:equalWidth="0" w:num="1">
            <w:col w:w="11240"/>
          </w:cols>
          <w:pgMar w:left="320" w:top="1400"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40"/>
        <w:spacing w:after="0" w:line="210"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5" w:lineRule="exact"/>
        <w:rPr>
          <w:sz w:val="20"/>
          <w:szCs w:val="20"/>
          <w:color w:val="auto"/>
        </w:rPr>
      </w:pPr>
    </w:p>
    <w:p>
      <w:pPr>
        <w:ind w:right="80" w:firstLine="441"/>
        <w:spacing w:after="0" w:line="236" w:lineRule="auto"/>
        <w:rPr>
          <w:sz w:val="20"/>
          <w:szCs w:val="20"/>
          <w:color w:val="auto"/>
        </w:rPr>
      </w:pPr>
      <w:r>
        <w:rPr>
          <w:rFonts w:ascii="Times New Roman" w:cs="Times New Roman" w:eastAsia="Times New Roman" w:hAnsi="Times New Roman"/>
          <w:sz w:val="17"/>
          <w:szCs w:val="17"/>
          <w:color w:val="auto"/>
        </w:rPr>
        <w:t>In connection with the Quarterly Report of Bakkt Holdings, Inc. (the “Company”) on Form 10-Q for the period ending June 30, 2022 as filed with the Securities and Exchange Commission on the date hereof (the “Report”), I, Gavin Michael, certify, pursuant to 18 U.S.C. § 1350, as adopted pursuant to</w:t>
      </w:r>
    </w:p>
    <w:p>
      <w:pPr>
        <w:ind w:left="140" w:hanging="132"/>
        <w:spacing w:after="0"/>
        <w:tabs>
          <w:tab w:leader="none" w:pos="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906 of the Sarbanes-Oxley Act of 2002, that:</w:t>
      </w:r>
    </w:p>
    <w:p>
      <w:pPr>
        <w:spacing w:after="0" w:line="164" w:lineRule="exact"/>
        <w:rPr>
          <w:rFonts w:ascii="Times New Roman" w:cs="Times New Roman" w:eastAsia="Times New Roman" w:hAnsi="Times New Roman"/>
          <w:sz w:val="18"/>
          <w:szCs w:val="18"/>
          <w:color w:val="auto"/>
        </w:rPr>
      </w:pPr>
    </w:p>
    <w:p>
      <w:pPr>
        <w:ind w:left="840" w:hanging="391"/>
        <w:spacing w:after="0"/>
        <w:tabs>
          <w:tab w:leader="none" w:pos="8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840" w:hanging="391"/>
        <w:spacing w:after="0"/>
        <w:tabs>
          <w:tab w:leader="none" w:pos="8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79" w:lineRule="exact"/>
        <w:rPr>
          <w:sz w:val="20"/>
          <w:szCs w:val="20"/>
          <w:color w:val="auto"/>
        </w:rPr>
      </w:pPr>
    </w:p>
    <w:p>
      <w:pPr>
        <w:ind w:left="20"/>
        <w:spacing w:after="0"/>
        <w:tabs>
          <w:tab w:leader="none" w:pos="5620" w:val="left"/>
          <w:tab w:leader="none" w:pos="7980" w:val="left"/>
        </w:tabs>
        <w:rPr>
          <w:sz w:val="20"/>
          <w:szCs w:val="20"/>
          <w:color w:val="auto"/>
        </w:rPr>
      </w:pPr>
      <w:r>
        <w:rPr>
          <w:rFonts w:ascii="Times New Roman" w:cs="Times New Roman" w:eastAsia="Times New Roman" w:hAnsi="Times New Roman"/>
          <w:sz w:val="18"/>
          <w:szCs w:val="18"/>
          <w:color w:val="auto"/>
        </w:rPr>
        <w:t>Date: August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43180</wp:posOffset>
            </wp:positionV>
            <wp:extent cx="32918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70"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Gavin Michael</w:t>
      </w:r>
    </w:p>
    <w:p>
      <w:pPr>
        <w:spacing w:after="0" w:line="52"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Chief Executive Officer</w:t>
      </w:r>
    </w:p>
    <w:p>
      <w:pPr>
        <w:ind w:left="75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00"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40"/>
        <w:spacing w:after="0" w:line="210"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Quarterly Report of Bakkt Holdings, Inc. (the “Company”) on Form 10-Q for the period ending June 30, 2022 as filed with</w:t>
      </w:r>
    </w:p>
    <w:p>
      <w:pPr>
        <w:spacing w:after="0" w:line="2"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the Securities and Exchange Commission on the date hereof (the “Report”), I, Karen Alexander, certify, pursuant to 18 U.S.C. § 1350, as adopted pursuant to § 906 of the Sarbanes-Oxley Act of 2002, that:</w:t>
      </w:r>
    </w:p>
    <w:p>
      <w:pPr>
        <w:spacing w:after="0" w:line="157" w:lineRule="exact"/>
        <w:rPr>
          <w:sz w:val="20"/>
          <w:szCs w:val="20"/>
          <w:color w:val="auto"/>
        </w:rPr>
      </w:pPr>
    </w:p>
    <w:p>
      <w:pPr>
        <w:ind w:left="840" w:hanging="391"/>
        <w:spacing w:after="0"/>
        <w:tabs>
          <w:tab w:leader="none" w:pos="8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840" w:hanging="391"/>
        <w:spacing w:after="0"/>
        <w:tabs>
          <w:tab w:leader="none" w:pos="8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79" w:lineRule="exact"/>
        <w:rPr>
          <w:sz w:val="20"/>
          <w:szCs w:val="20"/>
          <w:color w:val="auto"/>
        </w:rPr>
      </w:pPr>
    </w:p>
    <w:p>
      <w:pPr>
        <w:ind w:left="20"/>
        <w:spacing w:after="0"/>
        <w:tabs>
          <w:tab w:leader="none" w:pos="5500" w:val="left"/>
          <w:tab w:leader="none" w:pos="7840" w:val="left"/>
        </w:tabs>
        <w:rPr>
          <w:sz w:val="20"/>
          <w:szCs w:val="20"/>
          <w:color w:val="auto"/>
        </w:rPr>
      </w:pPr>
      <w:r>
        <w:rPr>
          <w:rFonts w:ascii="Times New Roman" w:cs="Times New Roman" w:eastAsia="Times New Roman" w:hAnsi="Times New Roman"/>
          <w:sz w:val="18"/>
          <w:szCs w:val="18"/>
          <w:color w:val="auto"/>
        </w:rPr>
        <w:t>Date: August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43180</wp:posOffset>
            </wp:positionV>
            <wp:extent cx="336867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70"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Karen Alexander</w:t>
      </w:r>
    </w:p>
    <w:p>
      <w:pPr>
        <w:spacing w:after="0" w:line="7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Chief Financial Officer and Chief Accounting Officer</w:t>
      </w:r>
    </w:p>
    <w:p>
      <w:pPr>
        <w:spacing w:after="0" w:line="2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lvl w:ilvl="1">
      <w:lvlJc w:val="left"/>
      <w:lvlText w:val="•"/>
      <w:numFmt w:val="bullet"/>
      <w:start w:val="1"/>
    </w:lvl>
  </w:abstractNum>
  <w:abstractNum w:abstractNumId="8">
    <w:nsid w:val="75A2A8D4"/>
    <w:multiLevelType w:val="hybridMultilevel"/>
    <w:lvl w:ilvl="0">
      <w:lvlJc w:val="left"/>
      <w:lvlText w:val="%1."/>
      <w:numFmt w:val="decimal"/>
      <w:start w:val="3"/>
    </w:lvl>
  </w:abstractNum>
  <w:abstractNum w:abstractNumId="9">
    <w:nsid w:val="8EDBDAB"/>
    <w:multiLevelType w:val="hybridMultilevel"/>
    <w:lvl w:ilvl="0">
      <w:lvlJc w:val="left"/>
      <w:lvlText w:val="(%1)"/>
      <w:numFmt w:val="lowerLetter"/>
      <w:start w:val="1"/>
    </w:lvl>
  </w:abstractNum>
  <w:abstractNum w:abstractNumId="10">
    <w:nsid w:val="79838CB2"/>
    <w:multiLevelType w:val="hybridMultilevel"/>
    <w:lvl w:ilvl="0">
      <w:lvlJc w:val="left"/>
      <w:lvlText w:val="(%1)"/>
      <w:numFmt w:val="lowerLetter"/>
      <w:start w:val="2"/>
    </w:lvl>
  </w:abstractNum>
  <w:abstractNum w:abstractNumId="11">
    <w:nsid w:val="4353D0CD"/>
    <w:multiLevelType w:val="hybridMultilevel"/>
    <w:lvl w:ilvl="0">
      <w:lvlJc w:val="left"/>
      <w:lvlText w:val="%1."/>
      <w:numFmt w:val="decimal"/>
      <w:start w:val="4"/>
    </w:lvl>
  </w:abstractNum>
  <w:abstractNum w:abstractNumId="12">
    <w:nsid w:val="B03E0C6"/>
    <w:multiLevelType w:val="hybridMultilevel"/>
    <w:lvl w:ilvl="0">
      <w:lvlJc w:val="left"/>
      <w:lvlText w:val="%1."/>
      <w:numFmt w:val="decimal"/>
      <w:start w:val="6"/>
    </w:lvl>
  </w:abstractNum>
  <w:abstractNum w:abstractNumId="13">
    <w:nsid w:val="189A769B"/>
    <w:multiLevelType w:val="hybridMultilevel"/>
    <w:lvl w:ilvl="0">
      <w:lvlJc w:val="left"/>
      <w:lvlText w:val="%1."/>
      <w:numFmt w:val="decimal"/>
      <w:start w:val="7"/>
    </w:lvl>
  </w:abstractNum>
  <w:abstractNum w:abstractNumId="14">
    <w:nsid w:val="54E49EB4"/>
    <w:multiLevelType w:val="hybridMultilevel"/>
    <w:lvl w:ilvl="0">
      <w:lvlJc w:val="left"/>
      <w:lvlText w:val="%1."/>
      <w:numFmt w:val="decimal"/>
      <w:start w:val="8"/>
    </w:lvl>
  </w:abstractNum>
  <w:abstractNum w:abstractNumId="15">
    <w:nsid w:val="71F32454"/>
    <w:multiLevelType w:val="hybridMultilevel"/>
    <w:lvl w:ilvl="0">
      <w:lvlJc w:val="left"/>
      <w:lvlText w:val="%1."/>
      <w:numFmt w:val="decimal"/>
      <w:start w:val="9"/>
    </w:lvl>
  </w:abstractNum>
  <w:abstractNum w:abstractNumId="16">
    <w:nsid w:val="2CA88611"/>
    <w:multiLevelType w:val="hybridMultilevel"/>
    <w:lvl w:ilvl="0">
      <w:lvlJc w:val="left"/>
      <w:lvlText w:val="%1."/>
      <w:numFmt w:val="decimal"/>
      <w:start w:val="10"/>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1."/>
      <w:numFmt w:val="decimal"/>
      <w:start w:val="10"/>
    </w:lvl>
    <w:lvl w:ilvl="1">
      <w:lvlJc w:val="left"/>
      <w:lvlText w:val="•"/>
      <w:numFmt w:val="bullet"/>
      <w:start w:val="1"/>
    </w:lvl>
  </w:abstractNum>
  <w:abstractNum w:abstractNumId="19">
    <w:nsid w:val="3A95F874"/>
    <w:multiLevelType w:val="hybridMultilevel"/>
    <w:lvl w:ilvl="0">
      <w:lvlJc w:val="left"/>
      <w:lvlText w:val="%1"/>
      <w:numFmt w:val="decimal"/>
      <w:start w:val="1"/>
    </w:lvl>
    <w:lvl w:ilvl="1">
      <w:lvlJc w:val="left"/>
      <w:lvlText w:val="(%2)"/>
      <w:numFmt w:val="decimal"/>
      <w:start w:val="1"/>
    </w:lvl>
  </w:abstractNum>
  <w:abstractNum w:abstractNumId="20">
    <w:nsid w:val="8138641"/>
    <w:multiLevelType w:val="hybridMultilevel"/>
    <w:lvl w:ilvl="0">
      <w:lvlJc w:val="left"/>
      <w:lvlText w:val="%1."/>
      <w:numFmt w:val="decimal"/>
      <w:start w:val="12"/>
    </w:lvl>
    <w:lvl w:ilvl="1">
      <w:lvlJc w:val="left"/>
      <w:lvlText w:val="%2"/>
      <w:numFmt w:val="decimal"/>
      <w:start w:val="1"/>
    </w:lvl>
  </w:abstractNum>
  <w:abstractNum w:abstractNumId="21">
    <w:nsid w:val="1E7FF521"/>
    <w:multiLevelType w:val="hybridMultilevel"/>
    <w:lvl w:ilvl="0">
      <w:lvlJc w:val="left"/>
      <w:lvlText w:val="%1."/>
      <w:numFmt w:val="decimal"/>
      <w:start w:val="18"/>
    </w:lvl>
  </w:abstractNum>
  <w:abstractNum w:abstractNumId="22">
    <w:nsid w:val="7C3DBD3D"/>
    <w:multiLevelType w:val="hybridMultilevel"/>
    <w:lvl w:ilvl="0">
      <w:lvlJc w:val="left"/>
      <w:lvlText w:val="1"/>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decimal"/>
      <w:start w:val="3"/>
    </w:lvl>
  </w:abstractNum>
  <w:abstractNum w:abstractNumId="34">
    <w:nsid w:val="77465F01"/>
    <w:multiLevelType w:val="hybridMultilevel"/>
    <w:lvl w:ilvl="0">
      <w:lvlJc w:val="left"/>
      <w:lvlText w:val="%1."/>
      <w:numFmt w:val="decimal"/>
      <w:start w:val="4"/>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
      <w:numFmt w:val="bullet"/>
      <w:start w:val="1"/>
    </w:lvl>
    <w:lvl w:ilvl="1">
      <w:lvlJc w:val="left"/>
      <w:lvlText w:val="(%2)"/>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90" Type="http://schemas.openxmlformats.org/officeDocument/2006/relationships/hyperlink" Target="https://www.sec.gov/Archives/edgar/data/0001820302/000119312521303985/d219325dex31.htm" TargetMode="External"/><Relationship Id="rId91" Type="http://schemas.openxmlformats.org/officeDocument/2006/relationships/hyperlink" Target="https://www.sec.gov/Archives/edgar/data/0001820302/000119312521303985/d219325dex32.htm" TargetMode="External"/><Relationship Id="rId92" Type="http://schemas.openxmlformats.org/officeDocument/2006/relationships/hyperlink" Target="https://www.sec.gov/Archives/edgar/data/0001820302/000182030222000015/a101amendedandrestatedexch.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2022-08-11T16:05:20Z</dcterms:created>
  <dcterms:modified xsi:type="dcterms:W3CDTF">2022-08-11T16:05:20Z</dcterms:modified>
</cp:coreProperties>
</file>