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-601980</wp:posOffset>
            </wp:positionV>
            <wp:extent cx="57150" cy="61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638810</wp:posOffset>
            </wp:positionV>
            <wp:extent cx="6998970" cy="4781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781550"/>
                    </a:xfrm>
                    <a:prstGeom prst="rect">
                      <a:avLst/>
                    </a:prstGeom>
                    <a:noFill/>
                  </pic:spPr>
                </pic:pic>
              </a:graphicData>
            </a:graphic>
          </wp:anchor>
        </w:drawing>
      </w:r>
    </w:p>
    <w:p>
      <w:pPr>
        <w:spacing w:after="0" w:line="1077"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Naheta Akshay Sudhir</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Bakkt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10/31/2025</w:t>
      </w:r>
    </w:p>
    <w:p>
      <w:pPr>
        <w:spacing w:after="0" w:line="20" w:lineRule="exact"/>
        <w:rPr>
          <w:sz w:val="24"/>
          <w:szCs w:val="24"/>
          <w:color w:val="auto"/>
        </w:rPr>
      </w:pPr>
      <w:r>
        <w:rPr>
          <w:sz w:val="24"/>
          <w:szCs w:val="24"/>
          <w:color w:val="auto"/>
        </w:rPr>
        <w:br w:type="column"/>
      </w:r>
    </w:p>
    <w:p>
      <w:pPr>
        <w:ind w:left="-5" w:right="740" w:firstLine="5"/>
        <w:spacing w:after="0" w:line="282"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975"/>
        <w:spacing w:after="0"/>
        <w:rPr>
          <w:sz w:val="20"/>
          <w:szCs w:val="20"/>
          <w:color w:val="auto"/>
        </w:rPr>
      </w:pPr>
      <w:r>
        <w:rPr>
          <w:rFonts w:ascii="Times New Roman" w:cs="Times New Roman" w:eastAsia="Times New Roman" w:hAnsi="Times New Roman"/>
          <w:sz w:val="16"/>
          <w:szCs w:val="16"/>
          <w:color w:val="0000FF"/>
        </w:rPr>
        <w:t>CEO and President</w:t>
      </w:r>
    </w:p>
    <w:p>
      <w:pPr>
        <w:spacing w:after="0" w:line="521" w:lineRule="exact"/>
        <w:rPr>
          <w:sz w:val="24"/>
          <w:szCs w:val="24"/>
          <w:color w:val="auto"/>
        </w:rPr>
      </w:pPr>
    </w:p>
    <w:p>
      <w:pPr>
        <w:sectPr>
          <w:pgSz w:w="11900" w:h="16838" w:orient="portrait"/>
          <w:cols w:equalWidth="0" w:num="3">
            <w:col w:w="3180" w:space="720"/>
            <w:col w:w="3105" w:space="720"/>
            <w:col w:w="3355"/>
          </w:cols>
          <w:pgMar w:left="460" w:top="213" w:right="359" w:bottom="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95"/>
              </w:rPr>
              <w:t>NY</w:t>
            </w:r>
          </w:p>
        </w:tc>
        <w:tc>
          <w:tcPr>
            <w:tcW w:w="940" w:type="dxa"/>
            <w:vAlign w:val="bottom"/>
          </w:tcPr>
          <w:p>
            <w:pPr>
              <w:spacing w:after="0"/>
              <w:rPr>
                <w:sz w:val="18"/>
                <w:szCs w:val="18"/>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10006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7"/>
          </w:tcPr>
          <w:p>
            <w:pPr>
              <w:ind w:left="120"/>
              <w:spacing w:after="0" w:line="130"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4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20" w:type="dxa"/>
            <w:vAlign w:val="bottom"/>
            <w:gridSpan w:val="3"/>
          </w:tcPr>
          <w:p>
            <w:pPr>
              <w:ind w:left="82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w:t>
            </w: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11/03/2025</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69,733</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39.34</w:t>
            </w:r>
            <w:r>
              <w:rPr>
                <w:rFonts w:ascii="Times New Roman" w:cs="Times New Roman" w:eastAsia="Times New Roman" w:hAnsi="Times New Roman"/>
                <w:sz w:val="20"/>
                <w:szCs w:val="20"/>
                <w:color w:val="008000"/>
                <w:w w:val="95"/>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261,159</w:t>
            </w:r>
            <w:r>
              <w:rPr>
                <w:rFonts w:ascii="Times New Roman" w:cs="Times New Roman" w:eastAsia="Times New Roman" w:hAnsi="Times New Roman"/>
                <w:sz w:val="20"/>
                <w:szCs w:val="20"/>
                <w:color w:val="008000"/>
                <w:vertAlign w:val="superscript"/>
              </w:rPr>
              <w:t>(4)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2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4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4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20" w:type="dxa"/>
            <w:vAlign w:val="bottom"/>
            <w:vMerge w:val="restart"/>
          </w:tcPr>
          <w:p>
            <w:pPr>
              <w:jc w:val="right"/>
              <w:ind w:right="25"/>
              <w:spacing w:after="0"/>
              <w:rPr>
                <w:sz w:val="20"/>
                <w:szCs w:val="20"/>
                <w:color w:val="auto"/>
              </w:rPr>
            </w:pPr>
            <w:r>
              <w:rPr>
                <w:rFonts w:ascii="Times New Roman" w:cs="Times New Roman" w:eastAsia="Times New Roman" w:hAnsi="Times New Roman"/>
                <w:sz w:val="10"/>
                <w:szCs w:val="10"/>
                <w:color w:val="008000"/>
              </w:rPr>
              <w:t>(5)</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008000"/>
              </w:rPr>
              <w:t>(6)(7)</w:t>
            </w:r>
          </w:p>
        </w:tc>
        <w:tc>
          <w:tcPr>
            <w:tcW w:w="7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1,607,717</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restart"/>
          </w:tcPr>
          <w:p>
            <w:pPr>
              <w:jc w:val="right"/>
              <w:ind w:right="61"/>
              <w:spacing w:after="0" w:line="136" w:lineRule="exact"/>
              <w:rPr>
                <w:sz w:val="20"/>
                <w:szCs w:val="20"/>
                <w:color w:val="auto"/>
              </w:rPr>
            </w:pPr>
            <w:r>
              <w:rPr>
                <w:rFonts w:ascii="Times New Roman" w:cs="Times New Roman" w:eastAsia="Times New Roman" w:hAnsi="Times New Roman"/>
                <w:sz w:val="12"/>
                <w:szCs w:val="12"/>
                <w:color w:val="0000FF"/>
              </w:rPr>
              <w:t>03/21/2028</w:t>
            </w:r>
          </w:p>
        </w:tc>
        <w:tc>
          <w:tcPr>
            <w:tcW w:w="56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1,607,717</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008000"/>
              </w:rPr>
              <w:t>(8)(9)</w:t>
            </w:r>
          </w:p>
        </w:tc>
        <w:tc>
          <w:tcPr>
            <w:tcW w:w="700" w:type="dxa"/>
            <w:vAlign w:val="bottom"/>
            <w:vMerge w:val="restart"/>
          </w:tcPr>
          <w:p>
            <w:pPr>
              <w:jc w:val="right"/>
              <w:ind w:right="221"/>
              <w:spacing w:after="0"/>
              <w:rPr>
                <w:sz w:val="20"/>
                <w:szCs w:val="20"/>
                <w:color w:val="auto"/>
              </w:rPr>
            </w:pPr>
            <w:r>
              <w:rPr>
                <w:rFonts w:ascii="Times New Roman" w:cs="Times New Roman" w:eastAsia="Times New Roman" w:hAnsi="Times New Roman"/>
                <w:sz w:val="10"/>
                <w:szCs w:val="10"/>
                <w:color w:val="008000"/>
              </w:rPr>
              <w:t>(8)(9)</w:t>
            </w:r>
          </w:p>
        </w:tc>
        <w:tc>
          <w:tcPr>
            <w:tcW w:w="560" w:type="dxa"/>
            <w:vAlign w:val="bottom"/>
            <w:vMerge w:val="continue"/>
          </w:tcPr>
          <w:p>
            <w:pPr>
              <w:spacing w:after="0"/>
              <w:rPr>
                <w:sz w:val="5"/>
                <w:szCs w:val="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1,342,282</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280" w:type="dxa"/>
            <w:vAlign w:val="bottom"/>
          </w:tcPr>
          <w:p>
            <w:pPr>
              <w:spacing w:after="0"/>
              <w:rPr>
                <w:sz w:val="6"/>
                <w:szCs w:val="6"/>
                <w:color w:val="auto"/>
              </w:rPr>
            </w:pPr>
          </w:p>
        </w:tc>
        <w:tc>
          <w:tcPr>
            <w:tcW w:w="94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10/31/2025</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700" w:type="dxa"/>
            <w:vAlign w:val="bottom"/>
            <w:vMerge w:val="restart"/>
          </w:tcPr>
          <w:p>
            <w:pPr>
              <w:ind w:left="100"/>
              <w:spacing w:after="0" w:line="137" w:lineRule="exact"/>
              <w:rPr>
                <w:sz w:val="20"/>
                <w:szCs w:val="20"/>
                <w:color w:val="auto"/>
              </w:rPr>
            </w:pPr>
            <w:r>
              <w:rPr>
                <w:rFonts w:ascii="Times New Roman" w:cs="Times New Roman" w:eastAsia="Times New Roman" w:hAnsi="Times New Roman"/>
                <w:sz w:val="12"/>
                <w:szCs w:val="12"/>
                <w:color w:val="0000FF"/>
              </w:rPr>
              <w:t>1,342,282</w:t>
            </w: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2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140"/>
              <w:spacing w:after="0" w:line="137" w:lineRule="exact"/>
              <w:rPr>
                <w:sz w:val="20"/>
                <w:szCs w:val="20"/>
                <w:color w:val="auto"/>
              </w:rPr>
            </w:pPr>
            <w:r>
              <w:rPr>
                <w:rFonts w:ascii="Times New Roman" w:cs="Times New Roman" w:eastAsia="Times New Roman" w:hAnsi="Times New Roman"/>
                <w:sz w:val="12"/>
                <w:szCs w:val="12"/>
                <w:color w:val="0000FF"/>
              </w:rPr>
              <w:t>1,342,282</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-2040255</wp:posOffset>
            </wp:positionV>
            <wp:extent cx="28575" cy="2045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459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60" w:hanging="4"/>
        <w:spacing w:after="0" w:line="24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3, 2025, pursuant to a reorganization (the "Reorganization"), Bakkt Holdings, Inc. (formerly Bakkt NewCo Holdings, Inc.) became the successor of Bakkt Intermediate Holdings, Inc (formerly Bakkt Holdings, Inc.)("Bakkt") pursuant to merger transactions, in which a subsidiary of Bakkt Holdings, Inc. merged with and into Bakkt Intermediate Holdings, Inc. with Bakkt Intermediate Holdings, Inc. surviving and, immediately following such merger, a subsidiary of Bakkt Holdings, Inc. merged with and into Bakkt OpCo Holdings LLC ("OpCo"), a subsidiary of Bakkt Holdings Intermediate, Inc., with OpCo surviving. The mergers resulted in the Issuer becoming the parent holding company of Bakkt and OpCo, but did not alter the proportionate economic interest of security holders.</w:t>
      </w:r>
    </w:p>
    <w:p>
      <w:pPr>
        <w:spacing w:after="0" w:line="21" w:lineRule="exact"/>
        <w:rPr>
          <w:rFonts w:ascii="Times New Roman" w:cs="Times New Roman" w:eastAsia="Times New Roman" w:hAnsi="Times New Roman"/>
          <w:sz w:val="12"/>
          <w:szCs w:val="12"/>
          <w:color w:val="008000"/>
        </w:rPr>
      </w:pPr>
    </w:p>
    <w:p>
      <w:pPr>
        <w:ind w:left="40" w:right="200" w:hanging="4"/>
        <w:spacing w:after="0" w:line="24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TRA Amendment and the Contribution Agreement, as amended (both defined in the Form 8-K12B filed by the Issuer on November 3, 2025 (the "8-K")), the reporting person agreed that he would, at closing of the Reorganization, (i) contribute his rights under the TRA (defined in the 8-K) to the Issuer in exchange for a cash payment from the Issuer equal to the respective amount to which the reporting person would otherwise be entitled under the TRA and (ii) contribute such cash to the Issuer in exchange for shares of Class A Common Stock ("Shares"), and further agreed that the obligations of the reporting person, on the one hand, and the Issuer, on the other hand, to transfer the foregoing cash amounts will be net-settled and offset against one another.</w:t>
      </w:r>
    </w:p>
    <w:p>
      <w:pPr>
        <w:spacing w:after="0" w:line="21" w:lineRule="exact"/>
        <w:rPr>
          <w:rFonts w:ascii="Times New Roman" w:cs="Times New Roman" w:eastAsia="Times New Roman" w:hAnsi="Times New Roman"/>
          <w:sz w:val="12"/>
          <w:szCs w:val="12"/>
          <w:color w:val="008000"/>
        </w:rPr>
      </w:pPr>
    </w:p>
    <w:p>
      <w:pPr>
        <w:ind w:left="40" w:right="20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Contribution Agreement, as amended, the price at which the reporting person received Shares in exchange for his contribution was determined based on the "Minimum Price," as defined in NYSE Rule 312.04(h).</w:t>
      </w:r>
    </w:p>
    <w:p>
      <w:pPr>
        <w:spacing w:after="0" w:line="5" w:lineRule="exact"/>
        <w:rPr>
          <w:rFonts w:ascii="Times New Roman" w:cs="Times New Roman" w:eastAsia="Times New Roman" w:hAnsi="Times New Roman"/>
          <w:sz w:val="12"/>
          <w:szCs w:val="12"/>
          <w:color w:val="008000"/>
        </w:rPr>
      </w:pPr>
    </w:p>
    <w:p>
      <w:pPr>
        <w:ind w:left="40" w:right="40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11,426 restricted stock units ("RSUs"). Each RSU represents a contingent right to receive one share of the issuer's Class A Common Stock. The RSUs will vest on March 21, 2026, subject to the reporting person's continued employment with the issuer as of the vesting date.</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an inducement grant of performance stock units ("PSUs"). Each PSU represents a contingent right to receive one share of the issuer's Class A Common Stock.</w:t>
      </w:r>
    </w:p>
    <w:p>
      <w:pPr>
        <w:spacing w:after="0" w:line="47" w:lineRule="exact"/>
        <w:rPr>
          <w:rFonts w:ascii="Times New Roman" w:cs="Times New Roman" w:eastAsia="Times New Roman" w:hAnsi="Times New Roman"/>
          <w:sz w:val="12"/>
          <w:szCs w:val="12"/>
          <w:color w:val="008000"/>
        </w:rPr>
      </w:pPr>
    </w:p>
    <w:p>
      <w:pPr>
        <w:ind w:left="40" w:right="380" w:hanging="4"/>
        <w:spacing w:after="0" w:line="25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PSUs shall be eligible to vest over a three-year performance period following March 21, 2025 (the "Vesting Commencement Date") based on attainment of certain stock price metrics as provided below (the "Performance Period"). A total of 535,909 of the total PSUs will vest, subject to the reporting person's continued employment with the issuer through such vesting date, if the issuer's stock price (measured based on a rolling 90-day volume-weighted average price "VWAP") appreciates at any point during the Performance Period by100% above $9.33 per share (the "Reference Price"). [Continued to footnote 7]</w:t>
      </w:r>
    </w:p>
    <w:p>
      <w:pPr>
        <w:spacing w:after="0" w:line="1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6] For each additional 25% of stock price appreciation (measured based on a rolling 90-day VWAP) above the Reference Price during the Performance Period, limited to a maximum of eight</w:t>
      </w:r>
    </w:p>
    <w:p>
      <w:pPr>
        <w:spacing w:after="0" w:line="12" w:lineRule="exact"/>
        <w:rPr>
          <w:rFonts w:ascii="Times New Roman" w:cs="Times New Roman" w:eastAsia="Times New Roman" w:hAnsi="Times New Roman"/>
          <w:sz w:val="12"/>
          <w:szCs w:val="12"/>
          <w:color w:val="008000"/>
        </w:rPr>
      </w:pPr>
    </w:p>
    <w:p>
      <w:pPr>
        <w:ind w:left="40" w:right="140"/>
        <w:spacing w:after="0" w:line="244"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(8) additional vesting tranches, an additional 133,976PSUs will vest, subject to the reporting person's continued employment with the issuer through such vesting date. No PSUs will vest in the event that the issuer's stock price (measured based on a rolling 90-day VWAP) does not appreciate above the Reference Price by at least 100% during the Performance Period. Any PSUs that satisfy the above vesting conditions prior to the first anniversary of the Vesting Commencement Date will not vest unless and until the first anniversary of the Vesting Commencement Date.</w:t>
      </w:r>
    </w:p>
    <w:p>
      <w:pPr>
        <w:spacing w:after="0" w:line="23" w:lineRule="exact"/>
        <w:rPr>
          <w:rFonts w:ascii="Times New Roman" w:cs="Times New Roman" w:eastAsia="Times New Roman" w:hAnsi="Times New Roman"/>
          <w:sz w:val="12"/>
          <w:szCs w:val="12"/>
          <w:color w:val="008000"/>
        </w:rPr>
      </w:pPr>
    </w:p>
    <w:p>
      <w:pPr>
        <w:ind w:left="40" w:right="160" w:hanging="4"/>
        <w:spacing w:after="0" w:line="24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over a two-day period in the applicable quarter (the "Exercise Period"); provided that if the Exercise Period for a quarterly tranche occurs during a blackout period, then such Exercise Period shall instead be the next quarterly Exercise Period. [Continued to footnote 9]</w:t>
      </w:r>
    </w:p>
    <w:p>
      <w:pPr>
        <w:spacing w:after="0" w:line="23" w:lineRule="exact"/>
        <w:rPr>
          <w:rFonts w:ascii="Times New Roman" w:cs="Times New Roman" w:eastAsia="Times New Roman" w:hAnsi="Times New Roman"/>
          <w:sz w:val="12"/>
          <w:szCs w:val="12"/>
          <w:color w:val="008000"/>
        </w:rPr>
      </w:pPr>
    </w:p>
    <w:p>
      <w:pPr>
        <w:jc w:val="both"/>
        <w:ind w:left="40" w:right="140" w:hanging="4"/>
        <w:spacing w:after="0" w:line="24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8]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Paul Simmons Attorney-in-</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11/04/2025</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200" w:type="dxa"/>
            <w:vAlign w:val="bottom"/>
            <w:gridSpan w:val="3"/>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Fact for Akshay Sudhir Naheta</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 Signature of Reporting Person</w:t>
            </w:r>
          </w:p>
        </w:tc>
        <w:tc>
          <w:tcPr>
            <w:tcW w:w="20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2543"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2025-11-04T17:18:36Z</dcterms:created>
  <dcterms:modified xsi:type="dcterms:W3CDTF">2025-11-04T17:18:36Z</dcterms:modified>
</cp:coreProperties>
</file>