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Spatz Meredith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335" w:lineRule="auto"/>
        <w:rPr>
          <w:sz w:val="20"/>
          <w:szCs w:val="20"/>
          <w:color w:val="auto"/>
        </w:rPr>
      </w:pPr>
      <w:r>
        <w:rPr>
          <w:rFonts w:ascii="Arial" w:cs="Arial" w:eastAsia="Arial" w:hAnsi="Arial"/>
          <w:sz w:val="16"/>
          <w:szCs w:val="16"/>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Bakkt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5"/>
        <w:spacing w:after="0"/>
        <w:rPr>
          <w:sz w:val="20"/>
          <w:szCs w:val="20"/>
          <w:color w:val="auto"/>
        </w:rPr>
      </w:pPr>
      <w:r>
        <w:rPr>
          <w:rFonts w:ascii="Arial" w:cs="Arial" w:eastAsia="Arial" w:hAnsi="Arial"/>
          <w:sz w:val="17"/>
          <w:szCs w:val="17"/>
          <w:color w:val="0000FF"/>
        </w:rPr>
        <w:t>Chief Client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5"/>
              </w:rPr>
              <w:t>140,992</w:t>
            </w:r>
            <w:r>
              <w:rPr>
                <w:rFonts w:ascii="Arial" w:cs="Arial" w:eastAsia="Arial" w:hAnsi="Arial"/>
                <w:sz w:val="22"/>
                <w:szCs w:val="22"/>
                <w:color w:val="008000"/>
                <w:w w:val="9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7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240,992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50,000</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1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290,992</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240,992 shares of Class A Common Stock subject to RSU awards that remain subject to vesting.</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RSUs. Each RSU represents a contingent right to receive one share of the issuer's Class A Common Stock. The RSUs shall vest in two equal annual installments on the first two anniversaries of February 13, 2023, provided that the reporting person continues to be employed by the issuer as of each vesting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290,992 shares of Class A Common Stock subject to RSU awards that remain subject to vesting.</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Attorney-in-Fact for Meredith  02/28/2023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Spatz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2855"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2023-03-01T10:10:44Z</dcterms:created>
  <dcterms:modified xsi:type="dcterms:W3CDTF">2023-03-01T10:10:44Z</dcterms:modified>
</cp:coreProperties>
</file>