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-7620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number:001-39544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6060" w:type="dxa"/>
            <w:vAlign w:val="bottom"/>
          </w:tcPr>
          <w:p>
            <w:pPr>
              <w:jc w:val="center"/>
              <w:ind w:right="3058"/>
              <w:spacing w:after="0"/>
              <w:rPr>
                <w:sz w:val="20"/>
                <w:szCs w:val="20"/>
                <w:color w:val="auto"/>
              </w:rPr>
            </w:pPr>
            <w:r>
              <w:rPr>
                <w:rFonts w:ascii="Arial" w:cs="Arial" w:eastAsia="Arial" w:hAnsi="Arial"/>
                <w:sz w:val="18"/>
                <w:szCs w:val="18"/>
                <w:b w:val="1"/>
                <w:bCs w:val="1"/>
                <w:color w:val="auto"/>
                <w:w w:val="90"/>
              </w:rPr>
              <w:t>Cayman Islands</w:t>
            </w:r>
          </w:p>
        </w:tc>
        <w:tc>
          <w:tcPr>
            <w:tcW w:w="1520" w:type="dxa"/>
            <w:vAlign w:val="bottom"/>
          </w:tcPr>
          <w:p>
            <w:pPr>
              <w:jc w:val="right"/>
              <w:ind w:right="41"/>
              <w:spacing w:after="0"/>
              <w:rPr>
                <w:sz w:val="20"/>
                <w:szCs w:val="20"/>
                <w:color w:val="auto"/>
              </w:rPr>
            </w:pPr>
            <w:r>
              <w:rPr>
                <w:rFonts w:ascii="Arial" w:cs="Arial" w:eastAsia="Arial" w:hAnsi="Arial"/>
                <w:sz w:val="18"/>
                <w:szCs w:val="18"/>
                <w:b w:val="1"/>
                <w:bCs w:val="1"/>
                <w:color w:val="auto"/>
              </w:rPr>
              <w:t>98-1550750</w:t>
            </w:r>
          </w:p>
        </w:tc>
      </w:tr>
      <w:tr>
        <w:trPr>
          <w:trHeight w:val="149"/>
        </w:trPr>
        <w:tc>
          <w:tcPr>
            <w:tcW w:w="6060" w:type="dxa"/>
            <w:vAlign w:val="bottom"/>
          </w:tcPr>
          <w:p>
            <w:pPr>
              <w:jc w:val="center"/>
              <w:ind w:right="305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2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60" w:type="dxa"/>
            <w:vAlign w:val="bottom"/>
          </w:tcPr>
          <w:p>
            <w:pPr>
              <w:jc w:val="center"/>
              <w:ind w:right="3058"/>
              <w:spacing w:after="0"/>
              <w:rPr>
                <w:sz w:val="20"/>
                <w:szCs w:val="20"/>
                <w:color w:val="auto"/>
              </w:rPr>
            </w:pPr>
            <w:r>
              <w:rPr>
                <w:rFonts w:ascii="Arial" w:cs="Arial" w:eastAsia="Arial" w:hAnsi="Arial"/>
                <w:sz w:val="14"/>
                <w:szCs w:val="14"/>
                <w:b w:val="1"/>
                <w:bCs w:val="1"/>
                <w:color w:val="auto"/>
                <w:w w:val="94"/>
              </w:rPr>
              <w:t>incorporation or organization)</w:t>
            </w:r>
          </w:p>
        </w:tc>
        <w:tc>
          <w:tcPr>
            <w:tcW w:w="1520" w:type="dxa"/>
            <w:vAlign w:val="bottom"/>
          </w:tcPr>
          <w:p>
            <w:pPr>
              <w:jc w:val="center"/>
              <w:ind w:left="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060" w:type="dxa"/>
            <w:vAlign w:val="bottom"/>
          </w:tcPr>
          <w:p>
            <w:pPr>
              <w:jc w:val="center"/>
              <w:ind w:right="3058"/>
              <w:spacing w:after="0"/>
              <w:rPr>
                <w:sz w:val="20"/>
                <w:szCs w:val="20"/>
                <w:color w:val="auto"/>
              </w:rPr>
            </w:pPr>
            <w:r>
              <w:rPr>
                <w:rFonts w:ascii="Arial" w:cs="Arial" w:eastAsia="Arial" w:hAnsi="Arial"/>
                <w:sz w:val="18"/>
                <w:szCs w:val="18"/>
                <w:b w:val="1"/>
                <w:bCs w:val="1"/>
                <w:color w:val="auto"/>
                <w:w w:val="94"/>
              </w:rPr>
              <w:t>Victory Park Capital Advisors, LLC</w:t>
            </w:r>
          </w:p>
        </w:tc>
        <w:tc>
          <w:tcPr>
            <w:tcW w:w="1520" w:type="dxa"/>
            <w:vAlign w:val="bottom"/>
          </w:tcPr>
          <w:p>
            <w:pPr>
              <w:spacing w:after="0"/>
              <w:rPr>
                <w:sz w:val="24"/>
                <w:szCs w:val="24"/>
                <w:color w:val="auto"/>
              </w:rPr>
            </w:pPr>
          </w:p>
        </w:tc>
      </w:tr>
      <w:tr>
        <w:trPr>
          <w:trHeight w:val="216"/>
        </w:trPr>
        <w:tc>
          <w:tcPr>
            <w:tcW w:w="6060" w:type="dxa"/>
            <w:vAlign w:val="bottom"/>
          </w:tcPr>
          <w:p>
            <w:pPr>
              <w:jc w:val="center"/>
              <w:ind w:right="3078"/>
              <w:spacing w:after="0"/>
              <w:rPr>
                <w:sz w:val="20"/>
                <w:szCs w:val="20"/>
                <w:color w:val="auto"/>
              </w:rPr>
            </w:pPr>
            <w:r>
              <w:rPr>
                <w:rFonts w:ascii="Arial" w:cs="Arial" w:eastAsia="Arial" w:hAnsi="Arial"/>
                <w:sz w:val="18"/>
                <w:szCs w:val="18"/>
                <w:b w:val="1"/>
                <w:bCs w:val="1"/>
                <w:color w:val="auto"/>
                <w:w w:val="90"/>
              </w:rPr>
              <w:t>150 North Riverside Plaza, Suite 5200</w:t>
            </w:r>
          </w:p>
        </w:tc>
        <w:tc>
          <w:tcPr>
            <w:tcW w:w="1520" w:type="dxa"/>
            <w:vAlign w:val="bottom"/>
          </w:tcPr>
          <w:p>
            <w:pPr>
              <w:spacing w:after="0"/>
              <w:rPr>
                <w:sz w:val="18"/>
                <w:szCs w:val="18"/>
                <w:color w:val="auto"/>
              </w:rPr>
            </w:pPr>
          </w:p>
        </w:tc>
      </w:tr>
      <w:tr>
        <w:trPr>
          <w:trHeight w:val="225"/>
        </w:trPr>
        <w:tc>
          <w:tcPr>
            <w:tcW w:w="6060" w:type="dxa"/>
            <w:vAlign w:val="bottom"/>
          </w:tcPr>
          <w:p>
            <w:pPr>
              <w:jc w:val="center"/>
              <w:ind w:right="3058"/>
              <w:spacing w:after="0"/>
              <w:rPr>
                <w:sz w:val="20"/>
                <w:szCs w:val="20"/>
                <w:color w:val="auto"/>
              </w:rPr>
            </w:pPr>
            <w:r>
              <w:rPr>
                <w:rFonts w:ascii="Arial" w:cs="Arial" w:eastAsia="Arial" w:hAnsi="Arial"/>
                <w:sz w:val="18"/>
                <w:szCs w:val="18"/>
                <w:b w:val="1"/>
                <w:bCs w:val="1"/>
                <w:color w:val="auto"/>
                <w:w w:val="94"/>
              </w:rPr>
              <w:t>Chicago, IL</w:t>
            </w:r>
          </w:p>
        </w:tc>
        <w:tc>
          <w:tcPr>
            <w:tcW w:w="152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60606</w:t>
            </w:r>
          </w:p>
        </w:tc>
      </w:tr>
      <w:tr>
        <w:trPr>
          <w:trHeight w:val="186"/>
        </w:trPr>
        <w:tc>
          <w:tcPr>
            <w:tcW w:w="6060" w:type="dxa"/>
            <w:vAlign w:val="bottom"/>
          </w:tcPr>
          <w:p>
            <w:pPr>
              <w:jc w:val="center"/>
              <w:ind w:right="30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20" w:type="dxa"/>
            <w:vAlign w:val="bottom"/>
          </w:tcPr>
          <w:p>
            <w:pPr>
              <w:jc w:val="center"/>
              <w:ind w:left="32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6060" w:type="dxa"/>
            <w:vAlign w:val="bottom"/>
          </w:tcPr>
          <w:p>
            <w:pPr>
              <w:jc w:val="right"/>
              <w:ind w:right="1158"/>
              <w:spacing w:after="0"/>
              <w:rPr>
                <w:sz w:val="20"/>
                <w:szCs w:val="20"/>
                <w:color w:val="auto"/>
              </w:rPr>
            </w:pPr>
            <w:r>
              <w:rPr>
                <w:rFonts w:ascii="Arial" w:cs="Arial" w:eastAsia="Arial" w:hAnsi="Arial"/>
                <w:sz w:val="18"/>
                <w:szCs w:val="18"/>
                <w:b w:val="1"/>
                <w:bCs w:val="1"/>
                <w:color w:val="auto"/>
              </w:rPr>
              <w:t>+1-312-701-1777</w:t>
            </w:r>
          </w:p>
        </w:tc>
        <w:tc>
          <w:tcPr>
            <w:tcW w:w="1520" w:type="dxa"/>
            <w:vAlign w:val="bottom"/>
          </w:tcPr>
          <w:p>
            <w:pPr>
              <w:spacing w:after="0"/>
              <w:rPr>
                <w:sz w:val="24"/>
                <w:szCs w:val="24"/>
                <w:color w:val="auto"/>
              </w:rPr>
            </w:pPr>
          </w:p>
        </w:tc>
      </w:tr>
      <w:tr>
        <w:trPr>
          <w:trHeight w:val="186"/>
        </w:trPr>
        <w:tc>
          <w:tcPr>
            <w:tcW w:w="6060" w:type="dxa"/>
            <w:vAlign w:val="bottom"/>
          </w:tcPr>
          <w:p>
            <w:pPr>
              <w:jc w:val="center"/>
              <w:ind w:left="2238"/>
              <w:spacing w:after="0"/>
              <w:rPr>
                <w:sz w:val="20"/>
                <w:szCs w:val="20"/>
                <w:color w:val="auto"/>
              </w:rPr>
            </w:pPr>
            <w:r>
              <w:rPr>
                <w:rFonts w:ascii="Arial" w:cs="Arial" w:eastAsia="Arial" w:hAnsi="Arial"/>
                <w:sz w:val="14"/>
                <w:szCs w:val="14"/>
                <w:b w:val="1"/>
                <w:bCs w:val="1"/>
                <w:color w:val="auto"/>
                <w:w w:val="91"/>
              </w:rPr>
              <w:t>(Issuer’s telephone number, including area code)</w:t>
            </w:r>
          </w:p>
        </w:tc>
        <w:tc>
          <w:tcPr>
            <w:tcW w:w="15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213360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Class A ordinary shares, par value $0.0001 par</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VIH</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value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Redeemable warrants, each warrant exercisable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VIHAW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for one Class A ordinary share, each at an</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exercise price 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2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120" w:right="22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Rule12b-2of the Exchange Act.</w:t>
      </w:r>
    </w:p>
    <w:p>
      <w:pPr>
        <w:sectPr>
          <w:pgSz w:w="11900" w:h="16838" w:orient="portrait"/>
          <w:cols w:equalWidth="0" w:num="1">
            <w:col w:w="11140"/>
          </w:cols>
          <w:pgMar w:left="320" w:top="230" w:right="4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34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0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440"/>
        <w:spacing w:after="0" w:line="207" w:lineRule="exact"/>
        <w:tabs>
          <w:tab w:leader="none" w:pos="8680" w:val="left"/>
          <w:tab w:leader="none" w:pos="9360" w:val="left"/>
        </w:tabs>
        <w:rPr>
          <w:sz w:val="20"/>
          <w:szCs w:val="20"/>
          <w:color w:val="auto"/>
        </w:rPr>
      </w:pPr>
      <w:r>
        <w:rPr>
          <w:rFonts w:ascii="Arial" w:cs="Arial" w:eastAsia="Arial" w:hAnsi="Arial"/>
          <w:sz w:val="17"/>
          <w:szCs w:val="17"/>
          <w:color w:val="auto"/>
        </w:rPr>
        <w:t>Indicate by check mark whether the registrant is a shell company (as defined in Rule12b-2of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As of October 13, 2021, there were 20,737,202 Class A ordinary shares, $0.0001 par value and 5,184,300 Class B ordinary shares, $0.0001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0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REPORT ON FORM 10-Q FOR THE QUARTER ENDED SEPTEMBER 30, 2021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22"/>
            <w:vMerge w:val="restart"/>
          </w:tcPr>
          <w:p>
            <w:pPr>
              <w:spacing w:after="0"/>
              <w:rPr>
                <w:sz w:val="20"/>
                <w:szCs w:val="20"/>
                <w:color w:val="auto"/>
              </w:rPr>
            </w:pPr>
            <w:r>
              <w:rPr>
                <w:rFonts w:ascii="Arial" w:cs="Arial" w:eastAsia="Arial" w:hAnsi="Arial"/>
                <w:sz w:val="18"/>
                <w:szCs w:val="18"/>
                <w:b w:val="1"/>
                <w:bCs w:val="1"/>
                <w:color w:val="auto"/>
              </w:rPr>
              <w:t>PART 1 – FINANCIAL INFORMATION</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10660" w:type="dxa"/>
            <w:vAlign w:val="bottom"/>
            <w:gridSpan w:val="22"/>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60" w:type="dxa"/>
            <w:vAlign w:val="bottom"/>
            <w:gridSpan w:val="22"/>
          </w:tcPr>
          <w:p>
            <w:pPr>
              <w:spacing w:after="0"/>
              <w:rPr>
                <w:sz w:val="20"/>
                <w:szCs w:val="20"/>
                <w:color w:val="auto"/>
              </w:rPr>
            </w:pPr>
            <w:r>
              <w:rPr>
                <w:rFonts w:ascii="Arial" w:cs="Arial" w:eastAsia="Arial" w:hAnsi="Arial"/>
                <w:sz w:val="18"/>
                <w:szCs w:val="18"/>
                <w:color w:val="auto"/>
              </w:rPr>
              <w:t>Item 1. Financial Statements</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10280" w:type="dxa"/>
            <w:vAlign w:val="bottom"/>
            <w:gridSpan w:val="21"/>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2021 (unaudited) and December 31, 2020</w:t>
              </w:r>
            </w:hyperlink>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21"/>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Condensed Consolidated Statements of Operations for the Three and Nine months Ended September 30, 2021 and for the period</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3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from July 31, 2020 (inception) through September 30, 2020</w:t>
              </w:r>
            </w:hyperlink>
          </w:p>
        </w:tc>
        <w:tc>
          <w:tcPr>
            <w:tcW w:w="5540" w:type="dxa"/>
            <w:vAlign w:val="bottom"/>
            <w:tcBorders>
              <w:top w:val="single" w:sz="8" w:color="0000EE"/>
            </w:tcBorders>
            <w:gridSpan w:val="9"/>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21"/>
          </w:tcPr>
          <w:p>
            <w:pPr>
              <w:spacing w:after="0" w:line="19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Unaudited Condensed Consolidated Statements of Changes in Shareholders’ Equity (Deficit) for the Three and Nine months Ended</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1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September 30, 2021 and for the period from July 31, 2020 (inception) through September 30, 2020</w:t>
              </w:r>
            </w:hyperlink>
          </w:p>
        </w:tc>
        <w:tc>
          <w:tcPr>
            <w:tcW w:w="2160" w:type="dxa"/>
            <w:vAlign w:val="bottom"/>
            <w:tcBorders>
              <w:top w:val="single" w:sz="8" w:color="0000EE"/>
            </w:tcBorders>
            <w:gridSpan w:val="2"/>
          </w:tcPr>
          <w:p>
            <w:pPr>
              <w:spacing w:after="0"/>
              <w:rPr>
                <w:sz w:val="17"/>
                <w:szCs w:val="17"/>
                <w:color w:val="auto"/>
              </w:rPr>
            </w:pPr>
          </w:p>
        </w:tc>
        <w:tc>
          <w:tcPr>
            <w:tcW w:w="84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21"/>
          </w:tcPr>
          <w:p>
            <w:pPr>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Unaudited Condensed Consolidated Statements of Cash Flows for the Nine months Ended September 30, 2021 and for the period from</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9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July 31, 2020 (inception) through September 30, 2020</w:t>
              </w:r>
            </w:hyperlink>
          </w:p>
        </w:tc>
        <w:tc>
          <w:tcPr>
            <w:tcW w:w="5640" w:type="dxa"/>
            <w:vAlign w:val="bottom"/>
            <w:tcBorders>
              <w:top w:val="single" w:sz="8" w:color="0000EE"/>
            </w:tcBorders>
            <w:gridSpan w:val="9"/>
          </w:tcPr>
          <w:p>
            <w:pPr>
              <w:spacing w:after="0"/>
              <w:rPr>
                <w:sz w:val="17"/>
                <w:szCs w:val="17"/>
                <w:color w:val="auto"/>
              </w:rPr>
            </w:pPr>
          </w:p>
        </w:tc>
        <w:tc>
          <w:tcPr>
            <w:tcW w:w="5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28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(unaudited)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2. 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8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366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660" w:type="dxa"/>
            <w:vAlign w:val="bottom"/>
            <w:gridSpan w:val="2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4. Control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76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780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0660" w:type="dxa"/>
            <w:vAlign w:val="bottom"/>
            <w:gridSpan w:val="2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1. Legal Proceedings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8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878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76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Item 2. Unregistered Sales of Equity Securities and Use of Proceeds</w:t>
              </w:r>
            </w:hyperlink>
          </w:p>
        </w:tc>
        <w:tc>
          <w:tcPr>
            <w:tcW w:w="576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3. Defaults Upon Senior Securities</w:t>
              </w:r>
            </w:hyperlink>
          </w:p>
        </w:tc>
        <w:tc>
          <w:tcPr>
            <w:tcW w:w="778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4. Mine Safety Disclosures</w:t>
              </w:r>
            </w:hyperlink>
          </w:p>
        </w:tc>
        <w:tc>
          <w:tcPr>
            <w:tcW w:w="834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660" w:type="dxa"/>
            <w:vAlign w:val="bottom"/>
            <w:gridSpan w:val="2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5. Other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17"/>
                <w:szCs w:val="17"/>
                <w:color w:val="auto"/>
              </w:rPr>
            </w:pPr>
          </w:p>
        </w:tc>
        <w:tc>
          <w:tcPr>
            <w:tcW w:w="880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6"/>
              </w:rPr>
            </w:pPr>
            <w:hyperlink w:anchor="page30">
              <w:r>
                <w:rPr>
                  <w:rFonts w:ascii="Arial" w:cs="Arial" w:eastAsia="Arial" w:hAnsi="Arial"/>
                  <w:sz w:val="18"/>
                  <w:szCs w:val="18"/>
                  <w:b w:val="1"/>
                  <w:bCs w:val="1"/>
                  <w:color w:val="0000EE"/>
                  <w:w w:val="96"/>
                </w:rPr>
                <w:t>SIGNATURES</w:t>
              </w:r>
            </w:hyperlink>
          </w:p>
        </w:tc>
        <w:tc>
          <w:tcPr>
            <w:tcW w:w="9500" w:type="dxa"/>
            <w:vAlign w:val="bottom"/>
            <w:gridSpan w:val="1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628"/>
        </w:trPr>
        <w:tc>
          <w:tcPr>
            <w:tcW w:w="7000" w:type="dxa"/>
            <w:vAlign w:val="bottom"/>
            <w:gridSpan w:val="16"/>
          </w:tcPr>
          <w:p>
            <w:pPr>
              <w:ind w:left="546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20" w:type="dxa"/>
            <w:vAlign w:val="bottom"/>
            <w:gridSpan w:val="4"/>
          </w:tcPr>
          <w:p>
            <w:pPr>
              <w:jc w:val="center"/>
              <w:ind w:right="161"/>
              <w:spacing w:after="0"/>
              <w:rPr>
                <w:sz w:val="20"/>
                <w:szCs w:val="20"/>
                <w:color w:val="auto"/>
              </w:rPr>
            </w:pPr>
            <w:r>
              <w:rPr>
                <w:rFonts w:ascii="Arial" w:cs="Arial" w:eastAsia="Arial" w:hAnsi="Arial"/>
                <w:sz w:val="14"/>
                <w:szCs w:val="14"/>
                <w:b w:val="1"/>
                <w:bCs w:val="1"/>
                <w:color w:val="auto"/>
                <w:w w:val="89"/>
              </w:rPr>
              <w:t>September 30,</w:t>
            </w:r>
          </w:p>
        </w:tc>
        <w:tc>
          <w:tcPr>
            <w:tcW w:w="1120" w:type="dxa"/>
            <w:vAlign w:val="bottom"/>
            <w:gridSpan w:val="3"/>
          </w:tcPr>
          <w:p>
            <w:pPr>
              <w:jc w:val="right"/>
              <w:ind w:right="12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708,642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1,177,678</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134,813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234,959</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843,455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1,412,637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and investments held in Trust Account</w:t>
            </w:r>
          </w:p>
        </w:tc>
        <w:tc>
          <w:tcPr>
            <w:tcW w:w="100" w:type="dxa"/>
            <w:vAlign w:val="bottom"/>
          </w:tcPr>
          <w:p>
            <w:pPr>
              <w:spacing w:after="0"/>
              <w:rPr>
                <w:sz w:val="18"/>
                <w:szCs w:val="18"/>
                <w:color w:val="auto"/>
              </w:rPr>
            </w:pPr>
          </w:p>
        </w:tc>
        <w:tc>
          <w:tcPr>
            <w:tcW w:w="1120" w:type="dxa"/>
            <w:vAlign w:val="bottom"/>
            <w:gridSpan w:val="3"/>
          </w:tcPr>
          <w:p>
            <w:pPr>
              <w:jc w:val="right"/>
              <w:ind w:right="181"/>
              <w:spacing w:after="0"/>
              <w:rPr>
                <w:sz w:val="20"/>
                <w:szCs w:val="20"/>
                <w:color w:val="auto"/>
              </w:rPr>
            </w:pPr>
            <w:r>
              <w:rPr>
                <w:rFonts w:ascii="Arial" w:cs="Arial" w:eastAsia="Arial" w:hAnsi="Arial"/>
                <w:sz w:val="18"/>
                <w:szCs w:val="18"/>
                <w:color w:val="auto"/>
                <w:w w:val="87"/>
              </w:rPr>
              <w:t>207,396,111</w:t>
            </w: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207,376,213</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208,239,566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87"/>
              </w:rPr>
              <w:t>208,788,850</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6,144,562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893,415</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Accrued offering costs</w:t>
            </w:r>
          </w:p>
        </w:tc>
        <w:tc>
          <w:tcPr>
            <w:tcW w:w="10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6,144,562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895,645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Warrant liabilities</w:t>
            </w:r>
          </w:p>
        </w:tc>
        <w:tc>
          <w:tcPr>
            <w:tcW w:w="100" w:type="dxa"/>
            <w:vAlign w:val="bottom"/>
          </w:tcPr>
          <w:p>
            <w:pPr>
              <w:spacing w:after="0"/>
              <w:rPr>
                <w:sz w:val="18"/>
                <w:szCs w:val="18"/>
                <w:color w:val="auto"/>
              </w:rPr>
            </w:pPr>
          </w:p>
        </w:tc>
        <w:tc>
          <w:tcPr>
            <w:tcW w:w="1120" w:type="dxa"/>
            <w:vAlign w:val="bottom"/>
            <w:gridSpan w:val="3"/>
          </w:tcPr>
          <w:p>
            <w:pPr>
              <w:jc w:val="right"/>
              <w:ind w:right="181"/>
              <w:spacing w:after="0"/>
              <w:rPr>
                <w:sz w:val="20"/>
                <w:szCs w:val="20"/>
                <w:color w:val="auto"/>
              </w:rPr>
            </w:pPr>
            <w:r>
              <w:rPr>
                <w:rFonts w:ascii="Arial" w:cs="Arial" w:eastAsia="Arial" w:hAnsi="Arial"/>
                <w:sz w:val="18"/>
                <w:szCs w:val="18"/>
                <w:color w:val="auto"/>
                <w:w w:val="97"/>
              </w:rPr>
              <w:t>29,599,970</w:t>
            </w: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w w:val="97"/>
              </w:rPr>
              <w:t>22,513,065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7,258,021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7,258,021</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43,002,553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30,666,731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Class A ordinary shares subject to possible redemption, 20,737,202 shares at $10.00 per share as of September 30,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2021 and December 31, 2020</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207,372,020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207,372,020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Preference shares, $0.0001 par value; 1,000,000 shares authorized; no shares issued and outstanding</w:t>
            </w:r>
          </w:p>
        </w:tc>
        <w:tc>
          <w:tcPr>
            <w:tcW w:w="100" w:type="dxa"/>
            <w:vAlign w:val="bottom"/>
          </w:tcPr>
          <w:p>
            <w:pPr>
              <w:spacing w:after="0"/>
              <w:rPr>
                <w:sz w:val="18"/>
                <w:szCs w:val="18"/>
                <w:color w:val="auto"/>
              </w:rPr>
            </w:pPr>
          </w:p>
        </w:tc>
        <w:tc>
          <w:tcPr>
            <w:tcW w:w="112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ordinary shares, $0.0001 par value; 200,000,000 shares authorized at September 30, 2021 and December 31,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0"/>
              </w:rPr>
              <w:t>Class B ordinary shares, $0.0001 par value; 20,000,000 shares authorized; 5,184,300 shares issued and outstanding at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September 30, 2021 and December 31, 2020</w:t>
            </w:r>
          </w:p>
        </w:tc>
        <w:tc>
          <w:tcPr>
            <w:tcW w:w="100" w:type="dxa"/>
            <w:vAlign w:val="bottom"/>
          </w:tcPr>
          <w:p>
            <w:pPr>
              <w:spacing w:after="0"/>
              <w:rPr>
                <w:sz w:val="20"/>
                <w:szCs w:val="20"/>
                <w:color w:val="auto"/>
              </w:rPr>
            </w:pPr>
          </w:p>
        </w:tc>
        <w:tc>
          <w:tcPr>
            <w:tcW w:w="1120" w:type="dxa"/>
            <w:vAlign w:val="bottom"/>
            <w:gridSpan w:val="3"/>
          </w:tcPr>
          <w:p>
            <w:pPr>
              <w:ind w:left="64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0"/>
                <w:szCs w:val="20"/>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20" w:type="dxa"/>
            <w:vAlign w:val="bottom"/>
            <w:gridSpan w:val="3"/>
          </w:tcPr>
          <w:p>
            <w:pPr>
              <w:jc w:val="right"/>
              <w:ind w:right="121"/>
              <w:spacing w:after="0"/>
              <w:rPr>
                <w:sz w:val="20"/>
                <w:szCs w:val="20"/>
                <w:color w:val="auto"/>
              </w:rPr>
            </w:pPr>
            <w:r>
              <w:rPr>
                <w:rFonts w:ascii="Arial" w:cs="Arial" w:eastAsia="Arial" w:hAnsi="Arial"/>
                <w:sz w:val="18"/>
                <w:szCs w:val="18"/>
                <w:color w:val="auto"/>
                <w:w w:val="92"/>
              </w:rPr>
              <w:t>(42,135,525)</w:t>
            </w: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2"/>
              </w:rPr>
              <w:t>(29,250,419)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1"/>
              </w:rPr>
              <w:t>(42,135,007</w:t>
            </w:r>
          </w:p>
        </w:tc>
        <w:tc>
          <w:tcPr>
            <w:tcW w:w="200" w:type="dxa"/>
            <w:vAlign w:val="bottom"/>
            <w:shd w:val="clear" w:color="auto" w:fill="CCEEFF"/>
          </w:tcPr>
          <w:p>
            <w:pPr>
              <w:jc w:val="right"/>
              <w:ind w:right="121"/>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(29,249,901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208,239,566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208,788,850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41"/>
              <w:spacing w:after="0" w:line="149" w:lineRule="exact"/>
              <w:rPr>
                <w:sz w:val="20"/>
                <w:szCs w:val="20"/>
                <w:color w:val="auto"/>
              </w:rPr>
            </w:pPr>
            <w:r>
              <w:rPr>
                <w:rFonts w:ascii="Arial" w:cs="Arial" w:eastAsia="Arial" w:hAnsi="Arial"/>
                <w:sz w:val="14"/>
                <w:szCs w:val="14"/>
                <w:b w:val="1"/>
                <w:bCs w:val="1"/>
                <w:color w:val="auto"/>
                <w:w w:val="94"/>
              </w:rPr>
              <w:t>from July 31,</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For The Three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Nine months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41"/>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2,241,776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5,822,575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(2,241,776)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(5,822,575)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4,476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earned on investments held in Trust Account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liabilities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1,755,959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(7,086,905)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1"/>
              </w:rPr>
              <w:t>(2,260,000)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Offering costs—warrants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(754,990)</w:t>
            </w:r>
          </w:p>
        </w:tc>
        <w:tc>
          <w:tcPr>
            <w:tcW w:w="0" w:type="dxa"/>
            <w:vAlign w:val="bottom"/>
          </w:tcPr>
          <w:p>
            <w:pPr>
              <w:spacing w:after="0"/>
              <w:rPr>
                <w:sz w:val="1"/>
                <w:szCs w:val="1"/>
                <w:color w:val="auto"/>
              </w:rPr>
            </w:pPr>
          </w:p>
        </w:tc>
      </w:tr>
      <w:tr>
        <w:trPr>
          <w:trHeight w:val="223"/>
        </w:trPr>
        <w:tc>
          <w:tcPr>
            <w:tcW w:w="6040" w:type="dxa"/>
            <w:vAlign w:val="bottom"/>
          </w:tcPr>
          <w:p>
            <w:pPr>
              <w:ind w:left="360"/>
              <w:spacing w:after="0"/>
              <w:rPr>
                <w:sz w:val="20"/>
                <w:szCs w:val="20"/>
                <w:color w:val="auto"/>
              </w:rPr>
            </w:pPr>
            <w:r>
              <w:rPr>
                <w:rFonts w:ascii="Arial" w:cs="Arial" w:eastAsia="Arial" w:hAnsi="Arial"/>
                <w:sz w:val="18"/>
                <w:szCs w:val="18"/>
                <w:color w:val="auto"/>
              </w:rPr>
              <w:t>Total other income (expense), net</w:t>
            </w:r>
          </w:p>
        </w:tc>
        <w:tc>
          <w:tcPr>
            <w:tcW w:w="1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1,758,628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(7,062,531)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(3,014,826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(483,148)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(12,885,106)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(3,032,369)</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of Class A ordinary shares</w:t>
            </w: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20,737,202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20,737,202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Class A</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of Class B ordinary shares</w:t>
            </w: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5,184,300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5,184,300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5,184,300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Class B</w:t>
            </w:r>
          </w:p>
        </w:tc>
        <w:tc>
          <w:tcPr>
            <w:tcW w:w="1520" w:type="dxa"/>
            <w:vAlign w:val="bottom"/>
            <w:gridSpan w:val="2"/>
            <w:shd w:val="clear" w:color="auto" w:fill="CCEEFF"/>
          </w:tcPr>
          <w:p>
            <w:pPr>
              <w:ind w:left="14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(0.50)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(0.12)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CHANGES IN SHAREHOLDERS’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40" w:type="dxa"/>
            <w:vAlign w:val="bottom"/>
            <w:gridSpan w:val="9"/>
            <w:vMerge w:val="restart"/>
          </w:tcPr>
          <w:p>
            <w:pPr>
              <w:jc w:val="right"/>
              <w:ind w:right="100"/>
              <w:spacing w:after="0"/>
              <w:rPr>
                <w:sz w:val="20"/>
                <w:szCs w:val="20"/>
                <w:color w:val="auto"/>
              </w:rPr>
            </w:pPr>
            <w:r>
              <w:rPr>
                <w:rFonts w:ascii="Arial" w:cs="Arial" w:eastAsia="Arial" w:hAnsi="Arial"/>
                <w:sz w:val="14"/>
                <w:szCs w:val="14"/>
                <w:b w:val="1"/>
                <w:bCs w:val="1"/>
                <w:color w:val="auto"/>
                <w:w w:val="98"/>
              </w:rPr>
              <w:t>Class A Ordinary</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5"/>
              </w:rPr>
              <w:t>Class B Ordinary</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5"/>
          </w:tcPr>
          <w:p>
            <w:pPr>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4"/>
                <w:szCs w:val="14"/>
                <w:color w:val="auto"/>
              </w:rPr>
            </w:pPr>
          </w:p>
        </w:tc>
        <w:tc>
          <w:tcPr>
            <w:tcW w:w="130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240" w:type="dxa"/>
            <w:vAlign w:val="bottom"/>
            <w:gridSpan w:val="9"/>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6"/>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5"/>
          </w:tcPr>
          <w:p>
            <w:pPr>
              <w:jc w:val="right"/>
              <w:ind w:right="340"/>
              <w:spacing w:after="0" w:line="149"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gridSpan w:val="5"/>
          </w:tcPr>
          <w:p>
            <w:pPr>
              <w:ind w:left="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55"/>
        </w:trPr>
        <w:tc>
          <w:tcPr>
            <w:tcW w:w="4480" w:type="dxa"/>
            <w:vAlign w:val="bottom"/>
          </w:tcPr>
          <w:p>
            <w:pPr>
              <w:spacing w:after="0"/>
              <w:rPr>
                <w:sz w:val="13"/>
                <w:szCs w:val="13"/>
                <w:color w:val="auto"/>
              </w:rPr>
            </w:pPr>
          </w:p>
        </w:tc>
        <w:tc>
          <w:tcPr>
            <w:tcW w:w="4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5"/>
              </w:rPr>
              <w:t>Shares</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0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gridSpan w:val="2"/>
          </w:tcPr>
          <w:p>
            <w:pPr>
              <w:spacing w:after="0"/>
              <w:rPr>
                <w:sz w:val="13"/>
                <w:szCs w:val="13"/>
                <w:color w:val="auto"/>
              </w:rPr>
            </w:pPr>
          </w:p>
        </w:tc>
        <w:tc>
          <w:tcPr>
            <w:tcW w:w="520" w:type="dxa"/>
            <w:vAlign w:val="bottom"/>
            <w:tcBorders>
              <w:top w:val="single" w:sz="8" w:color="auto"/>
              <w:bottom w:val="single" w:sz="8" w:color="auto"/>
            </w:tcBorders>
            <w:gridSpan w:val="4"/>
          </w:tcPr>
          <w:p>
            <w:pPr>
              <w:spacing w:after="0" w:line="155"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left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2"/>
              </w:rPr>
              <w:t>5,184,300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518</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2"/>
              </w:rPr>
              <w:t>$(29,250,419)</w:t>
            </w: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$(29,249,901)</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5"/>
          </w:tcPr>
          <w:p>
            <w:pPr>
              <w:jc w:val="right"/>
              <w:ind w:right="40"/>
              <w:spacing w:after="0"/>
              <w:rPr>
                <w:sz w:val="20"/>
                <w:szCs w:val="20"/>
                <w:color w:val="auto"/>
              </w:rPr>
            </w:pPr>
            <w:r>
              <w:rPr>
                <w:rFonts w:ascii="Arial" w:cs="Arial" w:eastAsia="Arial" w:hAnsi="Arial"/>
                <w:sz w:val="18"/>
                <w:szCs w:val="18"/>
                <w:color w:val="auto"/>
              </w:rPr>
              <w:t>(33,671,616)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(33,671,616)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left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2"/>
              </w:rPr>
              <w:t>5,184,300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518</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2"/>
              </w:rPr>
              <w:t>$(62,922,035)</w:t>
            </w: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$(62,921,517)</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5"/>
          </w:tcPr>
          <w:p>
            <w:pPr>
              <w:jc w:val="right"/>
              <w:ind w:right="100"/>
              <w:spacing w:after="0"/>
              <w:rPr>
                <w:sz w:val="20"/>
                <w:szCs w:val="20"/>
                <w:color w:val="auto"/>
              </w:rPr>
            </w:pPr>
            <w:r>
              <w:rPr>
                <w:rFonts w:ascii="Arial" w:cs="Arial" w:eastAsia="Arial" w:hAnsi="Arial"/>
                <w:sz w:val="18"/>
                <w:szCs w:val="18"/>
                <w:color w:val="auto"/>
              </w:rPr>
              <w:t>21,269,658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21,269,658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left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2"/>
              </w:rPr>
              <w:t>5,184,300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518</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2"/>
              </w:rPr>
              <w:t>$(41,652,377)</w:t>
            </w: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$(41,651,859)</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(483,148)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(483,148)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September 30, 2021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left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2"/>
              </w:rPr>
              <w:t>5,184,300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518</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(42,135,525)</w:t>
            </w: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(42,135,007)</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9940" w:type="dxa"/>
            <w:vAlign w:val="bottom"/>
            <w:gridSpan w:val="33"/>
          </w:tcPr>
          <w:p>
            <w:pPr>
              <w:ind w:left="1840"/>
              <w:spacing w:after="0"/>
              <w:rPr>
                <w:sz w:val="20"/>
                <w:szCs w:val="20"/>
                <w:color w:val="auto"/>
              </w:rPr>
            </w:pPr>
            <w:r>
              <w:rPr>
                <w:rFonts w:ascii="Arial" w:cs="Arial" w:eastAsia="Arial" w:hAnsi="Arial"/>
                <w:sz w:val="18"/>
                <w:szCs w:val="18"/>
                <w:b w:val="1"/>
                <w:bCs w:val="1"/>
                <w:color w:val="auto"/>
              </w:rPr>
              <w:t>FOR THE PERIOD FROM JULY 31, 2020 (INCEPTION) THROUGH SEPTEMBER 30, 2020</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w w:val="93"/>
              </w:rPr>
              <w:t>Class A Ordinary</w:t>
            </w:r>
          </w:p>
        </w:tc>
        <w:tc>
          <w:tcPr>
            <w:tcW w:w="200" w:type="dxa"/>
            <w:vAlign w:val="bottom"/>
          </w:tcPr>
          <w:p>
            <w:pPr>
              <w:spacing w:after="0"/>
              <w:rPr>
                <w:sz w:val="24"/>
                <w:szCs w:val="24"/>
                <w:color w:val="auto"/>
              </w:rPr>
            </w:pPr>
          </w:p>
        </w:tc>
        <w:tc>
          <w:tcPr>
            <w:tcW w:w="1580" w:type="dxa"/>
            <w:vAlign w:val="bottom"/>
            <w:gridSpan w:val="9"/>
            <w:vMerge w:val="restart"/>
          </w:tcPr>
          <w:p>
            <w:pPr>
              <w:jc w:val="right"/>
              <w:ind w:right="280"/>
              <w:spacing w:after="0"/>
              <w:rPr>
                <w:sz w:val="20"/>
                <w:szCs w:val="20"/>
                <w:color w:val="auto"/>
              </w:rPr>
            </w:pPr>
            <w:r>
              <w:rPr>
                <w:rFonts w:ascii="Arial" w:cs="Arial" w:eastAsia="Arial" w:hAnsi="Arial"/>
                <w:sz w:val="14"/>
                <w:szCs w:val="14"/>
                <w:b w:val="1"/>
                <w:bCs w:val="1"/>
                <w:color w:val="auto"/>
              </w:rPr>
              <w:t>Class B Ordinary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9"/>
            <w:vMerge w:val="continue"/>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9"/>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Paid-in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55"/>
        </w:trPr>
        <w:tc>
          <w:tcPr>
            <w:tcW w:w="4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Borders>
              <w:top w:val="single" w:sz="8" w:color="auto"/>
            </w:tcBorders>
            <w:gridSpan w:val="5"/>
          </w:tcPr>
          <w:p>
            <w:pPr>
              <w:jc w:val="right"/>
              <w:ind w:right="120"/>
              <w:spacing w:after="0" w:line="155" w:lineRule="exact"/>
              <w:rPr>
                <w:sz w:val="20"/>
                <w:szCs w:val="20"/>
                <w:color w:val="auto"/>
              </w:rPr>
            </w:pPr>
            <w:r>
              <w:rPr>
                <w:rFonts w:ascii="Arial" w:cs="Arial" w:eastAsia="Arial" w:hAnsi="Arial"/>
                <w:sz w:val="14"/>
                <w:szCs w:val="14"/>
                <w:b w:val="1"/>
                <w:bCs w:val="1"/>
                <w:color w:val="auto"/>
                <w:w w:val="85"/>
              </w:rPr>
              <w:t>Shares</w:t>
            </w: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13"/>
                <w:szCs w:val="13"/>
                <w:color w:val="auto"/>
              </w:rPr>
            </w:pPr>
          </w:p>
        </w:tc>
        <w:tc>
          <w:tcPr>
            <w:tcW w:w="820" w:type="dxa"/>
            <w:vAlign w:val="bottom"/>
            <w:tcBorders>
              <w:top w:val="single" w:sz="8" w:color="auto"/>
            </w:tcBorders>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July 31, 2020 (inception)</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7"/>
              </w:rPr>
              <w:t>—</w:t>
            </w:r>
          </w:p>
        </w:tc>
        <w:tc>
          <w:tcPr>
            <w:tcW w:w="20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Issuance of Class B ordinary shares to Sponsor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77"/>
              </w:rPr>
              <w:t>—</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5,750,000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24,425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3"/>
              </w:rPr>
              <w:t>Accretion for Class A ordinary shares to redemption amount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7"/>
              </w:rPr>
              <w:t>—</w:t>
            </w:r>
          </w:p>
        </w:tc>
        <w:tc>
          <w:tcPr>
            <w:tcW w:w="20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(24,425)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0"/>
              </w:rPr>
              <w:t>(23,521,731)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(23,546,156)</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Forfeiture of Founder Shares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77"/>
              </w:rPr>
              <w:t>—</w:t>
            </w:r>
          </w:p>
        </w:tc>
        <w:tc>
          <w:tcPr>
            <w:tcW w:w="1180" w:type="dxa"/>
            <w:vAlign w:val="bottom"/>
            <w:gridSpan w:val="5"/>
          </w:tcPr>
          <w:p>
            <w:pPr>
              <w:jc w:val="right"/>
              <w:ind w:right="54"/>
              <w:spacing w:after="0"/>
              <w:rPr>
                <w:sz w:val="20"/>
                <w:szCs w:val="20"/>
                <w:color w:val="auto"/>
              </w:rPr>
            </w:pPr>
            <w:r>
              <w:rPr>
                <w:rFonts w:ascii="Arial" w:cs="Arial" w:eastAsia="Arial" w:hAnsi="Arial"/>
                <w:sz w:val="18"/>
                <w:szCs w:val="18"/>
                <w:color w:val="auto"/>
              </w:rPr>
              <w:t>(565,700)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7"/>
              </w:rPr>
              <w:t>—</w:t>
            </w:r>
          </w:p>
        </w:tc>
        <w:tc>
          <w:tcPr>
            <w:tcW w:w="20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(3,032,369)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(3,032,369)</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Balance – September 30, 2020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77"/>
              </w:rPr>
              <w:t>—</w:t>
            </w:r>
          </w:p>
        </w:tc>
        <w:tc>
          <w:tcPr>
            <w:tcW w:w="10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5,184,300</w:t>
            </w:r>
          </w:p>
        </w:tc>
        <w:tc>
          <w:tcPr>
            <w:tcW w:w="16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w:t>
            </w:r>
          </w:p>
        </w:tc>
        <w:tc>
          <w:tcPr>
            <w:tcW w:w="4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518</w:t>
            </w:r>
          </w:p>
        </w:tc>
        <w:tc>
          <w:tcPr>
            <w:tcW w:w="240" w:type="dxa"/>
            <w:vAlign w:val="bottom"/>
            <w:gridSpan w:val="3"/>
          </w:tcPr>
          <w:p>
            <w:pPr>
              <w:ind w:left="140"/>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6"/>
          </w:tcPr>
          <w:p>
            <w:pPr>
              <w:jc w:val="right"/>
              <w:ind w:right="1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(26,554,043)</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(26,553,525)</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1"/>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Nine months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3"/>
              </w:rPr>
              <w:t>July 31,</w:t>
            </w: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2020 (Inception)</w:t>
            </w: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1"/>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1"/>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71"/>
        </w:trPr>
        <w:tc>
          <w:tcPr>
            <w:tcW w:w="730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(12,885,106)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(3,032,369)</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liabilities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7,086,905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2,260,000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Formation cost paid by Sponsor in exchange for issuance of founder shares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6,606</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Interest earned on investments held in Trust Account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(19,898)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costs allocated to warrants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754,990</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100,146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(278,363)</w:t>
            </w:r>
          </w:p>
        </w:tc>
        <w:tc>
          <w:tcPr>
            <w:tcW w:w="0" w:type="dxa"/>
            <w:vAlign w:val="bottom"/>
          </w:tcPr>
          <w:p>
            <w:pPr>
              <w:spacing w:after="0"/>
              <w:rPr>
                <w:sz w:val="1"/>
                <w:szCs w:val="1"/>
                <w:color w:val="auto"/>
              </w:rPr>
            </w:pPr>
          </w:p>
        </w:tc>
      </w:tr>
      <w:tr>
        <w:trPr>
          <w:trHeight w:val="216"/>
        </w:trPr>
        <w:tc>
          <w:tcPr>
            <w:tcW w:w="730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5,248,917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used in operating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(469,036)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(289,300)</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Investment of cash into Trust Account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(200,000,000)</w:t>
            </w:r>
          </w:p>
        </w:tc>
        <w:tc>
          <w:tcPr>
            <w:tcW w:w="0" w:type="dxa"/>
            <w:vAlign w:val="bottom"/>
          </w:tcPr>
          <w:p>
            <w:pPr>
              <w:spacing w:after="0"/>
              <w:rPr>
                <w:sz w:val="1"/>
                <w:szCs w:val="1"/>
                <w:color w:val="auto"/>
              </w:rPr>
            </w:pPr>
          </w:p>
        </w:tc>
      </w:tr>
      <w:tr>
        <w:trPr>
          <w:trHeight w:val="230"/>
        </w:trPr>
        <w:tc>
          <w:tcPr>
            <w:tcW w:w="7300" w:type="dxa"/>
            <w:vAlign w:val="bottom"/>
          </w:tcPr>
          <w:p>
            <w:pPr>
              <w:ind w:left="1080"/>
              <w:spacing w:after="0"/>
              <w:rPr>
                <w:sz w:val="20"/>
                <w:szCs w:val="20"/>
                <w:color w:val="auto"/>
              </w:rPr>
            </w:pPr>
            <w:r>
              <w:rPr>
                <w:rFonts w:ascii="Arial" w:cs="Arial" w:eastAsia="Arial" w:hAnsi="Arial"/>
                <w:sz w:val="18"/>
                <w:szCs w:val="18"/>
                <w:b w:val="1"/>
                <w:bCs w:val="1"/>
                <w:color w:val="auto"/>
              </w:rPr>
              <w:t>Net cash used in investing activities</w:t>
            </w:r>
          </w:p>
        </w:tc>
        <w:tc>
          <w:tcPr>
            <w:tcW w:w="1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(200,000,000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Proceeds from sale of Units, net of underwriting discount paid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w w:val="93"/>
              </w:rPr>
              <w:t>196,000,000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Private Placement Units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(397,793)</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(82,729)</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201,519,478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(469,036)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1,230,178</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Cash – Beginning of period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1,177,678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708,642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1,230,178</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Offering costs included in accrued offering costs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360"/>
              <w:spacing w:after="0"/>
              <w:rPr>
                <w:sz w:val="20"/>
                <w:szCs w:val="20"/>
                <w:color w:val="auto"/>
              </w:rPr>
            </w:pPr>
            <w:r>
              <w:rPr>
                <w:rFonts w:ascii="Arial" w:cs="Arial" w:eastAsia="Arial" w:hAnsi="Arial"/>
                <w:sz w:val="18"/>
                <w:szCs w:val="18"/>
                <w:color w:val="auto"/>
              </w:rPr>
              <w:t>Offering costs paid by Sponsor in exchange for issuance of founder shares</w:t>
            </w: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Offering costs paid through promissory note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82,729</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360"/>
              <w:spacing w:after="0"/>
              <w:rPr>
                <w:sz w:val="20"/>
                <w:szCs w:val="20"/>
                <w:color w:val="auto"/>
              </w:rPr>
            </w:pPr>
            <w:r>
              <w:rPr>
                <w:rFonts w:ascii="Arial" w:cs="Arial" w:eastAsia="Arial" w:hAnsi="Arial"/>
                <w:sz w:val="18"/>
                <w:szCs w:val="18"/>
                <w:color w:val="auto"/>
              </w:rPr>
              <w:t>Initial classification of Class A ordinary shares subject to possible redemption</w:t>
            </w: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207,372,020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underwriting fee payable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SEPTEMBER 30, 2021</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1—DESCRIPTION OF ORGANIZATION AND BUSINESS OPERATIONS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January 11, 2021, the Company entered into an Agreement and Plan of Merger (the “Merger Agreement”), with Pylon Merger Company LLC, a Delaware limited liability company and a direct wholly owned subsidiary of the Company (“Merger Sub”), and Bakkt Holdings, LLC, a Delaware limited liability company (“Bakkt”), a transformative digital asset marketplace launched in 2018 by Intercontinental Exchange, Inc. (“ICE”) and a group of investors and strategic partners (see Note 7).</w:t>
      </w:r>
    </w:p>
    <w:p>
      <w:pPr>
        <w:spacing w:after="0" w:line="18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2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As of September 30, 2021, the Company had not commenced any operations. All activity from inception through September 30, 2021 relates to the Company’s formation, its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88"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The registration statement for the Company’s Initial Public Offering was declared effective on September 22, 2020. On September 25, 2020 the Company consummated the Initial Public Offering of 20,000,000 units (the “Units” and, with respect to the Class A ordinary shares included in the Units sold, the “Public Shares”), generating gross proceeds of $200,000,000 which is described in Note 4.</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6,000,000 warrants (the “Private Placement Warrants”) at a price of $1.00 per Private Placement Warrant in a private placement to VPC Impact Acquisition Holdings Sponsor, LLC (the “Sponsor”), generating gross proceeds of $6,000,000, which is described in Note 5.</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September 29, 2020, the underwriters notified the Company of their intention to partially exercise their over-allotment option on October 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As such, on October 1, 2020, the Company consummated the sale of an additional 737,202 Units, at $10.00 per Unit, and the sale of an additional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147,440 Private Placement Warrants, at $1.00 per Private Warrant, generating total gross proceeds of $7,519,460.</w:t>
      </w:r>
    </w:p>
    <w:p>
      <w:pPr>
        <w:spacing w:after="0" w:line="21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Transaction costs charged to equity amounted to $11,906,607, consisting of $4,147,440 of underwriting fees, $7,258,021 of deferred underwriting fees and $501,146 of other offering costs.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Following the closing of the Initial Public Offering on September 25, 2020 and the partial exercise of the underwriter’s over-allotment 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October 1, 2020, an amount of $207,372,020 ($10.00 per Unit) from the net proceeds of the sale of the Units in the Initial Public Offering and the sale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Private Placement Warrants was placed in a trust account (the “Trust Account”) and invested in U.S. government securities, within the meaning set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forth in Section 2(a)(16) of the Investment Company Act of 1940, as amended (the “Investment Company Act”), with a maturity of 185 days or less,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any open-ended investment company that holds itself out as a money market fund investing solely in U.S. Treasuries and meeting certain conditions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Rule 2a-7 of the Investment Company Act, as determined by the Company, until the earliest of: (i) the completion of a Business Combination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(ii) the distribution of the funds in the Trust Account to the Company’s shareholders, as described below.</w:t>
      </w:r>
    </w:p>
    <w:p>
      <w:pPr>
        <w:spacing w:after="0" w:line="21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 stock exchange listing rules require that the Business Combination must be with one or more operating businesses or assets with a fair market value equal to at least 80% of the assets held in the Trust Account (excluding the deferred underwriting commissions and taxes payable on the interest earned on the Trust Account).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178"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Company will provide the holders of the public shares (the “Public Shareholders”) with the opportunity to redeem all or a portion of their public shares upon the completion of the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equal to the aggregate amount then on deposit in the Trust Account, calculated as of two business days prior to the consummation of the Business Combination (initially $10.00 per Public Share), including interest (which interest shall be net of taxes payable), divided by the number of then issued and outstanding public shares, subject to certain limitations as described in the prospectus. The per-share amount to be distributed to the Public Shareholders who properly redeem their shares will not be reduced by the deferred underwriting commissions the Company will pay to the underwriters (as discussed in Note 7). There will be no redemption rights upon the completion of a Business Combination with respect to the Company’s warrants.</w:t>
      </w:r>
    </w:p>
    <w:p>
      <w:pPr>
        <w:sectPr>
          <w:pgSz w:w="11900" w:h="16838" w:orient="portrait"/>
          <w:cols w:equalWidth="0" w:num="1">
            <w:col w:w="11120"/>
          </w:cols>
          <w:pgMar w:left="320" w:top="486" w:right="459" w:bottom="1149" w:gutter="0" w:footer="0" w:header="0"/>
        </w:sectPr>
      </w:pP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20"/>
          </w:cols>
          <w:pgMar w:left="320" w:top="486" w:right="459" w:bottom="1149"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SEPTEMBER 30, 2021</w:t>
      </w:r>
    </w:p>
    <w:p>
      <w:pPr>
        <w:spacing w:after="0" w:line="326"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6) and any Public Shares purchased during or after the Initial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6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88"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w:t>
      </w:r>
    </w:p>
    <w:p>
      <w:pPr>
        <w:ind w:left="120" w:right="120" w:hanging="4"/>
        <w:spacing w:after="0" w:line="270"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Public Shares.</w:t>
      </w:r>
    </w:p>
    <w:p>
      <w:pPr>
        <w:spacing w:after="0" w:line="178"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The Company will have until September 25, 2022 to consummate a Business Combination (the “Combination Period”). However, if the Company has not completed a Business Combination within the Combination Period, the Company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and not previously released to the Company to pay its taxes, if any (less up to $100,000 of interest to pay dissolution expenses), divided by the number of then issued and outstanding Public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 The underwriters have agreed to waive their rights to their deferred underwriting commission (see Note 7)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underwriters of the Initial</w:t>
      </w:r>
    </w:p>
    <w:p>
      <w:pPr>
        <w:sectPr>
          <w:pgSz w:w="11900" w:h="16838" w:orient="portrait"/>
          <w:cols w:equalWidth="0" w:num="1">
            <w:col w:w="11120"/>
          </w:cols>
          <w:pgMar w:left="320" w:top="486" w:right="459" w:bottom="1440" w:gutter="0" w:footer="0" w:header="0"/>
        </w:sectPr>
      </w:pP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20"/>
          </w:cols>
          <w:pgMar w:left="320" w:top="486" w:right="4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SEPTEMBER 30, 2021</w:t>
      </w:r>
    </w:p>
    <w:p>
      <w:pPr>
        <w:spacing w:after="0" w:line="32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of September 30, 2021, the Company had approximately $709,000 in its operating bank accounts and working capital deficit of approximately $5.3 million.</w:t>
      </w:r>
    </w:p>
    <w:p>
      <w:pPr>
        <w:spacing w:after="0" w:line="170"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Prior to the completion of the Initial Public Offering, the Company’s liquidity needs had been satisfied through a contribution of $25,000 from Sponsor to cover for certain formation and offering costs in exchange for the issuance of the Founder Shares, the loan of up to $300,000 from the Sponsor pursuant to the Note (see Note 6), and the proceeds from the consummation of the Private Placement not held in the Trust Account. The Note was repaid on September 25, 2020. In addition, in order to finance transaction costs in connection with a Business Combination, the Sponsor or an affiliate of the Sponsor, or certain of the Company’s officers and directors may, but are not obligated to, provide the Company Working Capital Loans (see Note 6). As of September 30, 2021 and December 31, 2020, there were no amounts outstanding under any Working Capital Loan.</w:t>
      </w:r>
    </w:p>
    <w:p>
      <w:pPr>
        <w:spacing w:after="0" w:line="16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the Business Combination is not consummated, the Company will need to raise additional capital through loans or additional investments from its Sponsor, stockholders,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through one year from the date of these financial statements if a Business Combination is not consummated. These financial statements do not include any adjustments relating to the recovery of the recorded assets or the classification of the liabilities that might be necessary should the Company be unable to continue as a going concern.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REVISION OF PREVIOUSLY ISSUED FINANCIAL STATEMENTS</w:t>
      </w:r>
    </w:p>
    <w:p>
      <w:pPr>
        <w:spacing w:after="0" w:line="121"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In connection with the preparation of the Company’s financial statements as of September 30, 2021, management determined it should revise its previously reported financial statements. The Company determined, at the closing of the Company’s Initial Public Offering and shares sold pursuant to the exercise of the underwriters’ overallotment, it had improperly valued its Class A ordinary shares subject to possible redemption. The Company previously determined the Class A ordinary shares subject to possible redemption to be equal to the redemption value of $10.00 per Class A ordinary share while also taking into consideration a redemption cannot result in net tangible assets being less than $5,000,001. Management determined that the Class A ordinary shares issued during the Initial Public Offering and pursuant to the exercise of the underwriters’ overallotment can be redeemed or become redeemable subject to the occurrence of future events considered outside the Company’s control. Therefore, management concluded that the redemption value should include all Class A ordinary shares subject to possible redemption, resulting in the Class A ordinary shares subject to possible redemption being equal to their redemption value. As a result, management has noted a reclassification adjustment related to temporary equity and permanent equity. This resulted in an adjustment to the initial carrying value of the Class A ordinary shares subject to possible redemption with the offset recorded to additional paid-in capital (to the extent available), accumulated deficit and Class A ordinary shares.</w:t>
      </w:r>
    </w:p>
    <w:p>
      <w:pPr>
        <w:spacing w:after="0" w:line="17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In connection with the change in presentation for the Class A ordinary shares subject to redemption, the Company also revised its earnings per share calculation to allocate net income (loss) evenly to Class A and Class B ordinary shares. This presentation contemplates a Business Combination as the most likely outcome, in which case, both classes of ordinary shares share pro rata in the income (loss) of the Company.</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has been no change in the Company’s total assets, liabilities or operating results.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impact of the revision on the Company’s financial statements is reflected in the following table.</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 as of December 31, 2020 (audited)</w:t>
            </w:r>
          </w:p>
        </w:tc>
        <w:tc>
          <w:tcPr>
            <w:tcW w:w="160" w:type="dxa"/>
            <w:vAlign w:val="bottom"/>
          </w:tcPr>
          <w:p>
            <w:pPr>
              <w:spacing w:after="0"/>
              <w:rPr>
                <w:sz w:val="14"/>
                <w:szCs w:val="14"/>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7"/>
              </w:rPr>
              <w:t>As Previously</w:t>
            </w:r>
          </w:p>
        </w:tc>
        <w:tc>
          <w:tcPr>
            <w:tcW w:w="100" w:type="dxa"/>
            <w:vAlign w:val="bottom"/>
          </w:tcPr>
          <w:p>
            <w:pPr>
              <w:spacing w:after="0"/>
              <w:rPr>
                <w:sz w:val="14"/>
                <w:szCs w:val="14"/>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3"/>
              </w:rPr>
              <w:t>Adjustment</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As Revised</w:t>
            </w:r>
          </w:p>
        </w:tc>
        <w:tc>
          <w:tcPr>
            <w:tcW w:w="0" w:type="dxa"/>
            <w:vAlign w:val="bottom"/>
          </w:tcPr>
          <w:p>
            <w:pPr>
              <w:spacing w:after="0"/>
              <w:rPr>
                <w:sz w:val="1"/>
                <w:szCs w:val="1"/>
                <w:color w:val="auto"/>
              </w:rPr>
            </w:pPr>
          </w:p>
        </w:tc>
      </w:tr>
      <w:tr>
        <w:trPr>
          <w:trHeight w:val="171"/>
        </w:trPr>
        <w:tc>
          <w:tcPr>
            <w:tcW w:w="44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173,122,110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34,249,910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207,372,020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Class A ordinary shares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9,860,338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(9,860,338)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(4,861,190)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(24,389,229)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(29,250,419)</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 (Deficit)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(34,249,910)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(29,249,901)</w:t>
            </w:r>
          </w:p>
        </w:tc>
        <w:tc>
          <w:tcPr>
            <w:tcW w:w="0" w:type="dxa"/>
            <w:vAlign w:val="bottom"/>
          </w:tcPr>
          <w:p>
            <w:pPr>
              <w:spacing w:after="0"/>
              <w:rPr>
                <w:sz w:val="1"/>
                <w:szCs w:val="1"/>
                <w:color w:val="auto"/>
              </w:rPr>
            </w:pPr>
          </w:p>
        </w:tc>
      </w:tr>
      <w:tr>
        <w:trPr>
          <w:trHeight w:val="414"/>
        </w:trPr>
        <w:tc>
          <w:tcPr>
            <w:tcW w:w="4440" w:type="dxa"/>
            <w:vAlign w:val="bottom"/>
          </w:tcPr>
          <w:p>
            <w:pPr>
              <w:spacing w:after="0"/>
              <w:rPr>
                <w:sz w:val="20"/>
                <w:szCs w:val="20"/>
                <w:color w:val="auto"/>
              </w:rPr>
            </w:pPr>
            <w:r>
              <w:rPr>
                <w:rFonts w:ascii="Arial" w:cs="Arial" w:eastAsia="Arial" w:hAnsi="Arial"/>
                <w:sz w:val="18"/>
                <w:szCs w:val="18"/>
                <w:b w:val="1"/>
                <w:bCs w:val="1"/>
                <w:color w:val="auto"/>
                <w:w w:val="93"/>
              </w:rPr>
              <w:t>Statement of Cash Flows for the Period of July 31, 2020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40" w:type="dxa"/>
            <w:vAlign w:val="bottom"/>
          </w:tcPr>
          <w:p>
            <w:pPr>
              <w:ind w:left="180"/>
              <w:spacing w:after="0"/>
              <w:rPr>
                <w:sz w:val="20"/>
                <w:szCs w:val="20"/>
                <w:color w:val="auto"/>
              </w:rPr>
            </w:pPr>
            <w:r>
              <w:rPr>
                <w:rFonts w:ascii="Arial" w:cs="Arial" w:eastAsia="Arial" w:hAnsi="Arial"/>
                <w:sz w:val="18"/>
                <w:szCs w:val="18"/>
                <w:b w:val="1"/>
                <w:bCs w:val="1"/>
                <w:color w:val="auto"/>
              </w:rPr>
              <w:t>through September 30, 2020 (unaudited)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Initial classification of Class A ordinary shares subject to</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possible redemption</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168,557,240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31,442,760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200,000,000</w:t>
            </w:r>
          </w:p>
        </w:tc>
        <w:tc>
          <w:tcPr>
            <w:tcW w:w="0" w:type="dxa"/>
            <w:vAlign w:val="bottom"/>
          </w:tcPr>
          <w:p>
            <w:pPr>
              <w:spacing w:after="0"/>
              <w:rPr>
                <w:sz w:val="1"/>
                <w:szCs w:val="1"/>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rPr>
              <w:t>Change in value of Class A ordinary shares subject to</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possible redemption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(110,770)</w:t>
            </w: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110,770</w:t>
            </w:r>
          </w:p>
        </w:tc>
        <w:tc>
          <w:tcPr>
            <w:tcW w:w="1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3—SUMMARY OF SIGNIFICANT ACCOUNTING POLICIES</w:t>
      </w:r>
    </w:p>
    <w:p>
      <w:pPr>
        <w:sectPr>
          <w:pgSz w:w="11900" w:h="16838" w:orient="portrait"/>
          <w:cols w:equalWidth="0" w:num="1">
            <w:col w:w="11120"/>
          </w:cols>
          <w:pgMar w:left="320" w:top="486" w:right="459" w:bottom="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U.S.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78" w:lineRule="exact"/>
        <w:rPr>
          <w:sz w:val="20"/>
          <w:szCs w:val="20"/>
          <w:color w:val="auto"/>
        </w:rPr>
      </w:pPr>
    </w:p>
    <w:p>
      <w:pPr>
        <w:jc w:val="both"/>
        <w:ind w:right="200" w:firstLine="440"/>
        <w:spacing w:after="0" w:line="286"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Company’s Annual Report on Form 10-K/A as filed with the SEC on May 21, 2021. The interim results for the three and nine months ended September 30, 2021 are not necessarily indicative of the results to be expected for the period ending December 31, 2021 or for any future interim periods.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subsidiary. All significant intercompany balances and transactions have been eliminated in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ind w:right="160" w:firstLine="44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125"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SEPTEMBER 30, 2021</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preparation of condensed consolidated financial statements in conformity with GAAP requires the Company’s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w:t>
      </w:r>
    </w:p>
    <w:p>
      <w:pPr>
        <w:spacing w:after="0" w:line="16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condensed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187"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One of the more significant accounting estimates included in these condensed financial statements is the determination of the fair value of the warrant liabilities. Such estimates may be subject to change as more current information becomes available and accordingly the actual results could differ significantly from those estimates.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SEPTEMBER 30, 2021</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September 30, 2021 and December 31,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Investments held in Trust Account</w:t>
      </w:r>
    </w:p>
    <w:p>
      <w:pPr>
        <w:spacing w:after="0" w:line="117"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The Company’s portfolio of investments held in trust is comprised solely of investments in money market funds that invest in U.S. government securities,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investments are included in interest earned on marketable securities held in Trust Account in the accompanying condensed consolidated statements of operations. The estimated fair values of investments held in the Trust Account are determined using available market information.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 The fair value of the Private Placement Warrants was estimated using a Black-Scholes Option Pricing Model (see Note 10). For periods subsequent to the detachment of the Public Warrants from the Units, the close price of the Public Warrant price was used as the fair value of the Public Warrants as each relevant date.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Company accounts for its Class A ordinary shares subject to possible redemption in accordance with the guidance in ASC 480.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at September 30, 2021 and December 31, 2020, Class A ordinary shares subject to possible redemption are presented as temporary equity, outside of the shareholders’ equity section of the Company’s condensed consolidated balance sheets.</w:t>
      </w:r>
    </w:p>
    <w:p>
      <w:pPr>
        <w:spacing w:after="0" w:line="19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redeemable ordinary shares to equal the redemption value at the end of each reporting period. Immediately upon the closing of the Initial Public Offering, the Company recognized the accretion from initial book value to redemption amount value. The change in the carrying value of redeemable Class A ordinary shares resulted in charges against additional paid-in capital and accumulated deficit.</w:t>
      </w:r>
    </w:p>
    <w:p>
      <w:pPr>
        <w:spacing w:after="0" w:line="18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At September 30, 2021 and December 31, 2020, the Class A ordinary shares reflected in the condensed balance sheets are reconciled in the following table:</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207,372,020</w:t>
            </w: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allocated to Public Warrants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(13,275,495)</w:t>
            </w: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Class A ordinary shares issuance costs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2"/>
              </w:rPr>
              <w:t>(11,138,216)</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Accretion of carrying value to redemption value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24,413,711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ordinary shares subject to possible redemption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207,372,020</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Offering costs consist of legal, accounting, underwriting fees and other costs incurred through the Initial Public Offering that are directly related to the Initial Public Offering. Offering costs amounting to $11,906,606, of which $11,138,216 were charged to shareholders’ equity upon the completion of the Initial Public Offering and $768,391 were expensed to the condensed consolidated statements of operations.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Company accounts for income taxes under ASC Topic 740, “Income Taxes,”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w:t>
      </w:r>
    </w:p>
    <w:p>
      <w:pPr>
        <w:sectPr>
          <w:pgSz w:w="11900" w:h="16838" w:orient="portrait"/>
          <w:cols w:equalWidth="0" w:num="1">
            <w:col w:w="11120"/>
          </w:cols>
          <w:pgMar w:left="320" w:top="486" w:right="459" w:bottom="0" w:gutter="0" w:footer="0" w:header="0"/>
        </w:sectPr>
      </w:pPr>
    </w:p>
    <w:bookmarkStart w:id="13" w:name="page14"/>
    <w:bookmarkEnd w:id="13"/>
    <w:p>
      <w:pPr>
        <w:spacing w:after="0" w:line="259" w:lineRule="auto"/>
        <w:rPr>
          <w:sz w:val="20"/>
          <w:szCs w:val="20"/>
          <w:color w:val="auto"/>
        </w:rPr>
      </w:pPr>
      <w:r>
        <w:rPr>
          <w:rFonts w:ascii="Arial" w:cs="Arial" w:eastAsia="Arial" w:hAnsi="Arial"/>
          <w:sz w:val="18"/>
          <w:szCs w:val="18"/>
          <w:color w:val="auto"/>
        </w:rPr>
        <w:t>that the Cayman Islands is the Company’s major tax jurisdiction. The Company recognizes accrued interest and penalties related to unrecognized tax benefits as income tax expense. As of September 30, 2021 and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8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The Company does not expect that the total amount of unrecognized tax benefits will materially change over the next twelve months.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125"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58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SEPTEMBER 30, 2021</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Net income (loss) per ordinary share is computed by dividing net income (loss) by the weighted average number of ordinary shares outstanding for the period. The Company applies the two-class method in calculating earnings per share. Accretion associated with the redeemable shares of Class A ordinary shares is excluded from earnings per share as the redemption value approximates fair value.</w:t>
      </w:r>
    </w:p>
    <w:p>
      <w:pPr>
        <w:spacing w:after="0" w:line="187" w:lineRule="exact"/>
        <w:rPr>
          <w:sz w:val="20"/>
          <w:szCs w:val="20"/>
          <w:color w:val="auto"/>
        </w:rPr>
      </w:pPr>
    </w:p>
    <w:p>
      <w:pPr>
        <w:ind w:left="120" w:right="520" w:firstLine="440"/>
        <w:spacing w:after="0" w:line="296" w:lineRule="auto"/>
        <w:rPr>
          <w:sz w:val="20"/>
          <w:szCs w:val="20"/>
          <w:color w:val="auto"/>
        </w:rPr>
      </w:pPr>
      <w:r>
        <w:rPr>
          <w:rFonts w:ascii="Arial" w:cs="Arial" w:eastAsia="Arial" w:hAnsi="Arial"/>
          <w:sz w:val="16"/>
          <w:szCs w:val="16"/>
          <w:color w:val="auto"/>
        </w:rPr>
        <w:t>The calculation of diluted income (loss) per share does not consider the effect of the warrants issued in connection with the (i) Initial Public Offering, and (ii) the private placement since the exercise of the warrants is contingent upon the occurrence of future events. The warrants are exercisable to purchase 16,516,041 Class A ordinary shares in the aggregate. As of September 30, 2021 and 2020, the Company did not have any dilutive securities or other contracts that could, potentially, be exercised or converted into ordinary shares and then share in the earnings of the Company. As a result, diluted net loss per ordinary share is the same as basic net loss per ordinary share for the periods presented.</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reflects the calculation of basic and diluted net loss per ordinary share (in dollars, except per share amounts):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vMerge w:val="restart"/>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20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For the Period from July 31,</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2020 (Inception) Through</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4"/>
                <w:szCs w:val="14"/>
                <w:color w:val="auto"/>
              </w:rPr>
            </w:pPr>
          </w:p>
        </w:tc>
        <w:tc>
          <w:tcPr>
            <w:tcW w:w="20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September 30, 2020</w:t>
            </w: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Class A</w:t>
            </w: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Class A</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Class B</w:t>
            </w: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Class A</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Basic and diluted net loss per ordinary share</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Numerator:</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Allocation of net loss, as adjusted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(368,518)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(96,630)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(10,308,085)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(2,577,021)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(2,408,142)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(624,227)</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Basic and diluted weighted average shares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20,737,202</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5,184,300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20,737,202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5,184,300</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20,000,000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5,184,300</w:t>
            </w:r>
          </w:p>
        </w:tc>
        <w:tc>
          <w:tcPr>
            <w:tcW w:w="0" w:type="dxa"/>
            <w:vAlign w:val="bottom"/>
          </w:tcPr>
          <w:p>
            <w:pPr>
              <w:spacing w:after="0"/>
              <w:rPr>
                <w:sz w:val="1"/>
                <w:szCs w:val="1"/>
                <w:color w:val="auto"/>
              </w:rPr>
            </w:pPr>
          </w:p>
        </w:tc>
      </w:tr>
      <w:tr>
        <w:trPr>
          <w:trHeight w:val="224"/>
        </w:trPr>
        <w:tc>
          <w:tcPr>
            <w:tcW w:w="3760" w:type="dxa"/>
            <w:vAlign w:val="bottom"/>
          </w:tcPr>
          <w:p>
            <w:pPr>
              <w:spacing w:after="0"/>
              <w:rPr>
                <w:sz w:val="20"/>
                <w:szCs w:val="20"/>
                <w:color w:val="auto"/>
              </w:rPr>
            </w:pPr>
            <w:r>
              <w:rPr>
                <w:rFonts w:ascii="Arial" w:cs="Arial" w:eastAsia="Arial" w:hAnsi="Arial"/>
                <w:sz w:val="18"/>
                <w:szCs w:val="18"/>
                <w:color w:val="auto"/>
              </w:rPr>
              <w:t>Basic and diluted net loss per ordinary share</w:t>
            </w:r>
          </w:p>
        </w:tc>
        <w:tc>
          <w:tcPr>
            <w:tcW w:w="3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86"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SEPTEMBER 30, 2021</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Company’s condensed consolidated balance sheets, primarily due to their short-term nature, with the exception of the warrant liabilities (see Note 10).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August 2020, the FASB issued Accounting Standards Update No.2020-06, “Debt—Debt with Conversion and Other Options (Subtopic 470-20) and Derivatives and Hedging—Contracts in Entity’s Own Equity (Subtopic 815-40): Accounting for Convertible Instruments and Contracts in an Entity’s Own Equity” (“ASU2020-06”), which simplifies accounting for convertible instruments by removing major separation models required under current GAAP. ASU2020-06 removes certain settlement conditions that are required for equity contracts to qualify for the derivative scope exception and it also simplifies the diluted earnings per share calculation in certain areas. ASU2020-06 is effective for fiscal years beginning after December 15, 2023, including interim periods within those fiscal years, with early adoption permitted. The Company adopted ASU2020-06 effective as of January 1, 2021. The adoption of ASU2020-06 did not have an impact on the Company’s condensed consolidated financial statements.</w:t>
      </w:r>
    </w:p>
    <w:p>
      <w:pPr>
        <w:spacing w:after="0" w:line="166"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condensed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4—INITIAL PUBLIC OFFERING</w:t>
      </w:r>
    </w:p>
    <w:p>
      <w:pPr>
        <w:spacing w:after="0" w:line="121"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Pursuant to the Initial Public Offering, the Company sold 20,000,000 Units, at a purchase price of $10.00 per Unit. In connection with the underwriters’ partial exercise of the over-allotment option on October 1, 2020, the Company sold an additional 737,202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9).</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5—PRIVATE PLACEMENT</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purchased an aggregate of 6,000,000 Private Placement Warrants at a price of $1.00 per Private Placement Warrant, for an aggregate purchase price of $6,000,000. In connection with the underwriters’ partial exercise of the over-allotment option on October 1, 2020, the Company sold an additional 147,440 Private Placement Warrants, at a purchase price of $1.00 per Private Placement Warrants, for an aggregate purchase price of $147,440. Each Private Placement Warrant is exercisable to purchase one Class A ordinary share at a price of $11.50 per share, subject to adjustment (see Note 9).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August 3, 2020, the Sponsor paid $25,000 to cover certain offering and formation costs of the Company in consideration for 5,750,000 Class B ordinary shares (the “Founder Shares”). In September 2020, the Sponsor transferred an aggregate of 60,000 Founder Shares to members of the Company’s board of directors, resulting in the Sponsor holding 5,690,000 Founder Shares. The Founder Shares included an aggregate of up to 750,000 shares that were subject to forfeiture depending on the extent to which the underwriters’ over-allotment option was exercised, so that the number of Founder Shares would equal, on an as-converted basis, approximately 20% of the Company’s issued and outstanding ordinary shares after the Initial Public Offering. In connection with the underwriters’ partial exercise of the over-allotment option and the forfeiture of the remaining over-allotment option, 565,700 Founder Shares were forfeited and 184,300 Founder Shares are no longer subject to forfeiture resulting in an aggregate of 5,184,300 Founder Shares outstanding at October 1, 2020.</w:t>
      </w:r>
    </w:p>
    <w:p>
      <w:pPr>
        <w:spacing w:after="0" w:line="192"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w:t>
      </w:r>
    </w:p>
    <w:p>
      <w:pPr>
        <w:sectPr>
          <w:pgSz w:w="11900" w:h="16838" w:orient="portrait"/>
          <w:cols w:equalWidth="0" w:num="1">
            <w:col w:w="11120"/>
          </w:cols>
          <w:pgMar w:left="320" w:top="486" w:right="459" w:bottom="1440" w:gutter="0" w:footer="0" w:header="0"/>
        </w:sectPr>
      </w:pP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20"/>
          </w:cols>
          <w:pgMar w:left="320" w:top="486" w:right="4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SEPTEMBER 30, 2021</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Commencing on September 25, 2020, the Company entered into an agreement to pay the Sponsor up to $10,000 per month for office space, utilities, secretarial and administrative support services. Upon completion of a Business Combination or its liquidation, the Company will cease paying these monthly fees. For the three and nine months ended September 30, 2021 and for the period from July 31, 2020 (inception) through September 30, 2020, the Company incurred $30,000, $90,000 and $0 in fees for these services, respectively. As of September 30, 2021 and December 31, 2020, $110,000 and $30,000 remained unpaid in the accrued expenses line item on the condensed balance sheets, respectively.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September 30, 2021 and December 30, 2020, the Company had no outstanding borrowings under the Working Capital Loans.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Management continues to evaluate the impact of the COVID-19 global pandemic and has concluded that while it is reasonably possible that the virus could have a negative effect on the Company’s financial position, results of its operations and/or search for a target company, the specific impact is not readily determinable as of the date of these condensed consolidated financial statements. The consolidated financial statements do not include any adjustments that might result from the outcome of this uncertainty.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and Shareholders Rights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Pursuant to a registration rights agreement entered into on September 22, 2020, 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the Working Capital Loans) are entitled to registration rights requiring the Company to register a sale of any of its securities held by them.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underwriters are entitled to a deferred fee of $0.35 per Unit, or $7,258,021 in the aggregate. The deferred fee will become payable to the underwriters from the amounts held in the Trust Account solely in the event that the Company completes a Business Combination, subject to the terms of the underwriting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January 11, 2021, the Company entered into an Agreement and Plan of Merger (the “Merger Agreement”), with Pylon Merger Company LLC, a Delaware limited liability company and a direct wholly owned subsidiary of the Company (“Merger Sub”), and Bakkt Holdings, LLC, a Delaware limited liability company (“Bakkt”), a transformative digital asset marketplace launched in 2018 by Intercontinental Exchange, Inc. (“ICE”) and a group of investors and strategic partners.</w:t>
      </w:r>
    </w:p>
    <w:p>
      <w:pPr>
        <w:spacing w:after="0" w:line="18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Merger Agreement provides that, among other things and upon the terms and subject to the conditions thereof, the following transactions will occur (together with the other agreements and transactions contemplated by the Merger Agreement, the “Proposed Transaction”): (i) at the closing of the transactions contemplated by the Merger Agreement, Merger Sub will merge (the “Merger”) with and into Bakkt, the separate corporate existence of Merger Sub will cease and Bakkt will be the surviving limited liability company, to be renamed Bakkt Opco Holdings, LLC (“Bakkt Opco”); (ii) immediately prior to the closing of the PIPE Investment and the effective time of the Merger, the Company will be renamed “Bakkt Holdings, Inc.” (referred to hereinafter as “Bakkt Pubco”); and (iii) 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On January 11, 2021, concurrently with the execution of the Merger Agreement, the Company entered into subscription agreements (the “Subscription Agreements”) with certain investors (collectively, the “PIPE Investors” which include certain existing equity holders of the Company and Bakkt), pursuant to, and on the terms and subject to the conditions of which, the PIPE Investors have collectively subscribed for 32,500,000 Bakkt</w:t>
      </w:r>
    </w:p>
    <w:p>
      <w:pPr>
        <w:sectPr>
          <w:pgSz w:w="11900" w:h="16838" w:orient="portrait"/>
          <w:cols w:equalWidth="0" w:num="1">
            <w:col w:w="11120"/>
          </w:cols>
          <w:pgMar w:left="320" w:top="486" w:right="459" w:bottom="318" w:gutter="0" w:footer="0" w:header="0"/>
        </w:sectPr>
      </w:pP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20"/>
          </w:cols>
          <w:pgMar w:left="320" w:top="486" w:right="459" w:bottom="318"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58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SEPTEMBER 30, 2021</w:t>
      </w:r>
    </w:p>
    <w:p>
      <w:pPr>
        <w:spacing w:after="0" w:line="32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Pubco Class A Shares for an aggregate purchase price equal to $325,000,000 (the “PIPE Investment”). The PIPE Investment will be consummated immediately prior to the closing of the Merger Agreement.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December 31,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SHAREHOLDERS’ EQUITY</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Preference Shares</w:t>
      </w:r>
      <w:r>
        <w:rPr>
          <w:rFonts w:ascii="Arial" w:cs="Arial" w:eastAsia="Arial" w:hAnsi="Arial"/>
          <w:sz w:val="18"/>
          <w:szCs w:val="18"/>
          <w:color w:val="auto"/>
        </w:rPr>
        <w:t>—The Company is authorized to issue 1,000,000 preference shares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As of September 30, 2021 and December 31, 2020, there were no preference shares issued or outstanding.</w:t>
      </w:r>
    </w:p>
    <w:p>
      <w:pPr>
        <w:spacing w:after="0" w:line="184" w:lineRule="exact"/>
        <w:rPr>
          <w:sz w:val="20"/>
          <w:szCs w:val="20"/>
          <w:color w:val="auto"/>
        </w:rPr>
      </w:pPr>
    </w:p>
    <w:p>
      <w:pPr>
        <w:ind w:left="120" w:right="840" w:firstLine="440"/>
        <w:spacing w:after="0" w:line="308" w:lineRule="auto"/>
        <w:rPr>
          <w:sz w:val="20"/>
          <w:szCs w:val="20"/>
          <w:color w:val="auto"/>
        </w:rPr>
      </w:pPr>
      <w:r>
        <w:rPr>
          <w:rFonts w:ascii="Arial" w:cs="Arial" w:eastAsia="Arial" w:hAnsi="Arial"/>
          <w:sz w:val="17"/>
          <w:szCs w:val="17"/>
          <w:b w:val="1"/>
          <w:bCs w:val="1"/>
          <w:i w:val="1"/>
          <w:iCs w:val="1"/>
          <w:color w:val="auto"/>
        </w:rPr>
        <w:t>Class A Ordinary Shares</w:t>
      </w:r>
      <w:r>
        <w:rPr>
          <w:rFonts w:ascii="Arial" w:cs="Arial" w:eastAsia="Arial" w:hAnsi="Arial"/>
          <w:sz w:val="17"/>
          <w:szCs w:val="17"/>
          <w:color w:val="auto"/>
        </w:rPr>
        <w:t>— At September 30, 2021 and December 31, 2020, there were 20,737,202 Class A ordinary shares issued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including Class A ordinary shares subject to possible redemption which are presented as temporary equity..</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Class B Ordinary Shares</w:t>
      </w:r>
      <w:r>
        <w:rPr>
          <w:rFonts w:ascii="Arial" w:cs="Arial" w:eastAsia="Arial" w:hAnsi="Arial"/>
          <w:sz w:val="17"/>
          <w:szCs w:val="17"/>
          <w:color w:val="auto"/>
        </w:rPr>
        <w:t>—The Company is authorized to issue 20,000,000 Class B ordinary shares, with a par value of $0.0001 per share.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Holders of the Class B ordinary shares are entitled to one vote for each share. As of September 30, 2021 and December 31, 2020, there were 5,184,300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B ordinary shares issued and outstanding.</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86"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SEPTEMBER 30, 2021</w:t>
      </w:r>
    </w:p>
    <w:p>
      <w:pPr>
        <w:spacing w:after="0" w:line="32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7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 WARRANTS LIABILITIES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At September 30, 2021 and December 31, 2020, the fair value of the Public Warrants was $16,694,484 and $11,509,147, respectively and the fair value of the Private Placement Warrants was $12,905,486 and $11,003,918 respectively. Public Warrants may only be exercised for a whole number of shares. No fractional shares will be issued upon exercise of the Public Warrants. The Public Warrants will become exercisable on the later of (a) 30 days after the completion of a Business Combination or (b) one year from the closing of the Initial Public Offering. The Public Warrants will expire five years from the completion of a Business Combination or earlier upon redemption or liquidation.</w:t>
      </w:r>
    </w:p>
    <w:p>
      <w:pPr>
        <w:spacing w:after="0" w:line="17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Redemption of warrants when the price per Class A ordinary share equals or exceeds $18.00</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Once the warrants become exercisable, the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outstanding warrants (except as described with respect to the Private Placement Warrants):</w:t>
      </w:r>
    </w:p>
    <w:p>
      <w:pPr>
        <w:spacing w:after="0" w:line="116"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1080" w:right="340" w:hanging="424"/>
        <w:spacing w:after="0" w:line="34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and only if, the closing price of the Class A ordinary shares equals or exceeds $18.00 per share (as adjusted) for any 20 trading days within a 30-trading day period ending three business days before the Company sends the notice of redemption to the warrant holders.</w:t>
      </w:r>
    </w:p>
    <w:p>
      <w:pPr>
        <w:sectPr>
          <w:pgSz w:w="11900" w:h="16838" w:orient="portrait"/>
          <w:cols w:equalWidth="0" w:num="1">
            <w:col w:w="11120"/>
          </w:cols>
          <w:pgMar w:left="320" w:top="486" w:right="459" w:bottom="1440" w:gutter="0" w:footer="0" w:header="0"/>
        </w:sectPr>
      </w:pP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20"/>
          </w:cols>
          <w:pgMar w:left="320" w:top="486" w:right="4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254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SEPTEMBER 30, 2021</w:t>
      </w:r>
    </w:p>
    <w:p>
      <w:pPr>
        <w:spacing w:after="0" w:line="32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Redemption of warrants when the price per Class A ordinary share equals or exceeds $10.00</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Once the warrants become exercisable, the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outstanding warrants (except as described with respect to the Private Placement Warrants):</w:t>
      </w:r>
    </w:p>
    <w:p>
      <w:pPr>
        <w:spacing w:after="0" w:line="116"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at $0.10 per warrant upon a minimum of 30 days’ prior written notice of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holders will be able to exercise their warrants on a cashless basis prior to redemption and receive that number of shares based on the redemption date and the “fair market value” of the Company’s Class A ordinary shares;</w:t>
      </w:r>
    </w:p>
    <w:p>
      <w:pPr>
        <w:spacing w:after="0" w:line="89"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only if, the closing price of the Class A ordinary shares equals or exceeds $10.00 per public share (as adjusted) for any 20 trading days within the 30-trading day period ending three trading days before the Company send the notice of redemption of the warrant holders; and</w:t>
      </w:r>
    </w:p>
    <w:p>
      <w:pPr>
        <w:spacing w:after="0" w:line="89" w:lineRule="exact"/>
        <w:rPr>
          <w:rFonts w:ascii="Arial" w:cs="Arial" w:eastAsia="Arial" w:hAnsi="Arial"/>
          <w:sz w:val="18"/>
          <w:szCs w:val="18"/>
          <w:color w:val="auto"/>
        </w:rPr>
      </w:pPr>
    </w:p>
    <w:p>
      <w:pPr>
        <w:jc w:val="both"/>
        <w:ind w:left="1080" w:right="200" w:hanging="424"/>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the Private Placement Warrants must also be concurrently called for redemption on the same terms as the outstanding Public Warrants, as described above.</w:t>
      </w:r>
    </w:p>
    <w:p>
      <w:pPr>
        <w:spacing w:after="0" w:line="18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7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86"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SEPTEMBER 30, 2021</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 FAIR VALUE MEASUREMENTS</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3" w:lineRule="exact"/>
        <w:rPr>
          <w:sz w:val="20"/>
          <w:szCs w:val="20"/>
          <w:color w:val="auto"/>
        </w:rPr>
      </w:pPr>
    </w:p>
    <w:p>
      <w:pPr>
        <w:ind w:left="900" w:hanging="782"/>
        <w:spacing w:after="0" w:line="308" w:lineRule="auto"/>
        <w:tabs>
          <w:tab w:leader="none" w:pos="8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38" w:lineRule="exact"/>
        <w:rPr>
          <w:sz w:val="20"/>
          <w:szCs w:val="20"/>
          <w:color w:val="auto"/>
        </w:rPr>
      </w:pPr>
    </w:p>
    <w:p>
      <w:pPr>
        <w:ind w:left="900" w:right="680" w:hanging="782"/>
        <w:spacing w:after="0" w:line="277" w:lineRule="auto"/>
        <w:tabs>
          <w:tab w:leader="none" w:pos="880" w:val="left"/>
        </w:tabs>
        <w:rPr>
          <w:sz w:val="20"/>
          <w:szCs w:val="20"/>
          <w:color w:val="auto"/>
        </w:rPr>
      </w:pPr>
      <w:r>
        <w:rPr>
          <w:rFonts w:ascii="Arial" w:cs="Arial" w:eastAsia="Arial" w:hAnsi="Arial"/>
          <w:sz w:val="18"/>
          <w:szCs w:val="18"/>
          <w:color w:val="auto"/>
        </w:rPr>
        <w:t>Level 2:</w:t>
        <w:tab/>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At September 30, 2021 and December 31, 2020, assets held in the Trust Account were comprised of $207,396,111 and $207,376,213 in money market funds which are invested primarily in U.S. Treasury Securities, respectively. Through September 30, 2021, the Company did not withdraw any interest income from the Trust Account.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 September 30, 2021 and December 31, 2020, there were 10,368,601 Public Warrants and 6,147,440 Private Placement Warrants outstanding.</w:t>
      </w:r>
    </w:p>
    <w:p>
      <w:pPr>
        <w:spacing w:after="0" w:line="248"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The following table presents information about the Company’s assets and liabilities that are measured at fair value on a recurring basis at September 30, 2021 and December 31, 2020 and indicates the fair value hierarchy of the valuation inputs the Company utilized to determine such fair value. The gross holding gains and fair value of held-to-maturity securities at September 30, 2021 and December 31, 2020 are as follows:</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4"/>
                <w:szCs w:val="14"/>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Significant</w:t>
            </w: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1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Observable</w:t>
            </w: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28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Assets:</w:t>
            </w: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Cash and Investments held in Trust Account</w:t>
            </w:r>
          </w:p>
        </w:tc>
        <w:tc>
          <w:tcPr>
            <w:tcW w:w="2100" w:type="dxa"/>
            <w:vAlign w:val="bottom"/>
            <w:gridSpan w:val="6"/>
          </w:tcPr>
          <w:p>
            <w:pPr>
              <w:jc w:val="center"/>
              <w:ind w:left="61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207,396,111</w:t>
            </w:r>
          </w:p>
        </w:tc>
        <w:tc>
          <w:tcPr>
            <w:tcW w:w="1420" w:type="dxa"/>
            <w:vAlign w:val="bottom"/>
            <w:gridSpan w:val="5"/>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207,396,111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Warrant Liability – Public Warrants</w:t>
            </w:r>
          </w:p>
        </w:tc>
        <w:tc>
          <w:tcPr>
            <w:tcW w:w="2100" w:type="dxa"/>
            <w:vAlign w:val="bottom"/>
            <w:gridSpan w:val="6"/>
          </w:tcPr>
          <w:p>
            <w:pPr>
              <w:jc w:val="center"/>
              <w:ind w:left="610"/>
              <w:spacing w:after="0"/>
              <w:rPr>
                <w:sz w:val="20"/>
                <w:szCs w:val="20"/>
                <w:color w:val="auto"/>
              </w:rPr>
            </w:pPr>
            <w:r>
              <w:rPr>
                <w:rFonts w:ascii="Arial" w:cs="Arial" w:eastAsia="Arial" w:hAnsi="Arial"/>
                <w:sz w:val="18"/>
                <w:szCs w:val="18"/>
                <w:color w:val="auto"/>
                <w:w w:val="95"/>
              </w:rPr>
              <w:t>$ 16,694,484</w:t>
            </w:r>
          </w:p>
        </w:tc>
        <w:tc>
          <w:tcPr>
            <w:tcW w:w="1420" w:type="dxa"/>
            <w:vAlign w:val="bottom"/>
            <w:gridSpan w:val="5"/>
          </w:tcPr>
          <w:p>
            <w:pPr>
              <w:jc w:val="right"/>
              <w:ind w:right="220"/>
              <w:spacing w:after="0"/>
              <w:rPr>
                <w:sz w:val="20"/>
                <w:szCs w:val="20"/>
                <w:color w:val="auto"/>
              </w:rPr>
            </w:pPr>
            <w:r>
              <w:rPr>
                <w:rFonts w:ascii="Arial" w:cs="Arial" w:eastAsia="Arial" w:hAnsi="Arial"/>
                <w:sz w:val="18"/>
                <w:szCs w:val="18"/>
                <w:color w:val="auto"/>
              </w:rPr>
              <w:t>$ 16,694,484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900" w:type="dxa"/>
            <w:vAlign w:val="bottom"/>
            <w:gridSpan w:val="2"/>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5"/>
              </w:rPr>
              <w:t>$ 12,905,486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12,905,486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24"/>
                <w:szCs w:val="24"/>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Significant</w:t>
            </w:r>
          </w:p>
        </w:tc>
        <w:tc>
          <w:tcPr>
            <w:tcW w:w="120" w:type="dxa"/>
            <w:vAlign w:val="bottom"/>
          </w:tcPr>
          <w:p>
            <w:pPr>
              <w:spacing w:after="0"/>
              <w:rPr>
                <w:sz w:val="24"/>
                <w:szCs w:val="2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1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Observable</w:t>
            </w: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28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Assets:</w:t>
            </w: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Cash and Investments held in Trust Account</w:t>
            </w:r>
          </w:p>
        </w:tc>
        <w:tc>
          <w:tcPr>
            <w:tcW w:w="190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207,376,213</w:t>
            </w:r>
          </w:p>
        </w:tc>
        <w:tc>
          <w:tcPr>
            <w:tcW w:w="200" w:type="dxa"/>
            <w:vAlign w:val="bottom"/>
          </w:tcPr>
          <w:p>
            <w:pPr>
              <w:spacing w:after="0"/>
              <w:rPr>
                <w:sz w:val="18"/>
                <w:szCs w:val="18"/>
                <w:color w:val="auto"/>
              </w:rPr>
            </w:pPr>
          </w:p>
        </w:tc>
        <w:tc>
          <w:tcPr>
            <w:tcW w:w="1420" w:type="dxa"/>
            <w:vAlign w:val="bottom"/>
            <w:gridSpan w:val="5"/>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207,376,213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Warrant Liability – Public Warrants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11,509,147</w:t>
            </w:r>
          </w:p>
        </w:tc>
        <w:tc>
          <w:tcPr>
            <w:tcW w:w="20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11,509,147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11,003,918</w:t>
            </w:r>
          </w:p>
        </w:tc>
        <w:tc>
          <w:tcPr>
            <w:tcW w:w="2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w:t>
            </w:r>
          </w:p>
        </w:tc>
        <w:tc>
          <w:tcPr>
            <w:tcW w:w="96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11,003,918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Warrants were accounted for as liabilities in accordance with ASC815-40 and are presented within warrant liabilities on the accompanying condensed consolidated balance sheets. The warrant liabilities are measured at fair value at inception and on a recurring basis, with changes in fair value presented within the change in fair value of warrant liabilities in the condensed consolidated statements of operations.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2540"/>
        <w:spacing w:after="0" w:line="275" w:lineRule="auto"/>
        <w:rPr>
          <w:sz w:val="20"/>
          <w:szCs w:val="20"/>
          <w:color w:val="auto"/>
        </w:rPr>
      </w:pPr>
      <w:r>
        <w:rPr>
          <w:rFonts w:ascii="Arial" w:cs="Arial" w:eastAsia="Arial" w:hAnsi="Arial"/>
          <w:sz w:val="18"/>
          <w:szCs w:val="18"/>
          <w:b w:val="1"/>
          <w:bCs w:val="1"/>
          <w:color w:val="auto"/>
        </w:rPr>
        <w:t>VPC IMPACT ACQUISITION HOLDINGS NOTES TO CONDENSED CONSOLIDATED FINANCIAL STATEMENTS SEPTEMBER 30, 2021</w:t>
      </w:r>
    </w:p>
    <w:p>
      <w:pPr>
        <w:spacing w:after="0" w:line="32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Private Placement Warrants were valued using a Black-Scholes Option Pricing Model, which is considered to be a Level 3 fair value measurement. The measurement of the Public Warrants after the detachment of the Public Warrants from the Units is classified as Level 1 due to the use of an observable market quote in an active market. For periods subsequent to the detachment of the Public Warrants from the Units, the close price of the Public Warrant price was used as the fair value of the Public Warrants as of each relevant date.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quantitative information regarding Level 3 fair value measurements: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September</w:t>
            </w:r>
          </w:p>
        </w:tc>
        <w:tc>
          <w:tcPr>
            <w:tcW w:w="560" w:type="dxa"/>
            <w:vAlign w:val="bottom"/>
          </w:tcPr>
          <w:p>
            <w:pPr>
              <w:spacing w:after="0"/>
              <w:rPr>
                <w:sz w:val="14"/>
                <w:szCs w:val="14"/>
                <w:color w:val="auto"/>
              </w:rPr>
            </w:pPr>
          </w:p>
        </w:tc>
        <w:tc>
          <w:tcPr>
            <w:tcW w:w="8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8"/>
              </w:rPr>
              <w:t>December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30,</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31,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53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price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10.08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c>
          <w:tcPr>
            <w:tcW w:w="7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0"/>
              <w:spacing w:after="0"/>
              <w:rPr>
                <w:sz w:val="20"/>
                <w:szCs w:val="20"/>
                <w:color w:val="auto"/>
              </w:rPr>
            </w:pPr>
            <w:r>
              <w:rPr>
                <w:rFonts w:ascii="Arial" w:cs="Arial" w:eastAsia="Arial" w:hAnsi="Arial"/>
                <w:sz w:val="18"/>
                <w:szCs w:val="18"/>
                <w:color w:val="auto"/>
                <w:w w:val="97"/>
              </w:rPr>
              <w:t>11.50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0.98%</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(in years)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418"/>
        </w:trPr>
        <w:tc>
          <w:tcPr>
            <w:tcW w:w="6640" w:type="dxa"/>
            <w:vAlign w:val="bottom"/>
            <w:gridSpan w:val="3"/>
          </w:tcPr>
          <w:p>
            <w:pPr>
              <w:spacing w:after="0"/>
              <w:rPr>
                <w:sz w:val="20"/>
                <w:szCs w:val="20"/>
                <w:color w:val="auto"/>
              </w:rPr>
            </w:pPr>
            <w:r>
              <w:rPr>
                <w:rFonts w:ascii="Arial" w:cs="Arial" w:eastAsia="Arial" w:hAnsi="Arial"/>
                <w:sz w:val="18"/>
                <w:szCs w:val="18"/>
                <w:color w:val="auto"/>
                <w:w w:val="97"/>
              </w:rPr>
              <w:t>The following table presents the changes in the fair value of Level 3 warrant liabilities: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47"/>
              <w:spacing w:after="0"/>
              <w:rPr>
                <w:sz w:val="20"/>
                <w:szCs w:val="20"/>
                <w:color w:val="auto"/>
              </w:rPr>
            </w:pPr>
            <w:r>
              <w:rPr>
                <w:rFonts w:ascii="Arial" w:cs="Arial" w:eastAsia="Arial" w:hAnsi="Arial"/>
                <w:sz w:val="14"/>
                <w:szCs w:val="14"/>
                <w:b w:val="1"/>
                <w:bCs w:val="1"/>
                <w:color w:val="auto"/>
              </w:rPr>
              <w:t>Private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3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Placement</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January 1, 2021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1"/>
              </w:rPr>
              <w:t>$11,003,918</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Change in fair value</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12,110,456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March 31, 2021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$23,114,374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Change in fair value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w w:val="95"/>
              </w:rPr>
              <w:t>(9,592,439)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June 30, 2021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$13,521,935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Change in fair value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(616,449)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September 30, 2021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12,905,486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three and nine months ended September 30,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 SUBSEQUENT EVENTS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unaudited condensed consolidated financial statements were issued. Based upon this review, the Company did not identify any subsequent events that would have required adjustment or disclosure in the unaudited condensed consolidated financial statements.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86"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References in this report (the “Quarterly Report”) to “we,” “us” or the “Company” refer to VPC Impact Acquisition Holdings. References to our “management” or our “management team” refer to our officers and directors, and references to the “Sponsor” refer to VPC Impact Acquisition Holdings Sponsor, LLC. The following discussion and analysis of the Company’s financial condition and results of operations should be read in conjunction with the consolidated financial statements and the notes thereto contained elsewhere in this Quarterly Report. Certain information contained in the discussion and analysis set forth below includes forward-looking statements that involve risks and uncertainties.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This Quarterly Report includes “forward-looking statements” within the meaning of Section 27A of the Securities Act of 1933, as amended (the “Securities Act”) and Section 21E of the Securities Exchange Act of 1934, as amended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“anticipate,” “believe,” “continue,” “could,” “estimate,” “expect,” “intends,” “may,” “might,” “plan,” “possible,” “potential,” “predict,” “project,” “should,” “would” and variations thereof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10-K/A filed with the U.S. Securities and Exchange Commission (the “SEC”) on May 21, 2021.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We are a blank check company incorporated on July 31, 2020 as a Cayman Islands exempted company for the purpose of effecting a Business Combination. We intend to effectuate our initial Business Combination using cash from the proceeds of our Initial Public Offering and the sale of the private placement warrants, our shares, debt or a combination of cash, equity and debt.</w:t>
      </w:r>
    </w:p>
    <w:p>
      <w:pPr>
        <w:spacing w:after="0" w:line="18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86"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 for Business Combination</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January 11, 2021, the Company entered into an Agreement and Plan of Merger (the “Merger Agreement”), with Pylon Merger Company LLC, a Delaware limited liability company and a direct wholly-owned subsidiary of VIH (“Merger Sub”), and Bakkt Holdings, LLC, a Delaware limited liability company (“Bakkt”). The Merger Agreement provides that, among other things and upon the terms and subject to the conditions thereof, the following transactions will occur (together with the other agreements and transactions contemplated by the Merger Agreement, the “Proposed Transaction”):</w:t>
      </w:r>
    </w:p>
    <w:p>
      <w:pPr>
        <w:spacing w:after="0" w:line="80" w:lineRule="exact"/>
        <w:rPr>
          <w:sz w:val="20"/>
          <w:szCs w:val="20"/>
          <w:color w:val="auto"/>
        </w:rPr>
      </w:pPr>
    </w:p>
    <w:p>
      <w:pPr>
        <w:jc w:val="both"/>
        <w:ind w:left="560" w:right="200" w:hanging="4"/>
        <w:spacing w:after="0" w:line="311" w:lineRule="auto"/>
        <w:tabs>
          <w:tab w:leader="none" w:pos="775"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the closing of the transactions contemplated by the Merger Agreement (the “Closing”), in accordance with the Delaware Limited Liability Company Act, as amended (“DLLCA”), Merger Sub will merge (the “Merger”) with and into Bakkt, the separate corporate existence of Merger Sub will cease and Bakkt will be the surviving limited liability company, to be renamed Bakkt Opco Holdings, LLC (“Bakkt Opco”);</w:t>
      </w:r>
    </w:p>
    <w:p>
      <w:pPr>
        <w:spacing w:after="0" w:line="40" w:lineRule="exact"/>
        <w:rPr>
          <w:rFonts w:ascii="Arial" w:cs="Arial" w:eastAsia="Arial" w:hAnsi="Arial"/>
          <w:sz w:val="16"/>
          <w:szCs w:val="16"/>
          <w:color w:val="auto"/>
        </w:rPr>
      </w:pPr>
    </w:p>
    <w:p>
      <w:pPr>
        <w:ind w:left="560" w:right="560" w:hanging="4"/>
        <w:spacing w:after="0" w:line="308" w:lineRule="auto"/>
        <w:tabs>
          <w:tab w:leader="none" w:pos="825" w:val="left"/>
        </w:tabs>
        <w:numPr>
          <w:ilvl w:val="0"/>
          <w:numId w:val="6"/>
        </w:numPr>
        <w:rPr>
          <w:rFonts w:ascii="Arial" w:cs="Arial" w:eastAsia="Arial" w:hAnsi="Arial"/>
          <w:sz w:val="17"/>
          <w:szCs w:val="17"/>
          <w:color w:val="auto"/>
        </w:rPr>
      </w:pPr>
      <w:r>
        <w:rPr>
          <w:rFonts w:ascii="Arial" w:cs="Arial" w:eastAsia="Arial" w:hAnsi="Arial"/>
          <w:sz w:val="17"/>
          <w:szCs w:val="17"/>
          <w:color w:val="auto"/>
        </w:rPr>
        <w:t>immediately prior to the closing of the PIPE Investment (as defined below) and the effective time of the Merger, in connection with the Domestication described below, VIH will be renamed “Bakkt Holdings, Inc.” (referred to hereinafter as “Bakkt Pubco”); and</w:t>
      </w:r>
    </w:p>
    <w:p>
      <w:pPr>
        <w:spacing w:after="0" w:line="38" w:lineRule="exact"/>
        <w:rPr>
          <w:rFonts w:ascii="Arial" w:cs="Arial" w:eastAsia="Arial" w:hAnsi="Arial"/>
          <w:sz w:val="17"/>
          <w:szCs w:val="17"/>
          <w:color w:val="auto"/>
        </w:rPr>
      </w:pPr>
    </w:p>
    <w:p>
      <w:pPr>
        <w:ind w:left="560" w:right="100" w:hanging="4"/>
        <w:spacing w:after="0" w:line="263" w:lineRule="auto"/>
        <w:tabs>
          <w:tab w:leader="none" w:pos="8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pacing w:after="0" w:line="184"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The board of directors of the Company has unanimously (i) approved the Merger Agreement, the Proposed Transaction and the other transactions contemplated thereby and (ii) resolved to recommend approval of the Merger Agreement and related matters by the shareholders of VIH.</w:t>
      </w:r>
    </w:p>
    <w:p>
      <w:pPr>
        <w:spacing w:after="0" w:line="124"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Prior to the Closing, subject to the approval of our shareholders, and in accordance with the DGCL, Cayman Islands Companies Act (as revised) (the “CICA”) and our amended and restated memorandum and articles of association, we will effect a deregistration under the CICA and a domestication under Section 388 of the DGCL (by means of filing a certificate of domestication with the Secretary of State of Delaware), pursuant to which our jurisdiction of incorporation will be changed from the Cayman Islands to the State of Delaware (the “Domestication”).</w:t>
      </w:r>
    </w:p>
    <w:p>
      <w:pPr>
        <w:spacing w:after="0" w:line="17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Upon the Closing, Bakkt Pubco will be organized in an “Up-C” structure in which substantially all of the assets and the business of Bakkt Pubco will be held by Bakkt Opco and its subsidiaries, and Bakkt Pubco’s only direct assets will consist of Bakkt Opco Units. Assuming no redemptions of public shares in connection with the Proposed Transaction, upon the Closing Bakkt Pubco is expected to own approximately 22% of Bakkt Opco Units and will be the managing member of Bakkt Opco. All remaining Bakkt Opco Units will be owned by the former equity owners of Bakkt (“Bakkt Equity Holders”).</w:t>
      </w:r>
    </w:p>
    <w:p>
      <w:pPr>
        <w:spacing w:after="0" w:line="18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On January 11, 2021, concurrently with the execution of the Merger Agreement, we entered into subscription agreements with certain investors (collectively, the “PIPE Investors” which include certain existing equity holders of the Company and Bakkt), pursuant to, and on the terms and subject to the conditions of which, the PIPE Investors have collectively subscribed for 32,500,000 Bakkt Pubco Class A Shares for an aggregate purchase price equal to $325,000,000 (the “PIPE Investment”).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consummation of the proposed business combination described herein is subject to certain conditions as further described in the Merger Agreement.</w:t>
      </w:r>
    </w:p>
    <w:p>
      <w:pPr>
        <w:spacing w:after="0" w:line="248"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For more information about the Merger Agreement and the proposed business combination, see our Current Report on Form 8-K filed with the SEC on January 11, 2021 (File No. 001-39544) and the prospectus included in our Registration Statement on Form S-4 filed with the SEC on March 31, 2021 (File No. 333-254935) (the “Bakkt Disclosure Statement”). Unless specifically stated, this Quarterly Report does not give effect to the Proposed Transaction and does not contain the risks associated with the Proposed Transaction. Such risks and effects relating to the Proposed Transaction will be included in the Bakkt Disclosure Statement.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We have neither engaged in any operations (other than searching for a Business Combination after our Initial Public Offering and entering into the Merger Agreement described above) nor generated any revenues to date. Our only activities from inception to September 30, 2021 were organizational activities, those necessary to prepare for the Initial Public Offering, described below, and, after the Initial Public Offering, identifying a target company for a Business Combination and entering into the Merger Agreement. We do not expect to generate any operating revenues until after the completion of our Business Combination. We generate non-operating income in the form of interest income on marketable securities held in a trust account (the “Trust Account”). We incur expenses as a result of being a public company (for legal, financial reporting, accounting and auditing compliance), as well as for due diligence expenses in connection with completing a Business Combination.</w:t>
      </w:r>
    </w:p>
    <w:p>
      <w:pPr>
        <w:spacing w:after="0" w:line="177"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For the three months ended September 30, 2021, we had a net loss of $483,148, which consisted of general and administrative cost of $2,241,776, offset by interest earned on investments held in the Trust Account of $2,669 and change in fair value of warrant liability of $1,755,959.</w:t>
      </w:r>
    </w:p>
    <w:p>
      <w:pPr>
        <w:spacing w:after="0" w:line="124"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For the nine months ended September 30, 2021, we had a net loss of $12,885,106, which consisted of changes in fair value of warrant liability of $7,086,905 and general and administrative cost of $5,822,575, offset by other income of $4,476 and interest earned on investment held in the Trust Account of $19,898.</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the period from July 31, 2020 (inception) through September 30, 2020, we had net loss of $3,032,369, which consisted of general and administrative cost of $17,543, transaction cost related to warrant liability of $754,990 and a change in fair value of warrant liability of $2,260,000, offset by interest earned on investments held in Trust Account of $164.</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Until the consummation of the Initial Public Offering, our only source of liquidity was an initial purchase of ordinary shares by the Sponsor and loans from our Sponsor.</w:t>
      </w:r>
    </w:p>
    <w:p>
      <w:pPr>
        <w:spacing w:after="0" w:line="170"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On September 25, 2020, we consummated the Initial Public Offering of 20,000,000 units (the” Units”), at a price of $10.00 per Unit, generating gross proceeds of $200,000,000. Simultaneously with the closing of the Initial Public Offering, we consummated the sale of 6,000,000 warrants (the “Private Placement Warrants”) to the Sponsor at a price of $1.00 per Private Placement Warrant generating gross proceeds of $6,000,000.</w:t>
      </w:r>
    </w:p>
    <w:p>
      <w:pPr>
        <w:spacing w:after="0" w:line="16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Following the Initial Public Offering and the sale of the Private Placement Warrants, a total of $200,000,000 was placed in the Trust Account, and we had $1,205,178 of cash held outside of the Trust Account, after payment of costs related to the Initial Public Offering, and available for working capital purposes. We incurred $11,906,606 in transaction costs, including $4,147,440 of underwriting fees, $7,258,021 of deferred underwriting fees and $501,146 of other offering costs.</w:t>
      </w:r>
    </w:p>
    <w:p>
      <w:pPr>
        <w:spacing w:after="0" w:line="187" w:lineRule="exact"/>
        <w:rPr>
          <w:sz w:val="20"/>
          <w:szCs w:val="20"/>
          <w:color w:val="auto"/>
        </w:rPr>
      </w:pPr>
    </w:p>
    <w:p>
      <w:pPr>
        <w:jc w:val="both"/>
        <w:ind w:left="120" w:right="280"/>
        <w:spacing w:after="0" w:line="311" w:lineRule="auto"/>
        <w:rPr>
          <w:sz w:val="20"/>
          <w:szCs w:val="20"/>
          <w:color w:val="auto"/>
        </w:rPr>
      </w:pPr>
      <w:r>
        <w:rPr>
          <w:rFonts w:ascii="Arial" w:cs="Arial" w:eastAsia="Arial" w:hAnsi="Arial"/>
          <w:sz w:val="16"/>
          <w:szCs w:val="16"/>
          <w:color w:val="auto"/>
        </w:rPr>
        <w:t>On October 1, 2020, in connection with the underwriters’ election to partially exercise of their over-allotment option, we consummated the sale of an additional 737,202 Units and the sale of an additional 147,440 Private Placement Warrants, generating total gross proceeds of $7,519,460. A total of $7,372,020 of the net proceeds was deposited into the Trust Account, bringing the aggregate proceeds held in the Trust Account to $207,372,020.</w:t>
      </w:r>
    </w:p>
    <w:p>
      <w:pPr>
        <w:spacing w:after="0" w:line="149" w:lineRule="exact"/>
        <w:rPr>
          <w:sz w:val="20"/>
          <w:szCs w:val="20"/>
          <w:color w:val="auto"/>
        </w:rPr>
      </w:pPr>
    </w:p>
    <w:p>
      <w:pPr>
        <w:jc w:val="both"/>
        <w:ind w:left="120" w:right="440"/>
        <w:spacing w:after="0" w:line="263" w:lineRule="auto"/>
        <w:rPr>
          <w:sz w:val="20"/>
          <w:szCs w:val="20"/>
          <w:color w:val="auto"/>
        </w:rPr>
      </w:pPr>
      <w:r>
        <w:rPr>
          <w:rFonts w:ascii="Arial" w:cs="Arial" w:eastAsia="Arial" w:hAnsi="Arial"/>
          <w:sz w:val="18"/>
          <w:szCs w:val="18"/>
          <w:color w:val="auto"/>
        </w:rPr>
        <w:t>For the nine months ended September 30, 2021, net cash used in operating activities was $469,036, which consisted of our net loss of $12,885,106 affected by interest earned on investments of $19,898, changes in fair value of warrant liability of $7,086,905 and changes in operating assets and liabilities, which provided $5,349,063 of cash from operating activities.</w:t>
      </w:r>
    </w:p>
    <w:p>
      <w:pPr>
        <w:spacing w:after="0" w:line="184"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For the period from July 31, 2020 (inception) through September 30, 2020, net cash used in operating activities was $289,300, which consisted of our net loss of $3,032,369 affected by interest earned on investments of $164, changes in fair value of warrant liability of $2,260,000, formation costs of $6,606, transaction cost related to warrant liability of $754,990 and changes in operating assets and liabilities, which used $278,363 of cash from operating activities.</w:t>
      </w:r>
    </w:p>
    <w:p>
      <w:pPr>
        <w:spacing w:after="0" w:line="18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At September 30, 2021, we had investments held in the Trust Account of $207,396,111. We intend to use substantially all of the funds held in the Trust Account, including any amounts representing interest earned on the Trust Account, which interest shall be net of taxes payable and excluding deferred underwriting commissions, to complete our Business Combination. We may withdraw interest from the Trust Account to pay taxes, if any. To the extent that our share capital or debt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19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At September 30, 2021, we had cash of $708,642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pacing w:after="0" w:line="18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may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w:t>
      </w:r>
    </w:p>
    <w:p>
      <w:pPr>
        <w:sectPr>
          <w:pgSz w:w="11900" w:h="16838" w:orient="portrait"/>
          <w:cols w:equalWidth="0" w:num="1">
            <w:col w:w="11120"/>
          </w:cols>
          <w:pgMar w:left="320" w:top="486" w:right="459" w:bottom="790" w:gutter="0" w:footer="0" w:header="0"/>
        </w:sectPr>
      </w:pP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20"/>
          </w:cols>
          <w:pgMar w:left="320" w:top="486" w:right="459" w:bottom="79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If the Business Combination is not consummated, the Company will need to raise additional capital through loans or additional investments from its Sponsor, stockholders,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through one year from the date of these financial statements if a Business Combination is not consummated. These financial statements do not include any adjustments relating to the recovery of the recorded assets or the classification of the liabilities that might be necessary should the Company be unable to continue as a going concern.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2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September 30,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the Sponsor a monthly fee of $10,000 for office space, utilities, secretarial and administrative support services, provided to the Company. We began incurring these fees on September 25, 2020 and will continue to incur these fees monthly until the earlier of the completion of a Business Combination and the Company’s liquidation.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 Agreement</w:t>
      </w:r>
    </w:p>
    <w:p>
      <w:pPr>
        <w:spacing w:after="0" w:line="117"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The underwriters were paid a cash underwriting discount of $0.20 per Unit, or $4,147,440 in the aggregate. In addition, $0.35 per Public Share, or approximately $7,258,021 in the aggregate will be payable to the underwriters for deferred underwriting commissions. The deferred fee will become payable to the underwriters from the amounts held in the Trust Account solely in the event that we complete a Business Combination, subject to the terms of the underwriting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preparation of condensed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condensed consolidated financial statements, and income and expenses during the periods reported. Actual results could materially differ from those estimates. We have identified the following critical accounting policies.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Warrant Liabilities</w:t>
      </w:r>
    </w:p>
    <w:p>
      <w:pPr>
        <w:spacing w:after="0" w:line="117"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We account for the warrants issued in connection with our Initial Public Offering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 The fair value of the warrants was estimated using a Black-Scholes Option Pricing Model. For periods subsequent to the detachment of the Public Warrants from the Units, the close price of the Public Warrant price was used as the fair value of the Public Warrants as of each relevant date.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account for our Class A ordinary shares subject to possible redemption in accordance with the guidance in ASC Topic 480. Class A ordinary shares subject to mandatory redemption is classified as a liability instrument and is measured at fair value. Conditionally redeemable ordinary shares (including ordinary shares that features redemption rights that is either within the control of the holder or subject to redemption upon the occurrence of uncertain events not solely within our control) is classified as temporary equity. At all other times, ordinary shares are classified as shareholders’ equity. Our ordinary shares feature certain redemption rights that are considered to be outside of our control and subject to occurrence of uncertain future events. Accordingly, Class A ordinary shares subject to possible redemption is presented as temporary equity, outside of the shareholders’ equity section of our condensed balance sheets.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(Loss) Per Ordinary Share</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Net loss per ordinary share is computed by dividing net loss by the weighted average number of ordinary shares outstanding during the period. We apply the two-class method in calculating earnings per share. Accretion associated with the redeemable shares of Class A ordinary shares is excluded from earnings per share as the redemption value approximates fair value.</w:t>
      </w:r>
    </w:p>
    <w:p>
      <w:pPr>
        <w:sectPr>
          <w:pgSz w:w="11900" w:h="16838" w:orient="portrait"/>
          <w:cols w:equalWidth="0" w:num="1">
            <w:col w:w="11120"/>
          </w:cols>
          <w:pgMar w:left="320" w:top="486" w:right="459" w:bottom="1440" w:gutter="0" w:footer="0" w:header="0"/>
        </w:sectPr>
      </w:pP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20"/>
          </w:cols>
          <w:pgMar w:left="320" w:top="486" w:right="4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Standards</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In August 2020, the FASB issued Accounting Standards Update No. 2020-06, “Debt—Debt with Conversion and Other Options (Subtopic 470-20) and Derivatives and Hedging—Contracts in Entity’s Own Equity (Subtopic 815-40): Accounting for Convertible Instruments and Contracts in an Entity’s Own Equity” (“ASU2020-06”), which simplifies accounting for convertible instruments by removing major separation models required under current GAAP. ASU2020-06 removes certain settlement conditions that are required for equity contracts to qualify for the derivative scope exception and it also simplifies the diluted earnings per share calculation in certain areas. ASU2020-06 is effective for fiscal years beginning after December 15, 2023, including interim periods within those fiscal years, with early adoption permitted. The Company adopted ASU2020-06 effective as of January 1, 2021. The adoption of ASU2020-06 did not have an impact on the Company’s condensed consolidated financial statements.</w:t>
      </w:r>
    </w:p>
    <w:p>
      <w:pPr>
        <w:spacing w:after="0" w:line="16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condensed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consolidated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consolidated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September 30, 2021. Based upon their evaluation, our Chief Executive Officer and Chief Financial Officer concluded that our disclosure controls and procedures (as defined in Rules 13a-15 (e) and 15d-15 (e) under the Exchange Act) were effective.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There was no change in our internal control over financial reporting that occurred during the fiscal quarter ended September 30, 2021 covered by this Quarterly Report on Form 10-Q that has materially affected, or is reasonably likely to materially affect, our internal control over financial reporting. The material weakness discussed below was remediated during the quarter ended September 30,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Remediation of a Material weakness in Internal Control over Financial Reporting</w:t>
      </w:r>
    </w:p>
    <w:p>
      <w:pPr>
        <w:spacing w:after="0" w:line="11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We recognize the importance of the control environment as it sets the overall tone for the Company and is the foundation for all other components of internal control. Consequently, we designed and implemented remediation measures to address the material weakness previously identified and enhance our internal control over financial reporting. In light of the material weakness, we enhanced our processes to identify and appropriately apply applicable accounting requirements to better evaluate and understand the nuances of the complex accounting standards that apply to our condensed consolidated financial statements, including providing enhanced access to accounting literature, research materials and documents and increased communication among our personnel and third-party professionals with whom we consult regarding complex accounting applications. The foregoing actions, which we believe remediated the material weakness in internal control over financial reporting, were completed as of the date of June 30, 2021.</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Factors that could cause our actual results to differ materially from those in this Quarterly Report are any of the risks described in our final Annual Report on Form 10-K/A, filed with the SEC on May 21, 2021.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there have been no material changes to the risk factors disclosed in our Annual Report on Form 10-K/A. We may disclose changes to such factors or disclose additional factors from time to time in our future filings with the SEC.</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Proceeds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 description of the use of the proceeds generated in our Initial Public Offering, see Part I, Item 2 of this Form 10-Q.</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86"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0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Exhibit</w:t>
            </w:r>
          </w:p>
        </w:tc>
        <w:tc>
          <w:tcPr>
            <w:tcW w:w="4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85"/>
        </w:trPr>
        <w:tc>
          <w:tcPr>
            <w:tcW w:w="11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Number</w:t>
            </w:r>
          </w:p>
        </w:tc>
        <w:tc>
          <w:tcPr>
            <w:tcW w:w="4460" w:type="dxa"/>
            <w:vAlign w:val="bottom"/>
          </w:tcPr>
          <w:p>
            <w:pPr>
              <w:spacing w:after="0"/>
              <w:rPr>
                <w:sz w:val="16"/>
                <w:szCs w:val="16"/>
                <w:color w:val="auto"/>
              </w:rPr>
            </w:pPr>
          </w:p>
        </w:tc>
        <w:tc>
          <w:tcPr>
            <w:tcW w:w="5380" w:type="dxa"/>
            <w:vAlign w:val="bottom"/>
            <w:gridSpan w:val="5"/>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460" w:type="dxa"/>
            <w:vAlign w:val="bottom"/>
            <w:shd w:val="clear" w:color="auto" w:fill="000000"/>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r>
      <w:tr>
        <w:trPr>
          <w:trHeight w:val="270"/>
        </w:trPr>
        <w:tc>
          <w:tcPr>
            <w:tcW w:w="640" w:type="dxa"/>
            <w:vAlign w:val="bottom"/>
            <w:gridSpan w:val="2"/>
          </w:tcPr>
          <w:p>
            <w:pPr>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23"/>
                <w:szCs w:val="23"/>
                <w:color w:val="auto"/>
              </w:rPr>
            </w:pPr>
          </w:p>
        </w:tc>
        <w:tc>
          <w:tcPr>
            <w:tcW w:w="9840" w:type="dxa"/>
            <w:vAlign w:val="bottom"/>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Power of Attorney (included on signature page of this report).</w:t>
              </w:r>
            </w:hyperlink>
          </w:p>
        </w:tc>
      </w:tr>
      <w:tr>
        <w:trPr>
          <w:trHeight w:val="20"/>
        </w:trPr>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9840" w:type="dxa"/>
            <w:vAlign w:val="bottom"/>
            <w:gridSpan w:val="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Certification of the Chief Executive Officer required by Rule 13a-14(a) or Rule 15d-14(a).</w:t>
              </w:r>
            </w:hyperlink>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6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Certification of the Chief Financial Officer required by Rule 13a-14(a) or Rule 15d-14(a).</w:t>
              </w:r>
            </w:hyperlink>
          </w:p>
        </w:tc>
        <w:tc>
          <w:tcPr>
            <w:tcW w:w="40" w:type="dxa"/>
            <w:vAlign w:val="bottom"/>
            <w:tcBorders>
              <w:top w:val="single" w:sz="8" w:color="0000EE"/>
            </w:tcBorders>
          </w:tcPr>
          <w:p>
            <w:pPr>
              <w:spacing w:after="0"/>
              <w:rPr>
                <w:sz w:val="24"/>
                <w:szCs w:val="24"/>
                <w:color w:val="auto"/>
              </w:rPr>
            </w:pPr>
          </w:p>
        </w:tc>
        <w:tc>
          <w:tcPr>
            <w:tcW w:w="3320" w:type="dxa"/>
            <w:vAlign w:val="bottom"/>
            <w:gridSpan w:val="3"/>
          </w:tcPr>
          <w:p>
            <w:pPr>
              <w:spacing w:after="0"/>
              <w:rPr>
                <w:sz w:val="24"/>
                <w:szCs w:val="24"/>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9840" w:type="dxa"/>
            <w:vAlign w:val="bottom"/>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Certification of the Chief Executive Officer required by Rule 13a-14(b) or Rule 15d-14(b) and 18 U.S.C. 1350.</w:t>
              </w:r>
            </w:hyperlink>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79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Certification of the Chief Financial Officer required by Rule 13a-14(b) or Rule 15d-14(b) and 18 U.S.C. 1350.</w:t>
              </w:r>
            </w:hyperlink>
          </w:p>
        </w:tc>
        <w:tc>
          <w:tcPr>
            <w:tcW w:w="40" w:type="dxa"/>
            <w:vAlign w:val="bottom"/>
            <w:tcBorders>
              <w:top w:val="single" w:sz="8" w:color="0000EE"/>
            </w:tcBorders>
          </w:tcPr>
          <w:p>
            <w:pPr>
              <w:spacing w:after="0"/>
              <w:rPr>
                <w:sz w:val="24"/>
                <w:szCs w:val="24"/>
                <w:color w:val="auto"/>
              </w:rPr>
            </w:pPr>
          </w:p>
        </w:tc>
        <w:tc>
          <w:tcPr>
            <w:tcW w:w="1840" w:type="dxa"/>
            <w:vAlign w:val="bottom"/>
          </w:tcPr>
          <w:p>
            <w:pPr>
              <w:spacing w:after="0"/>
              <w:rPr>
                <w:sz w:val="24"/>
                <w:szCs w:val="24"/>
                <w:color w:val="auto"/>
              </w:rPr>
            </w:pPr>
          </w:p>
        </w:tc>
      </w:tr>
      <w:tr>
        <w:trPr>
          <w:trHeight w:val="344"/>
        </w:trPr>
        <w:tc>
          <w:tcPr>
            <w:tcW w:w="11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840" w:type="dxa"/>
            <w:vAlign w:val="bottom"/>
            <w:gridSpan w:val="6"/>
          </w:tcPr>
          <w:p>
            <w:pPr>
              <w:spacing w:after="0"/>
              <w:rPr>
                <w:sz w:val="20"/>
                <w:szCs w:val="20"/>
                <w:color w:val="auto"/>
              </w:rPr>
            </w:pPr>
            <w:r>
              <w:rPr>
                <w:rFonts w:ascii="Arial" w:cs="Arial" w:eastAsia="Arial" w:hAnsi="Arial"/>
                <w:sz w:val="18"/>
                <w:szCs w:val="18"/>
                <w:color w:val="auto"/>
              </w:rPr>
              <w:t>Inline XBRL Instance Document</w:t>
            </w:r>
          </w:p>
        </w:tc>
      </w:tr>
      <w:tr>
        <w:trPr>
          <w:trHeight w:val="324"/>
        </w:trPr>
        <w:tc>
          <w:tcPr>
            <w:tcW w:w="118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101.SCH*</w:t>
            </w:r>
          </w:p>
        </w:tc>
        <w:tc>
          <w:tcPr>
            <w:tcW w:w="984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180" w:type="dxa"/>
            <w:vAlign w:val="bottom"/>
            <w:gridSpan w:val="3"/>
          </w:tcPr>
          <w:p>
            <w:pPr>
              <w:jc w:val="center"/>
              <w:ind w:right="420"/>
              <w:spacing w:after="0"/>
              <w:rPr>
                <w:sz w:val="20"/>
                <w:szCs w:val="20"/>
                <w:color w:val="auto"/>
              </w:rPr>
            </w:pPr>
            <w:r>
              <w:rPr>
                <w:rFonts w:ascii="Arial" w:cs="Arial" w:eastAsia="Arial" w:hAnsi="Arial"/>
                <w:sz w:val="18"/>
                <w:szCs w:val="18"/>
                <w:color w:val="auto"/>
                <w:w w:val="98"/>
              </w:rPr>
              <w:t>101.CAL*</w:t>
            </w:r>
          </w:p>
        </w:tc>
        <w:tc>
          <w:tcPr>
            <w:tcW w:w="984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1180" w:type="dxa"/>
            <w:vAlign w:val="bottom"/>
            <w:gridSpan w:val="3"/>
          </w:tcPr>
          <w:p>
            <w:pPr>
              <w:jc w:val="center"/>
              <w:ind w:right="440"/>
              <w:spacing w:after="0"/>
              <w:rPr>
                <w:sz w:val="20"/>
                <w:szCs w:val="20"/>
                <w:color w:val="auto"/>
              </w:rPr>
            </w:pPr>
            <w:r>
              <w:rPr>
                <w:rFonts w:ascii="Arial" w:cs="Arial" w:eastAsia="Arial" w:hAnsi="Arial"/>
                <w:sz w:val="18"/>
                <w:szCs w:val="18"/>
                <w:color w:val="auto"/>
                <w:w w:val="94"/>
              </w:rPr>
              <w:t>101.DEF*</w:t>
            </w:r>
          </w:p>
        </w:tc>
        <w:tc>
          <w:tcPr>
            <w:tcW w:w="984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18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101.LAB*</w:t>
            </w:r>
          </w:p>
        </w:tc>
        <w:tc>
          <w:tcPr>
            <w:tcW w:w="984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1180" w:type="dxa"/>
            <w:vAlign w:val="bottom"/>
            <w:gridSpan w:val="3"/>
          </w:tcPr>
          <w:p>
            <w:pPr>
              <w:jc w:val="center"/>
              <w:ind w:right="440"/>
              <w:spacing w:after="0"/>
              <w:rPr>
                <w:sz w:val="20"/>
                <w:szCs w:val="20"/>
                <w:color w:val="auto"/>
              </w:rPr>
            </w:pPr>
            <w:r>
              <w:rPr>
                <w:rFonts w:ascii="Arial" w:cs="Arial" w:eastAsia="Arial" w:hAnsi="Arial"/>
                <w:sz w:val="18"/>
                <w:szCs w:val="18"/>
                <w:color w:val="auto"/>
                <w:w w:val="93"/>
              </w:rPr>
              <w:t>101.PRE*</w:t>
            </w:r>
          </w:p>
        </w:tc>
        <w:tc>
          <w:tcPr>
            <w:tcW w:w="984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84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07" w:lineRule="exact"/>
        <w:rPr>
          <w:sz w:val="20"/>
          <w:szCs w:val="20"/>
          <w:color w:val="auto"/>
        </w:rPr>
      </w:pPr>
    </w:p>
    <w:p>
      <w:pPr>
        <w:ind w:left="540" w:hanging="424"/>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0" w:hanging="424"/>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86"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VPC IMPACT ACQUISITION HOLDINGS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7"/>
        </w:trPr>
        <w:tc>
          <w:tcPr>
            <w:tcW w:w="5820" w:type="dxa"/>
            <w:vAlign w:val="bottom"/>
          </w:tcPr>
          <w:p>
            <w:pPr>
              <w:spacing w:after="0"/>
              <w:rPr>
                <w:sz w:val="20"/>
                <w:szCs w:val="20"/>
                <w:color w:val="auto"/>
              </w:rPr>
            </w:pPr>
            <w:r>
              <w:rPr>
                <w:rFonts w:ascii="Arial" w:cs="Arial" w:eastAsia="Arial" w:hAnsi="Arial"/>
                <w:sz w:val="18"/>
                <w:szCs w:val="18"/>
                <w:color w:val="auto"/>
              </w:rPr>
              <w:t>Date: October 13, 2021</w:t>
            </w:r>
          </w:p>
        </w:tc>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John Martin</w:t>
            </w:r>
          </w:p>
        </w:tc>
      </w:tr>
      <w:tr>
        <w:trPr>
          <w:trHeight w:val="202"/>
        </w:trPr>
        <w:tc>
          <w:tcPr>
            <w:tcW w:w="5820" w:type="dxa"/>
            <w:vAlign w:val="bottom"/>
          </w:tcPr>
          <w:p>
            <w:pPr>
              <w:ind w:left="5280"/>
              <w:spacing w:after="0" w:line="201" w:lineRule="exact"/>
              <w:rPr>
                <w:sz w:val="20"/>
                <w:szCs w:val="20"/>
                <w:color w:val="auto"/>
              </w:rPr>
            </w:pPr>
            <w:r>
              <w:rPr>
                <w:rFonts w:ascii="Arial" w:cs="Arial" w:eastAsia="Arial" w:hAnsi="Arial"/>
                <w:sz w:val="18"/>
                <w:szCs w:val="18"/>
                <w:color w:val="auto"/>
                <w:w w:val="98"/>
              </w:rPr>
              <w:t>Name:</w:t>
            </w:r>
          </w:p>
        </w:tc>
        <w:tc>
          <w:tcPr>
            <w:tcW w:w="5200" w:type="dxa"/>
            <w:vAlign w:val="bottom"/>
          </w:tcPr>
          <w:p>
            <w:pPr>
              <w:ind w:left="120"/>
              <w:spacing w:after="0" w:line="201" w:lineRule="exact"/>
              <w:rPr>
                <w:sz w:val="20"/>
                <w:szCs w:val="20"/>
                <w:color w:val="auto"/>
              </w:rPr>
            </w:pPr>
            <w:r>
              <w:rPr>
                <w:rFonts w:ascii="Arial" w:cs="Arial" w:eastAsia="Arial" w:hAnsi="Arial"/>
                <w:sz w:val="18"/>
                <w:szCs w:val="18"/>
                <w:color w:val="auto"/>
              </w:rPr>
              <w:t>John Martin</w:t>
            </w:r>
          </w:p>
        </w:tc>
      </w:tr>
      <w:tr>
        <w:trPr>
          <w:trHeight w:val="216"/>
        </w:trPr>
        <w:tc>
          <w:tcPr>
            <w:tcW w:w="5820" w:type="dxa"/>
            <w:vAlign w:val="bottom"/>
          </w:tcPr>
          <w:p>
            <w:pPr>
              <w:ind w:left="5280"/>
              <w:spacing w:after="0"/>
              <w:rPr>
                <w:sz w:val="20"/>
                <w:szCs w:val="20"/>
                <w:color w:val="auto"/>
              </w:rPr>
            </w:pPr>
            <w:r>
              <w:rPr>
                <w:rFonts w:ascii="Arial" w:cs="Arial" w:eastAsia="Arial" w:hAnsi="Arial"/>
                <w:sz w:val="18"/>
                <w:szCs w:val="18"/>
                <w:color w:val="auto"/>
              </w:rPr>
              <w:t>Title:</w:t>
            </w:r>
          </w:p>
        </w:tc>
        <w:tc>
          <w:tcPr>
            <w:tcW w:w="5200" w:type="dxa"/>
            <w:vAlign w:val="bottom"/>
          </w:tcPr>
          <w:p>
            <w:pPr>
              <w:ind w:left="12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5820" w:type="dxa"/>
            <w:vAlign w:val="bottom"/>
          </w:tcPr>
          <w:p>
            <w:pPr>
              <w:spacing w:after="0"/>
              <w:rPr>
                <w:sz w:val="20"/>
                <w:szCs w:val="20"/>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453"/>
        </w:trPr>
        <w:tc>
          <w:tcPr>
            <w:tcW w:w="5820" w:type="dxa"/>
            <w:vAlign w:val="bottom"/>
          </w:tcPr>
          <w:p>
            <w:pPr>
              <w:spacing w:after="0"/>
              <w:rPr>
                <w:sz w:val="20"/>
                <w:szCs w:val="20"/>
                <w:color w:val="auto"/>
              </w:rPr>
            </w:pPr>
            <w:r>
              <w:rPr>
                <w:rFonts w:ascii="Arial" w:cs="Arial" w:eastAsia="Arial" w:hAnsi="Arial"/>
                <w:sz w:val="18"/>
                <w:szCs w:val="18"/>
                <w:color w:val="auto"/>
              </w:rPr>
              <w:t>Date: October 13, 2021</w:t>
            </w:r>
          </w:p>
        </w:tc>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Olibia Stamatoglou</w:t>
            </w:r>
          </w:p>
        </w:tc>
      </w:tr>
      <w:tr>
        <w:trPr>
          <w:trHeight w:val="202"/>
        </w:trPr>
        <w:tc>
          <w:tcPr>
            <w:tcW w:w="5820" w:type="dxa"/>
            <w:vAlign w:val="bottom"/>
          </w:tcPr>
          <w:p>
            <w:pPr>
              <w:ind w:left="5280"/>
              <w:spacing w:after="0" w:line="201" w:lineRule="exact"/>
              <w:rPr>
                <w:sz w:val="20"/>
                <w:szCs w:val="20"/>
                <w:color w:val="auto"/>
              </w:rPr>
            </w:pPr>
            <w:r>
              <w:rPr>
                <w:rFonts w:ascii="Arial" w:cs="Arial" w:eastAsia="Arial" w:hAnsi="Arial"/>
                <w:sz w:val="18"/>
                <w:szCs w:val="18"/>
                <w:color w:val="auto"/>
                <w:w w:val="98"/>
              </w:rPr>
              <w:t>Name:</w:t>
            </w:r>
          </w:p>
        </w:tc>
        <w:tc>
          <w:tcPr>
            <w:tcW w:w="5200" w:type="dxa"/>
            <w:vAlign w:val="bottom"/>
          </w:tcPr>
          <w:p>
            <w:pPr>
              <w:ind w:left="120"/>
              <w:spacing w:after="0" w:line="201" w:lineRule="exact"/>
              <w:rPr>
                <w:sz w:val="20"/>
                <w:szCs w:val="20"/>
                <w:color w:val="auto"/>
              </w:rPr>
            </w:pPr>
            <w:r>
              <w:rPr>
                <w:rFonts w:ascii="Arial" w:cs="Arial" w:eastAsia="Arial" w:hAnsi="Arial"/>
                <w:sz w:val="18"/>
                <w:szCs w:val="18"/>
                <w:color w:val="auto"/>
              </w:rPr>
              <w:t>Olibia Stamatoglou</w:t>
            </w:r>
          </w:p>
        </w:tc>
      </w:tr>
      <w:tr>
        <w:trPr>
          <w:trHeight w:val="216"/>
        </w:trPr>
        <w:tc>
          <w:tcPr>
            <w:tcW w:w="5820" w:type="dxa"/>
            <w:vAlign w:val="bottom"/>
          </w:tcPr>
          <w:p>
            <w:pPr>
              <w:ind w:left="5280"/>
              <w:spacing w:after="0"/>
              <w:rPr>
                <w:sz w:val="20"/>
                <w:szCs w:val="20"/>
                <w:color w:val="auto"/>
              </w:rPr>
            </w:pPr>
            <w:r>
              <w:rPr>
                <w:rFonts w:ascii="Arial" w:cs="Arial" w:eastAsia="Arial" w:hAnsi="Arial"/>
                <w:sz w:val="18"/>
                <w:szCs w:val="18"/>
                <w:color w:val="auto"/>
              </w:rPr>
              <w:t>Title:</w:t>
            </w:r>
          </w:p>
        </w:tc>
        <w:tc>
          <w:tcPr>
            <w:tcW w:w="52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230"/>
        </w:trPr>
        <w:tc>
          <w:tcPr>
            <w:tcW w:w="5820" w:type="dxa"/>
            <w:vAlign w:val="bottom"/>
          </w:tcPr>
          <w:p>
            <w:pPr>
              <w:spacing w:after="0"/>
              <w:rPr>
                <w:sz w:val="20"/>
                <w:szCs w:val="20"/>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86"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John Martin, certify that:</w:t>
      </w:r>
    </w:p>
    <w:p>
      <w:pPr>
        <w:spacing w:after="0" w:line="252"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VPC Impact Acquisition Holdings;</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7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964" w:right="560" w:hanging="532"/>
        <w:spacing w:after="0" w:line="342" w:lineRule="auto"/>
        <w:tabs>
          <w:tab w:leader="none" w:pos="964"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October 13, 2021</w:t>
            </w:r>
          </w:p>
        </w:tc>
        <w:tc>
          <w:tcPr>
            <w:tcW w:w="7420" w:type="dxa"/>
            <w:vAlign w:val="bottom"/>
            <w:gridSpan w:val="2"/>
          </w:tcPr>
          <w:p>
            <w:pPr>
              <w:ind w:left="1920"/>
              <w:spacing w:after="0"/>
              <w:rPr>
                <w:sz w:val="20"/>
                <w:szCs w:val="20"/>
                <w:color w:val="auto"/>
              </w:rPr>
            </w:pPr>
            <w:r>
              <w:rPr>
                <w:rFonts w:ascii="Arial" w:cs="Arial" w:eastAsia="Arial" w:hAnsi="Arial"/>
                <w:sz w:val="18"/>
                <w:szCs w:val="18"/>
                <w:color w:val="auto"/>
              </w:rPr>
              <w:t>By:  /s/ John Martin</w:t>
            </w:r>
          </w:p>
        </w:tc>
      </w:tr>
      <w:tr>
        <w:trPr>
          <w:trHeight w:val="195"/>
        </w:trPr>
        <w:tc>
          <w:tcPr>
            <w:tcW w:w="36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1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Martin</w:t>
            </w: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3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24"/>
          </w:cols>
          <w:pgMar w:left="436" w:top="121"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Olibia Stamatoglou, certify that:</w:t>
      </w:r>
    </w:p>
    <w:p>
      <w:pPr>
        <w:spacing w:after="0" w:line="131"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VPC Impact Acquisition Holdings;</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77"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964" w:right="560" w:hanging="532"/>
        <w:spacing w:after="0" w:line="342" w:lineRule="auto"/>
        <w:tabs>
          <w:tab w:leader="none" w:pos="964"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October 13, 2021</w:t>
            </w:r>
          </w:p>
        </w:tc>
        <w:tc>
          <w:tcPr>
            <w:tcW w:w="7420" w:type="dxa"/>
            <w:vAlign w:val="bottom"/>
            <w:gridSpan w:val="2"/>
          </w:tcPr>
          <w:p>
            <w:pPr>
              <w:ind w:left="1920"/>
              <w:spacing w:after="0"/>
              <w:rPr>
                <w:sz w:val="20"/>
                <w:szCs w:val="20"/>
                <w:color w:val="auto"/>
              </w:rPr>
            </w:pPr>
            <w:r>
              <w:rPr>
                <w:rFonts w:ascii="Arial" w:cs="Arial" w:eastAsia="Arial" w:hAnsi="Arial"/>
                <w:sz w:val="18"/>
                <w:szCs w:val="18"/>
                <w:color w:val="auto"/>
              </w:rPr>
              <w:t>By:  /s/ Olibia Stamatoglou</w:t>
            </w:r>
          </w:p>
        </w:tc>
      </w:tr>
      <w:tr>
        <w:trPr>
          <w:trHeight w:val="195"/>
        </w:trPr>
        <w:tc>
          <w:tcPr>
            <w:tcW w:w="36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1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Olibia Stamatoglou</w:t>
            </w: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3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024"/>
          </w:cols>
          <w:pgMar w:left="436" w:top="121"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connection with the Quarterly Report of VPC Impact Acquisition Holdings (the “Company”) on Form 10-Q for the quarterly period ended September 30, 2021, as filed with the Securities and Exchange Commission (the “Report”), I, John Martin, Chief Executive Officer of the Company, certify, pursuant to 18 U.S.C. §1350, as added by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October 13, 2021</w:t>
            </w:r>
          </w:p>
        </w:tc>
        <w:tc>
          <w:tcPr>
            <w:tcW w:w="7420" w:type="dxa"/>
            <w:vAlign w:val="bottom"/>
            <w:gridSpan w:val="2"/>
          </w:tcPr>
          <w:p>
            <w:pPr>
              <w:ind w:left="1920"/>
              <w:spacing w:after="0"/>
              <w:rPr>
                <w:sz w:val="20"/>
                <w:szCs w:val="20"/>
                <w:color w:val="auto"/>
              </w:rPr>
            </w:pPr>
            <w:r>
              <w:rPr>
                <w:rFonts w:ascii="Arial" w:cs="Arial" w:eastAsia="Arial" w:hAnsi="Arial"/>
                <w:sz w:val="18"/>
                <w:szCs w:val="18"/>
                <w:color w:val="auto"/>
              </w:rPr>
              <w:t>By:  /s/ John Martin</w:t>
            </w:r>
          </w:p>
        </w:tc>
      </w:tr>
      <w:tr>
        <w:trPr>
          <w:trHeight w:val="195"/>
        </w:trPr>
        <w:tc>
          <w:tcPr>
            <w:tcW w:w="36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1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Martin</w:t>
            </w: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3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20"/>
          </w:cols>
          <w:pgMar w:left="440" w:top="121"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In connection with the Quarterly Report of VPC Impact Acquisition Holdings (the “Company”) on Form 10-Q for the quarterly period ended September 30, 2021, as filed with the Securities and Exchange Commission (the “Report”), I, Olibia Stamatoglou, Chief Financial Officer of the Company, certify, pursuant to 18 U.S.C. §1350, as added by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Date: October 13, 2021</w:t>
            </w:r>
          </w:p>
        </w:tc>
        <w:tc>
          <w:tcPr>
            <w:tcW w:w="2220" w:type="dxa"/>
            <w:vAlign w:val="bottom"/>
          </w:tcPr>
          <w:p>
            <w:pPr>
              <w:ind w:left="1800"/>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Olibia Stamatoglou</w:t>
            </w:r>
          </w:p>
        </w:tc>
      </w:tr>
      <w:tr>
        <w:trPr>
          <w:trHeight w:val="195"/>
        </w:trPr>
        <w:tc>
          <w:tcPr>
            <w:tcW w:w="3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320" w:type="dxa"/>
            <w:vAlign w:val="bottom"/>
          </w:tcPr>
          <w:p>
            <w:pPr>
              <w:ind w:left="140"/>
              <w:spacing w:after="0" w:line="195" w:lineRule="exact"/>
              <w:rPr>
                <w:sz w:val="20"/>
                <w:szCs w:val="20"/>
                <w:color w:val="auto"/>
              </w:rPr>
            </w:pPr>
            <w:r>
              <w:rPr>
                <w:rFonts w:ascii="Arial" w:cs="Arial" w:eastAsia="Arial" w:hAnsi="Arial"/>
                <w:sz w:val="18"/>
                <w:szCs w:val="18"/>
                <w:color w:val="auto"/>
              </w:rPr>
              <w:t>Olibia Stamatoglou</w:t>
            </w:r>
          </w:p>
        </w:tc>
      </w:tr>
      <w:tr>
        <w:trPr>
          <w:trHeight w:val="216"/>
        </w:trPr>
        <w:tc>
          <w:tcPr>
            <w:tcW w:w="3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34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Roman"/>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lowerRoman"/>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lvl w:ilvl="1">
      <w:lvlJc w:val="left"/>
      <w:lvlText w:val="%2)"/>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2021-10-13T15:08:30Z</dcterms:created>
  <dcterms:modified xsi:type="dcterms:W3CDTF">2021-10-13T15:08:30Z</dcterms:modified>
</cp:coreProperties>
</file>