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April 1, 2021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is a press release issued by VPC Impact Acquisition Holdings on April 1, 2021:</w:t>
      </w:r>
    </w:p>
    <w:p>
      <w:pPr>
        <w:spacing w:after="0" w:line="200" w:lineRule="exact"/>
        <w:rPr>
          <w:sz w:val="24"/>
          <w:szCs w:val="24"/>
          <w:color w:val="auto"/>
        </w:rPr>
      </w:pPr>
    </w:p>
    <w:p>
      <w:pPr>
        <w:spacing w:after="0" w:line="237"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VPC Impact Acquisition Holdings Announces Filing of a Registration Statement on SEC Form S-4 in Connection with its Proposed Business Combination with Bakkt Holdings, LLC</w:t>
      </w:r>
    </w:p>
    <w:p>
      <w:pPr>
        <w:spacing w:after="0" w:line="180" w:lineRule="exact"/>
        <w:rPr>
          <w:sz w:val="24"/>
          <w:szCs w:val="24"/>
          <w:color w:val="auto"/>
        </w:rPr>
      </w:pPr>
    </w:p>
    <w:p>
      <w:pPr>
        <w:ind w:right="360"/>
        <w:spacing w:after="0" w:line="259" w:lineRule="auto"/>
        <w:rPr>
          <w:sz w:val="20"/>
          <w:szCs w:val="20"/>
          <w:color w:val="auto"/>
        </w:rPr>
      </w:pPr>
      <w:r>
        <w:rPr>
          <w:rFonts w:ascii="Arial" w:cs="Arial" w:eastAsia="Arial" w:hAnsi="Arial"/>
          <w:sz w:val="18"/>
          <w:szCs w:val="18"/>
          <w:color w:val="auto"/>
        </w:rPr>
        <w:t>CHICAGO – April 1, 2021 – VPC Impact Acquisition Holdings (NASDAQ: VIHAU, VIH and VIHAW) (“VIH”), announced today that it has filed with the U.S. Securities and Exchange Commission (“SEC”) a registration statement on Form S-4 (the “Registration Statement”), which includes a preliminary proxy statement of VIH in connection with the proposed Business Combination with Bakkt Holdings, LLC (“Bakkt”), a digital asset marketplace.</w:t>
      </w:r>
    </w:p>
    <w:p>
      <w:pPr>
        <w:spacing w:after="0" w:line="1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Upon the consummation of the proposed transaction, VIH will be renamed “Bakkt Holdings, Inc.” Bakkt Holdings, Inc. is anticipated to become a NYSE-listed public company trading under the ticker symbol “BKKT.”</w:t>
      </w:r>
    </w:p>
    <w:p>
      <w:pPr>
        <w:spacing w:after="0" w:line="170"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The Business Combination, which was announced on January 11, 2021, has been unanimously approved by the VIH Board of Directors and is expected to close in the second quarter of 2021, subject to VIH shareholder approval, the Registration Statement being declared effective by the SEC, and other regulatory and customary closing conditions.</w:t>
      </w:r>
    </w:p>
    <w:p>
      <w:pPr>
        <w:spacing w:after="0" w:line="18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PJ Solomon is serving as financial advisor and Shearman &amp; Sterling is serving as legal advisor to Bakkt. Jefferies and Citigroup are serving as financial and capital markets advisors to VIH. White &amp; Case LLP is serving as legal advisor to VIH.</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San Francisco. Victory Park Capital is privately held and a Registered Investment Advisor with the SEC.</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Bakkt is a trusted digital asset marketplace that enables institutions and consumers to buy, sell, store and spend digital assets. Bakkt’s retail platform, now widely available through the new Bakkt App, will amplify consumer spending, reduce traditional payment costs and bolster loyalty programs, adding value for all key stakeholders within the payments and digital assets ecosystem. Launched in 2018 by Intercontinental Exchange, Inc., Bakkt is headquartered in Atlanta, GA. For more information, visit: https://www.bakkt.com/</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connection with the Business Combination, VIH has filed a Registration Statement on Form S-4 (the “Form S-4”) with the SEC which includes a prospectus with respect to changing VIH’s jurisdiction of incorporation from the Cayman Islands to the State of Delaware, and a proxy statement with respect to VIH’s stockholder meeting at which VIH stockholders will be asked to vote on the proposed Business Combination. VIH and Bakkt urge investors, stockholders and other interested persons to read the Form S-4, including the proxy statement/prospectus, as well as other documents filed with the SEC, because these documents will contain important information about the Business Combination.</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available, the definitive proxy statement/prospectus and other relevant materials for the Business Combination will be mailed to shareholders of VIH as of a record date to be established for voting on the Business Combination.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VIH, Bakkt and their respective directors, managers, executive officers and other members of their management and employees, under SEC rules, may be deemed to be participants in the solicitation of proxies of VIH stockholders in connection with the Business Combination. Information regarding the persons who may, under SEC rules, be deemed participants in the solicitation of proxies to VIH’s stockholders in connection with the Business Combination is set forth in the preliminary proxy statement/prospectus contained in the Form S-4, and will also be included in the definitive proxy statement/prospectus for the Business Combination when available. Information concerning the interests of VIH and Bakkt’s participants in the solicitation, which may, in some cases, be different than those of VIH and Bakkt’s equity holders generally, is also set forth in the proxy statement/prospectus contained in the Form S-4, and will also be included in the definitive proxy statement/prospectus for the Business Combination when available.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 (v) risks related to disruption of management time from ongoing business operations due to the Business Combination;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Bakkt: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BakktIR@edelman.com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Rachel Ford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rachel.ford@bakkt.com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VIH: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vihinfo@victoryparkcapital.com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Julia Fisher (Sahin)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Julia.Fisher@edelman.com</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2021-04-01T07:46:02Z</dcterms:created>
  <dcterms:modified xsi:type="dcterms:W3CDTF">2021-04-01T07:46:02Z</dcterms:modified>
</cp:coreProperties>
</file>